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765068">
      <w:pPr>
        <w:jc w:val="center"/>
        <w:rPr>
          <w:rFonts w:hint="eastAsia" w:ascii="仿宋_GB2312" w:hAnsi="仿宋_GB2312" w:eastAsia="仿宋_GB2312" w:cs="仿宋_GB2312"/>
          <w:color w:val="000000" w:themeColor="text1"/>
          <w:kern w:val="21"/>
          <w:sz w:val="36"/>
          <w:szCs w:val="36"/>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736590" cy="8175625"/>
            <wp:effectExtent l="0" t="0" r="16510"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5736590" cy="8175625"/>
                    </a:xfrm>
                    <a:prstGeom prst="rect">
                      <a:avLst/>
                    </a:prstGeom>
                    <a:noFill/>
                    <a:ln>
                      <a:noFill/>
                    </a:ln>
                  </pic:spPr>
                </pic:pic>
              </a:graphicData>
            </a:graphic>
          </wp:inline>
        </w:drawing>
      </w:r>
      <w:bookmarkStart w:id="23" w:name="_GoBack"/>
      <w:bookmarkEnd w:id="23"/>
    </w:p>
    <w:p w14:paraId="27AD08AA">
      <w:pPr>
        <w:spacing w:line="288" w:lineRule="auto"/>
        <w:jc w:val="center"/>
        <w:rPr>
          <w:rFonts w:ascii="楷体_GB2312" w:eastAsia="楷体_GB2312"/>
          <w:color w:val="000000" w:themeColor="text1"/>
          <w:kern w:val="21"/>
          <w:sz w:val="36"/>
          <w:szCs w:val="36"/>
          <w:highlight w:val="none"/>
          <w14:textFill>
            <w14:solidFill>
              <w14:schemeClr w14:val="tx1"/>
            </w14:solidFill>
          </w14:textFill>
        </w:rPr>
      </w:pPr>
    </w:p>
    <w:p w14:paraId="53EFC74E">
      <w:pPr>
        <w:spacing w:line="288" w:lineRule="auto"/>
        <w:jc w:val="center"/>
        <w:rPr>
          <w:rFonts w:ascii="楷体_GB2312" w:eastAsia="楷体_GB2312"/>
          <w:color w:val="000000" w:themeColor="text1"/>
          <w:kern w:val="21"/>
          <w:sz w:val="36"/>
          <w:szCs w:val="36"/>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894070" cy="7494270"/>
            <wp:effectExtent l="0" t="0" r="11430"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5894070" cy="7494270"/>
                    </a:xfrm>
                    <a:prstGeom prst="rect">
                      <a:avLst/>
                    </a:prstGeom>
                    <a:noFill/>
                    <a:ln>
                      <a:noFill/>
                    </a:ln>
                  </pic:spPr>
                </pic:pic>
              </a:graphicData>
            </a:graphic>
          </wp:inline>
        </w:drawing>
      </w:r>
    </w:p>
    <w:p w14:paraId="343227AB">
      <w:pPr>
        <w:spacing w:line="288" w:lineRule="auto"/>
        <w:jc w:val="center"/>
        <w:rPr>
          <w:rFonts w:ascii="楷体_GB2312" w:eastAsia="楷体_GB2312"/>
          <w:color w:val="000000" w:themeColor="text1"/>
          <w:kern w:val="21"/>
          <w:sz w:val="36"/>
          <w:szCs w:val="36"/>
          <w:highlight w:val="none"/>
          <w14:textFill>
            <w14:solidFill>
              <w14:schemeClr w14:val="tx1"/>
            </w14:solidFill>
          </w14:textFill>
        </w:rPr>
      </w:pPr>
    </w:p>
    <w:p w14:paraId="1974301F">
      <w:pPr>
        <w:spacing w:line="288" w:lineRule="auto"/>
        <w:jc w:val="center"/>
        <w:rPr>
          <w:rFonts w:ascii="楷体_GB2312" w:eastAsia="楷体_GB2312"/>
          <w:color w:val="000000" w:themeColor="text1"/>
          <w:kern w:val="21"/>
          <w:sz w:val="36"/>
          <w:szCs w:val="36"/>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578475" cy="7080250"/>
            <wp:effectExtent l="0" t="0" r="3175" b="63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5578475" cy="7080250"/>
                    </a:xfrm>
                    <a:prstGeom prst="rect">
                      <a:avLst/>
                    </a:prstGeom>
                    <a:noFill/>
                    <a:ln>
                      <a:noFill/>
                    </a:ln>
                  </pic:spPr>
                </pic:pic>
              </a:graphicData>
            </a:graphic>
          </wp:inline>
        </w:drawing>
      </w:r>
    </w:p>
    <w:p w14:paraId="1D92C2DD">
      <w:pPr>
        <w:spacing w:line="288" w:lineRule="auto"/>
        <w:jc w:val="center"/>
        <w:rPr>
          <w:rFonts w:ascii="楷体_GB2312" w:eastAsia="楷体_GB2312"/>
          <w:color w:val="000000" w:themeColor="text1"/>
          <w:kern w:val="21"/>
          <w:sz w:val="36"/>
          <w:szCs w:val="36"/>
          <w:highlight w:val="none"/>
          <w14:textFill>
            <w14:solidFill>
              <w14:schemeClr w14:val="tx1"/>
            </w14:solidFill>
          </w14:textFill>
        </w:rPr>
      </w:pPr>
    </w:p>
    <w:p w14:paraId="56F7717B">
      <w:pPr>
        <w:spacing w:line="288" w:lineRule="auto"/>
        <w:jc w:val="center"/>
        <w:rPr>
          <w:rFonts w:ascii="楷体_GB2312" w:eastAsia="楷体_GB2312"/>
          <w:color w:val="000000" w:themeColor="text1"/>
          <w:kern w:val="21"/>
          <w:sz w:val="36"/>
          <w:szCs w:val="36"/>
          <w:highlight w:val="none"/>
          <w14:textFill>
            <w14:solidFill>
              <w14:schemeClr w14:val="tx1"/>
            </w14:solidFill>
          </w14:textFill>
        </w:rPr>
        <w:sectPr>
          <w:pgSz w:w="11906" w:h="16838"/>
          <w:pgMar w:top="1440" w:right="1344" w:bottom="1440" w:left="1514" w:header="851" w:footer="992" w:gutter="0"/>
          <w:pgNumType w:fmt="numberInDash"/>
          <w:cols w:space="425" w:num="1"/>
          <w:docGrid w:type="lines" w:linePitch="312" w:charSpace="0"/>
        </w:sectPr>
      </w:pPr>
    </w:p>
    <w:p w14:paraId="032890A9">
      <w:pPr>
        <w:jc w:val="center"/>
        <w:rPr>
          <w:color w:val="000000" w:themeColor="text1"/>
          <w:highlight w:val="none"/>
          <w14:textFill>
            <w14:solidFill>
              <w14:schemeClr w14:val="tx1"/>
            </w14:solidFill>
          </w14:textFill>
        </w:rPr>
      </w:pPr>
      <w:sdt>
        <w:sdtPr>
          <w:rPr>
            <w:rFonts w:ascii="宋体" w:hAnsi="宋体" w:eastAsia="宋体"/>
            <w:color w:val="000000" w:themeColor="text1"/>
            <w:highlight w:val="none"/>
            <w14:textFill>
              <w14:solidFill>
                <w14:schemeClr w14:val="tx1"/>
              </w14:solidFill>
            </w14:textFill>
          </w:rPr>
          <w:id w:val="147476629"/>
          <w:showingPlcHdr/>
          <w15:color w:val="DBDBDB"/>
          <w:docPartObj>
            <w:docPartGallery w:val="Table of Contents"/>
            <w:docPartUnique/>
          </w:docPartObj>
        </w:sdtPr>
        <w:sdtEndPr>
          <w:rPr>
            <w:rFonts w:ascii="Times New Roman" w:hAnsi="Times New Roman" w:eastAsia="黑体"/>
            <w:color w:val="000000" w:themeColor="text1"/>
            <w:sz w:val="24"/>
            <w:highlight w:val="none"/>
            <w14:textFill>
              <w14:solidFill>
                <w14:schemeClr w14:val="tx1"/>
              </w14:solidFill>
            </w14:textFill>
          </w:rPr>
        </w:sdtEndPr>
        <w:sdtContent>
          <w:bookmarkStart w:id="0" w:name="_Toc13770"/>
          <w:r>
            <w:rPr>
              <w:rFonts w:hint="eastAsia" w:ascii="宋体" w:hAnsi="宋体" w:eastAsia="宋体"/>
              <w:color w:val="000000" w:themeColor="text1"/>
              <w:highlight w:val="none"/>
              <w14:textFill>
                <w14:solidFill>
                  <w14:schemeClr w14:val="tx1"/>
                </w14:solidFill>
              </w14:textFill>
            </w:rPr>
            <w:t xml:space="preserve">     </w:t>
          </w:r>
        </w:sdtContent>
      </w:sdt>
    </w:p>
    <w:p w14:paraId="46424616">
      <w:pPr>
        <w:spacing w:line="360" w:lineRule="auto"/>
        <w:jc w:val="center"/>
        <w:outlineLvl w:val="0"/>
        <w:rPr>
          <w:rFonts w:ascii="Times New Roman" w:hAnsi="Times New Roman" w:eastAsia="黑体"/>
          <w:color w:val="000000" w:themeColor="text1"/>
          <w:sz w:val="30"/>
          <w:szCs w:val="30"/>
          <w:highlight w:val="none"/>
          <w14:textFill>
            <w14:solidFill>
              <w14:schemeClr w14:val="tx1"/>
            </w14:solidFill>
          </w14:textFill>
        </w:rPr>
      </w:pPr>
      <w:r>
        <w:rPr>
          <w:rFonts w:hint="eastAsia" w:ascii="Times New Roman" w:hAnsi="Times New Roman" w:eastAsia="黑体"/>
          <w:color w:val="000000" w:themeColor="text1"/>
          <w:sz w:val="30"/>
          <w:szCs w:val="30"/>
          <w:highlight w:val="none"/>
          <w14:textFill>
            <w14:solidFill>
              <w14:schemeClr w14:val="tx1"/>
            </w14:solidFill>
          </w14:textFill>
        </w:rPr>
        <w:t>一、建设项目基本情况</w:t>
      </w:r>
      <w:bookmarkEnd w:id="0"/>
    </w:p>
    <w:tbl>
      <w:tblPr>
        <w:tblStyle w:val="27"/>
        <w:tblW w:w="52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23"/>
        <w:gridCol w:w="2112"/>
        <w:gridCol w:w="2315"/>
        <w:gridCol w:w="3622"/>
      </w:tblGrid>
      <w:tr w14:paraId="37D0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778797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建设项目名称</w:t>
            </w:r>
          </w:p>
        </w:tc>
        <w:tc>
          <w:tcPr>
            <w:tcW w:w="4160" w:type="pct"/>
            <w:gridSpan w:val="3"/>
            <w:vAlign w:val="center"/>
          </w:tcPr>
          <w:p w14:paraId="27D1D476">
            <w:pPr>
              <w:spacing w:before="62" w:beforeLines="20" w:after="62" w:afterLines="20"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渝军摩托车零部件加工项目</w:t>
            </w:r>
          </w:p>
        </w:tc>
      </w:tr>
      <w:tr w14:paraId="0577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52857D89">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项目代码</w:t>
            </w:r>
          </w:p>
        </w:tc>
        <w:tc>
          <w:tcPr>
            <w:tcW w:w="4160" w:type="pct"/>
            <w:gridSpan w:val="3"/>
            <w:vAlign w:val="center"/>
          </w:tcPr>
          <w:p w14:paraId="662DC8A9">
            <w:pPr>
              <w:spacing w:before="62" w:beforeLines="20" w:after="62" w:afterLines="20"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szCs w:val="36"/>
                <w:highlight w:val="none"/>
                <w14:textFill>
                  <w14:solidFill>
                    <w14:schemeClr w14:val="tx1"/>
                  </w14:solidFill>
                </w14:textFill>
              </w:rPr>
              <w:t>2507</w:t>
            </w:r>
            <w:r>
              <w:rPr>
                <w:rFonts w:ascii="Times New Roman" w:hAnsi="Times New Roman" w:cs="Times New Roman"/>
                <w:color w:val="000000" w:themeColor="text1"/>
                <w:sz w:val="24"/>
                <w:szCs w:val="36"/>
                <w:highlight w:val="none"/>
                <w14:textFill>
                  <w14:solidFill>
                    <w14:schemeClr w14:val="tx1"/>
                  </w14:solidFill>
                </w14:textFill>
              </w:rPr>
              <w:t>-500107-04-05-</w:t>
            </w:r>
            <w:r>
              <w:rPr>
                <w:rFonts w:hint="eastAsia" w:ascii="Times New Roman" w:hAnsi="Times New Roman" w:cs="Times New Roman"/>
                <w:color w:val="000000" w:themeColor="text1"/>
                <w:sz w:val="24"/>
                <w:szCs w:val="36"/>
                <w:highlight w:val="none"/>
                <w14:textFill>
                  <w14:solidFill>
                    <w14:schemeClr w14:val="tx1"/>
                  </w14:solidFill>
                </w14:textFill>
              </w:rPr>
              <w:t>636085</w:t>
            </w:r>
          </w:p>
        </w:tc>
      </w:tr>
      <w:tr w14:paraId="6DDB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2" w:hRule="atLeast"/>
        </w:trPr>
        <w:tc>
          <w:tcPr>
            <w:tcW w:w="839" w:type="pct"/>
            <w:vAlign w:val="center"/>
          </w:tcPr>
          <w:p w14:paraId="619B0C33">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建设单位联系人</w:t>
            </w:r>
          </w:p>
        </w:tc>
        <w:tc>
          <w:tcPr>
            <w:tcW w:w="1091" w:type="pct"/>
            <w:vAlign w:val="center"/>
          </w:tcPr>
          <w:p w14:paraId="142FEB61">
            <w:pPr>
              <w:spacing w:before="62" w:beforeLines="20" w:after="62" w:afterLines="20" w:line="360" w:lineRule="auto"/>
              <w:jc w:val="center"/>
              <w:rPr>
                <w:rFonts w:hint="eastAsia" w:ascii="Times New Roman" w:hAnsi="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王</w:t>
            </w:r>
            <w:r>
              <w:rPr>
                <w:rFonts w:hint="eastAsia" w:ascii="Times New Roman" w:hAnsi="Times New Roman" w:eastAsia="宋体"/>
                <w:color w:val="000000" w:themeColor="text1"/>
                <w:sz w:val="24"/>
                <w:highlight w:val="none"/>
                <w:lang w:eastAsia="zh-CN"/>
                <w14:textFill>
                  <w14:solidFill>
                    <w14:schemeClr w14:val="tx1"/>
                  </w14:solidFill>
                </w14:textFill>
              </w:rPr>
              <w:t>小军</w:t>
            </w:r>
          </w:p>
        </w:tc>
        <w:tc>
          <w:tcPr>
            <w:tcW w:w="1196" w:type="pct"/>
            <w:vAlign w:val="center"/>
          </w:tcPr>
          <w:p w14:paraId="0D659C77">
            <w:pPr>
              <w:spacing w:before="62" w:beforeLines="20" w:after="62" w:afterLines="20"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联系方式</w:t>
            </w:r>
          </w:p>
        </w:tc>
        <w:tc>
          <w:tcPr>
            <w:tcW w:w="1872" w:type="pct"/>
            <w:vAlign w:val="center"/>
          </w:tcPr>
          <w:p w14:paraId="0E304BDD">
            <w:pPr>
              <w:spacing w:before="62" w:beforeLines="20" w:after="62" w:afterLines="20"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18883888616</w:t>
            </w:r>
          </w:p>
        </w:tc>
      </w:tr>
      <w:tr w14:paraId="042D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07A06035">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建设地点</w:t>
            </w:r>
          </w:p>
        </w:tc>
        <w:tc>
          <w:tcPr>
            <w:tcW w:w="4160" w:type="pct"/>
            <w:gridSpan w:val="3"/>
            <w:vAlign w:val="center"/>
          </w:tcPr>
          <w:p w14:paraId="2E9779F1">
            <w:pPr>
              <w:spacing w:before="62" w:beforeLines="20" w:after="62" w:afterLines="20"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重庆市九龙坡区西彭镇森迪大道14号附3号</w:t>
            </w:r>
          </w:p>
        </w:tc>
      </w:tr>
      <w:tr w14:paraId="62D5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6EB34271">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地理坐标</w:t>
            </w:r>
          </w:p>
        </w:tc>
        <w:tc>
          <w:tcPr>
            <w:tcW w:w="4160" w:type="pct"/>
            <w:gridSpan w:val="3"/>
            <w:vAlign w:val="center"/>
          </w:tcPr>
          <w:p w14:paraId="6E08CE0D">
            <w:pPr>
              <w:spacing w:before="62" w:beforeLines="20" w:after="62" w:afterLines="20"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（N 29度19分28.7184秒，E 106度19分6.7105秒）</w:t>
            </w:r>
          </w:p>
        </w:tc>
      </w:tr>
      <w:tr w14:paraId="14E6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3DAF87AC">
            <w:pPr>
              <w:keepNext w:val="0"/>
              <w:keepLines w:val="0"/>
              <w:pageBreakBefore w:val="0"/>
              <w:widowControl w:val="0"/>
              <w:kinsoku/>
              <w:wordWrap/>
              <w:overflowPunct/>
              <w:topLinePunct w:val="0"/>
              <w:autoSpaceDE/>
              <w:autoSpaceDN/>
              <w:bidi w:val="0"/>
              <w:adjustRightInd/>
              <w:snapToGrid/>
              <w:spacing w:before="62" w:beforeLines="20"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国民经济</w:t>
            </w:r>
          </w:p>
          <w:p w14:paraId="11F4B824">
            <w:pPr>
              <w:keepNext w:val="0"/>
              <w:keepLines w:val="0"/>
              <w:pageBreakBefore w:val="0"/>
              <w:widowControl w:val="0"/>
              <w:kinsoku/>
              <w:wordWrap/>
              <w:overflowPunct/>
              <w:topLinePunct w:val="0"/>
              <w:autoSpaceDE/>
              <w:autoSpaceDN/>
              <w:bidi w:val="0"/>
              <w:adjustRightInd/>
              <w:snapToGrid/>
              <w:spacing w:after="62" w:afterLines="20"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行业类别</w:t>
            </w:r>
          </w:p>
        </w:tc>
        <w:tc>
          <w:tcPr>
            <w:tcW w:w="1091" w:type="pct"/>
            <w:vAlign w:val="center"/>
          </w:tcPr>
          <w:p w14:paraId="7448EAB5">
            <w:pPr>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C3360金属表面处理及热处理加工；</w:t>
            </w:r>
          </w:p>
          <w:p w14:paraId="2C611359">
            <w:pPr>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C3752摩托车零部件及配件制造</w:t>
            </w:r>
          </w:p>
        </w:tc>
        <w:tc>
          <w:tcPr>
            <w:tcW w:w="1196" w:type="pct"/>
            <w:vAlign w:val="center"/>
          </w:tcPr>
          <w:p w14:paraId="232FFEE5">
            <w:pPr>
              <w:spacing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建设项目</w:t>
            </w:r>
          </w:p>
          <w:p w14:paraId="03526E90">
            <w:pPr>
              <w:spacing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行业类别</w:t>
            </w:r>
          </w:p>
        </w:tc>
        <w:tc>
          <w:tcPr>
            <w:tcW w:w="1872" w:type="pct"/>
            <w:vAlign w:val="center"/>
          </w:tcPr>
          <w:p w14:paraId="0C6835D9">
            <w:pPr>
              <w:spacing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三十、金属制品业 67 金属表面处理及热处理加工；三十四、铁路、船舶、航空航天和其他运输设备制造业 75 摩托车制造375</w:t>
            </w:r>
          </w:p>
        </w:tc>
      </w:tr>
      <w:tr w14:paraId="4CCE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6BD971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建设性质</w:t>
            </w:r>
          </w:p>
        </w:tc>
        <w:tc>
          <w:tcPr>
            <w:tcW w:w="1091" w:type="pct"/>
            <w:vAlign w:val="center"/>
          </w:tcPr>
          <w:p w14:paraId="0FD32761">
            <w:pPr>
              <w:spacing w:before="46" w:beforeLines="15" w:line="360" w:lineRule="auto"/>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sym w:font="Wingdings 2" w:char="0052"/>
            </w:r>
            <w:r>
              <w:rPr>
                <w:rFonts w:hint="eastAsia" w:ascii="Times New Roman" w:hAnsi="Times New Roman" w:eastAsia="宋体"/>
                <w:color w:val="000000" w:themeColor="text1"/>
                <w:sz w:val="24"/>
                <w:highlight w:val="none"/>
                <w14:textFill>
                  <w14:solidFill>
                    <w14:schemeClr w14:val="tx1"/>
                  </w14:solidFill>
                </w14:textFill>
              </w:rPr>
              <w:t>新建（迁建）</w:t>
            </w:r>
          </w:p>
          <w:p w14:paraId="329A64B8">
            <w:pPr>
              <w:spacing w:line="360" w:lineRule="auto"/>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sym w:font="Wingdings 2" w:char="00A3"/>
            </w:r>
            <w:r>
              <w:rPr>
                <w:rFonts w:hint="eastAsia" w:ascii="Times New Roman" w:hAnsi="Times New Roman" w:eastAsia="宋体"/>
                <w:color w:val="000000" w:themeColor="text1"/>
                <w:sz w:val="24"/>
                <w:highlight w:val="none"/>
                <w14:textFill>
                  <w14:solidFill>
                    <w14:schemeClr w14:val="tx1"/>
                  </w14:solidFill>
                </w14:textFill>
              </w:rPr>
              <w:t>改建</w:t>
            </w:r>
          </w:p>
          <w:p w14:paraId="6816AE53">
            <w:pPr>
              <w:spacing w:line="360" w:lineRule="auto"/>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sym w:font="Wingdings 2" w:char="00A3"/>
            </w:r>
            <w:r>
              <w:rPr>
                <w:rFonts w:hint="eastAsia" w:ascii="Times New Roman" w:hAnsi="Times New Roman" w:eastAsia="宋体"/>
                <w:color w:val="000000" w:themeColor="text1"/>
                <w:sz w:val="24"/>
                <w:highlight w:val="none"/>
                <w14:textFill>
                  <w14:solidFill>
                    <w14:schemeClr w14:val="tx1"/>
                  </w14:solidFill>
                </w14:textFill>
              </w:rPr>
              <w:t>扩建</w:t>
            </w:r>
          </w:p>
          <w:p w14:paraId="492A8AEE">
            <w:pPr>
              <w:spacing w:after="46" w:afterLines="15" w:line="360" w:lineRule="auto"/>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sym w:font="Wingdings 2" w:char="00A3"/>
            </w:r>
            <w:r>
              <w:rPr>
                <w:rFonts w:hint="eastAsia" w:ascii="Times New Roman" w:hAnsi="Times New Roman" w:eastAsia="宋体"/>
                <w:color w:val="000000" w:themeColor="text1"/>
                <w:sz w:val="24"/>
                <w:highlight w:val="none"/>
                <w14:textFill>
                  <w14:solidFill>
                    <w14:schemeClr w14:val="tx1"/>
                  </w14:solidFill>
                </w14:textFill>
              </w:rPr>
              <w:t>技术改造</w:t>
            </w:r>
          </w:p>
        </w:tc>
        <w:tc>
          <w:tcPr>
            <w:tcW w:w="1196" w:type="pct"/>
            <w:vAlign w:val="center"/>
          </w:tcPr>
          <w:p w14:paraId="0020B211">
            <w:pPr>
              <w:spacing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建设项目</w:t>
            </w:r>
          </w:p>
          <w:p w14:paraId="015BF558">
            <w:pPr>
              <w:spacing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申报情形</w:t>
            </w:r>
          </w:p>
        </w:tc>
        <w:tc>
          <w:tcPr>
            <w:tcW w:w="1872" w:type="pct"/>
            <w:vAlign w:val="center"/>
          </w:tcPr>
          <w:p w14:paraId="3FDFE92B">
            <w:pPr>
              <w:spacing w:before="31" w:beforeLines="10" w:line="360" w:lineRule="auto"/>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sym w:font="Wingdings 2" w:char="0052"/>
            </w:r>
            <w:r>
              <w:rPr>
                <w:rFonts w:hint="eastAsia" w:ascii="Times New Roman" w:hAnsi="Times New Roman" w:eastAsia="宋体"/>
                <w:color w:val="000000" w:themeColor="text1"/>
                <w:sz w:val="24"/>
                <w:highlight w:val="none"/>
                <w14:textFill>
                  <w14:solidFill>
                    <w14:schemeClr w14:val="tx1"/>
                  </w14:solidFill>
                </w14:textFill>
              </w:rPr>
              <w:t>首次申报项目</w:t>
            </w:r>
          </w:p>
          <w:p w14:paraId="0C00E151">
            <w:pPr>
              <w:spacing w:line="360" w:lineRule="auto"/>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sym w:font="Wingdings 2" w:char="00A3"/>
            </w:r>
            <w:r>
              <w:rPr>
                <w:rFonts w:hint="eastAsia" w:ascii="Times New Roman" w:hAnsi="Times New Roman" w:eastAsia="宋体"/>
                <w:color w:val="000000" w:themeColor="text1"/>
                <w:sz w:val="24"/>
                <w:highlight w:val="none"/>
                <w14:textFill>
                  <w14:solidFill>
                    <w14:schemeClr w14:val="tx1"/>
                  </w14:solidFill>
                </w14:textFill>
              </w:rPr>
              <w:t>不予批准后再次申报项目</w:t>
            </w:r>
          </w:p>
          <w:p w14:paraId="18D08C30">
            <w:pPr>
              <w:spacing w:line="360" w:lineRule="auto"/>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sym w:font="Wingdings 2" w:char="00A3"/>
            </w:r>
            <w:r>
              <w:rPr>
                <w:rFonts w:hint="eastAsia" w:ascii="Times New Roman" w:hAnsi="Times New Roman" w:eastAsia="宋体"/>
                <w:color w:val="000000" w:themeColor="text1"/>
                <w:sz w:val="24"/>
                <w:highlight w:val="none"/>
                <w14:textFill>
                  <w14:solidFill>
                    <w14:schemeClr w14:val="tx1"/>
                  </w14:solidFill>
                </w14:textFill>
              </w:rPr>
              <w:t>超五年重新审核项目</w:t>
            </w:r>
          </w:p>
          <w:p w14:paraId="139EC3EA">
            <w:pPr>
              <w:spacing w:after="31" w:afterLines="10" w:line="360" w:lineRule="auto"/>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sym w:font="Wingdings 2" w:char="00A3"/>
            </w:r>
            <w:r>
              <w:rPr>
                <w:rFonts w:hint="eastAsia" w:ascii="Times New Roman" w:hAnsi="Times New Roman" w:eastAsia="宋体"/>
                <w:color w:val="000000" w:themeColor="text1"/>
                <w:sz w:val="24"/>
                <w:highlight w:val="none"/>
                <w14:textFill>
                  <w14:solidFill>
                    <w14:schemeClr w14:val="tx1"/>
                  </w14:solidFill>
                </w14:textFill>
              </w:rPr>
              <w:t>重大变动重新报批项目</w:t>
            </w:r>
          </w:p>
        </w:tc>
      </w:tr>
      <w:tr w14:paraId="6D88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2D7D523A">
            <w:pPr>
              <w:keepNext w:val="0"/>
              <w:keepLines w:val="0"/>
              <w:pageBreakBefore w:val="0"/>
              <w:widowControl w:val="0"/>
              <w:kinsoku/>
              <w:wordWrap/>
              <w:overflowPunct/>
              <w:topLinePunct w:val="0"/>
              <w:autoSpaceDE/>
              <w:autoSpaceDN/>
              <w:bidi w:val="0"/>
              <w:adjustRightInd/>
              <w:snapToGrid/>
              <w:spacing w:before="46" w:beforeLines="15"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项目审批（核准/</w:t>
            </w:r>
          </w:p>
          <w:p w14:paraId="3BC85848">
            <w:pPr>
              <w:keepNext w:val="0"/>
              <w:keepLines w:val="0"/>
              <w:pageBreakBefore w:val="0"/>
              <w:widowControl w:val="0"/>
              <w:kinsoku/>
              <w:wordWrap/>
              <w:overflowPunct/>
              <w:topLinePunct w:val="0"/>
              <w:autoSpaceDE/>
              <w:autoSpaceDN/>
              <w:bidi w:val="0"/>
              <w:adjustRightInd/>
              <w:snapToGrid/>
              <w:spacing w:after="46" w:afterLines="15"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备案）部门（选填）</w:t>
            </w:r>
          </w:p>
        </w:tc>
        <w:tc>
          <w:tcPr>
            <w:tcW w:w="1091" w:type="pct"/>
            <w:vAlign w:val="center"/>
          </w:tcPr>
          <w:p w14:paraId="0FEF9A80">
            <w:pPr>
              <w:spacing w:before="46" w:beforeLines="15" w:after="46" w:afterLines="15"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重庆市九龙坡区发展和改革委员会</w:t>
            </w:r>
          </w:p>
        </w:tc>
        <w:tc>
          <w:tcPr>
            <w:tcW w:w="1196" w:type="pct"/>
            <w:vAlign w:val="center"/>
          </w:tcPr>
          <w:p w14:paraId="7606D9E4">
            <w:pPr>
              <w:spacing w:before="31" w:beforeLines="10"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项目审批（核准/</w:t>
            </w:r>
          </w:p>
          <w:p w14:paraId="7FE20546">
            <w:pPr>
              <w:spacing w:after="31" w:afterLines="10"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备案）文号（选填）</w:t>
            </w:r>
          </w:p>
        </w:tc>
        <w:tc>
          <w:tcPr>
            <w:tcW w:w="1872" w:type="pct"/>
            <w:vAlign w:val="center"/>
          </w:tcPr>
          <w:p w14:paraId="1CF13B9A">
            <w:pPr>
              <w:spacing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szCs w:val="36"/>
                <w:highlight w:val="none"/>
                <w14:textFill>
                  <w14:solidFill>
                    <w14:schemeClr w14:val="tx1"/>
                  </w14:solidFill>
                </w14:textFill>
              </w:rPr>
              <w:t>2507</w:t>
            </w:r>
            <w:r>
              <w:rPr>
                <w:rFonts w:ascii="Times New Roman" w:hAnsi="Times New Roman" w:cs="Times New Roman"/>
                <w:color w:val="000000" w:themeColor="text1"/>
                <w:sz w:val="24"/>
                <w:szCs w:val="36"/>
                <w:highlight w:val="none"/>
                <w14:textFill>
                  <w14:solidFill>
                    <w14:schemeClr w14:val="tx1"/>
                  </w14:solidFill>
                </w14:textFill>
              </w:rPr>
              <w:t>-500107-04-05-</w:t>
            </w:r>
            <w:r>
              <w:rPr>
                <w:rFonts w:hint="eastAsia" w:ascii="Times New Roman" w:hAnsi="Times New Roman" w:cs="Times New Roman"/>
                <w:color w:val="000000" w:themeColor="text1"/>
                <w:sz w:val="24"/>
                <w:szCs w:val="36"/>
                <w:highlight w:val="none"/>
                <w14:textFill>
                  <w14:solidFill>
                    <w14:schemeClr w14:val="tx1"/>
                  </w14:solidFill>
                </w14:textFill>
              </w:rPr>
              <w:t>636085</w:t>
            </w:r>
          </w:p>
        </w:tc>
      </w:tr>
      <w:tr w14:paraId="2B46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215CB3B7">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总投资（万元）</w:t>
            </w:r>
          </w:p>
        </w:tc>
        <w:tc>
          <w:tcPr>
            <w:tcW w:w="1091" w:type="pct"/>
            <w:vAlign w:val="center"/>
          </w:tcPr>
          <w:p w14:paraId="7C672B26">
            <w:pPr>
              <w:spacing w:before="62" w:beforeLines="20" w:after="62" w:afterLines="20" w:line="360" w:lineRule="auto"/>
              <w:jc w:val="center"/>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100</w:t>
            </w:r>
          </w:p>
        </w:tc>
        <w:tc>
          <w:tcPr>
            <w:tcW w:w="1196" w:type="pct"/>
            <w:vAlign w:val="center"/>
          </w:tcPr>
          <w:p w14:paraId="1CEF4F70">
            <w:pPr>
              <w:spacing w:before="62" w:beforeLines="20" w:after="62" w:afterLines="20"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环保投资（万元）</w:t>
            </w:r>
          </w:p>
        </w:tc>
        <w:tc>
          <w:tcPr>
            <w:tcW w:w="1872" w:type="pct"/>
            <w:vAlign w:val="center"/>
          </w:tcPr>
          <w:p w14:paraId="23C72E44">
            <w:pPr>
              <w:spacing w:before="62" w:beforeLines="20" w:after="62" w:afterLines="20" w:line="360" w:lineRule="auto"/>
              <w:jc w:val="center"/>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15</w:t>
            </w:r>
          </w:p>
        </w:tc>
      </w:tr>
      <w:tr w14:paraId="3471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5213A029">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环保投资占比（%）</w:t>
            </w:r>
          </w:p>
        </w:tc>
        <w:tc>
          <w:tcPr>
            <w:tcW w:w="1091" w:type="pct"/>
            <w:vAlign w:val="center"/>
          </w:tcPr>
          <w:p w14:paraId="55F434FC">
            <w:pPr>
              <w:spacing w:before="62" w:beforeLines="20" w:after="62" w:afterLines="20" w:line="360" w:lineRule="auto"/>
              <w:jc w:val="center"/>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15</w:t>
            </w:r>
          </w:p>
        </w:tc>
        <w:tc>
          <w:tcPr>
            <w:tcW w:w="1196" w:type="pct"/>
            <w:vAlign w:val="center"/>
          </w:tcPr>
          <w:p w14:paraId="14A19D90">
            <w:pPr>
              <w:spacing w:before="62" w:beforeLines="20" w:after="62" w:afterLines="20"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施工工期</w:t>
            </w:r>
          </w:p>
        </w:tc>
        <w:tc>
          <w:tcPr>
            <w:tcW w:w="1872" w:type="pct"/>
            <w:vAlign w:val="center"/>
          </w:tcPr>
          <w:p w14:paraId="17265403">
            <w:pPr>
              <w:spacing w:before="62" w:beforeLines="20" w:after="62" w:afterLines="20"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3个月</w:t>
            </w:r>
          </w:p>
        </w:tc>
      </w:tr>
      <w:tr w14:paraId="6369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6" w:hRule="atLeast"/>
        </w:trPr>
        <w:tc>
          <w:tcPr>
            <w:tcW w:w="839" w:type="pct"/>
            <w:vAlign w:val="center"/>
          </w:tcPr>
          <w:p w14:paraId="0B18E6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是否开工建设</w:t>
            </w:r>
          </w:p>
        </w:tc>
        <w:tc>
          <w:tcPr>
            <w:tcW w:w="1091" w:type="pct"/>
            <w:vAlign w:val="center"/>
          </w:tcPr>
          <w:p w14:paraId="555A1843">
            <w:pPr>
              <w:spacing w:before="46" w:beforeLines="15"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sym w:font="Wingdings 2" w:char="0052"/>
            </w:r>
            <w:r>
              <w:rPr>
                <w:rFonts w:hint="eastAsia" w:ascii="Times New Roman" w:hAnsi="Times New Roman" w:eastAsia="宋体"/>
                <w:color w:val="000000" w:themeColor="text1"/>
                <w:sz w:val="24"/>
                <w:highlight w:val="none"/>
                <w14:textFill>
                  <w14:solidFill>
                    <w14:schemeClr w14:val="tx1"/>
                  </w14:solidFill>
                </w14:textFill>
              </w:rPr>
              <w:t>否</w:t>
            </w:r>
          </w:p>
          <w:p w14:paraId="7C61B67A">
            <w:pPr>
              <w:spacing w:after="46" w:afterLines="15"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sym w:font="Wingdings 2" w:char="00A3"/>
            </w:r>
            <w:r>
              <w:rPr>
                <w:rFonts w:hint="eastAsia" w:ascii="Times New Roman" w:hAnsi="Times New Roman" w:eastAsia="宋体"/>
                <w:color w:val="000000" w:themeColor="text1"/>
                <w:sz w:val="24"/>
                <w:highlight w:val="none"/>
                <w14:textFill>
                  <w14:solidFill>
                    <w14:schemeClr w14:val="tx1"/>
                  </w14:solidFill>
                </w14:textFill>
              </w:rPr>
              <w:t>是</w:t>
            </w:r>
          </w:p>
        </w:tc>
        <w:tc>
          <w:tcPr>
            <w:tcW w:w="1196" w:type="pct"/>
            <w:vAlign w:val="center"/>
          </w:tcPr>
          <w:p w14:paraId="4BA254FD">
            <w:pPr>
              <w:spacing w:before="46" w:beforeLines="15"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用地（用海）</w:t>
            </w:r>
          </w:p>
          <w:p w14:paraId="2DA352B1">
            <w:pPr>
              <w:spacing w:after="46" w:afterLines="15"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面积（m</w:t>
            </w:r>
            <w:r>
              <w:rPr>
                <w:rFonts w:hint="eastAsia" w:ascii="Times New Roman" w:hAnsi="Times New Roman" w:eastAsia="宋体"/>
                <w:b/>
                <w:bCs/>
                <w:color w:val="000000" w:themeColor="text1"/>
                <w:sz w:val="24"/>
                <w:highlight w:val="none"/>
                <w:vertAlign w:val="superscript"/>
                <w14:textFill>
                  <w14:solidFill>
                    <w14:schemeClr w14:val="tx1"/>
                  </w14:solidFill>
                </w14:textFill>
              </w:rPr>
              <w:t>2</w:t>
            </w:r>
            <w:r>
              <w:rPr>
                <w:rFonts w:hint="eastAsia" w:ascii="Times New Roman" w:hAnsi="Times New Roman" w:eastAsia="宋体"/>
                <w:b/>
                <w:bCs/>
                <w:color w:val="000000" w:themeColor="text1"/>
                <w:sz w:val="24"/>
                <w:highlight w:val="none"/>
                <w14:textFill>
                  <w14:solidFill>
                    <w14:schemeClr w14:val="tx1"/>
                  </w14:solidFill>
                </w14:textFill>
              </w:rPr>
              <w:t>）</w:t>
            </w:r>
          </w:p>
        </w:tc>
        <w:tc>
          <w:tcPr>
            <w:tcW w:w="1872" w:type="pct"/>
            <w:vAlign w:val="center"/>
          </w:tcPr>
          <w:p w14:paraId="6DA80F8A">
            <w:pPr>
              <w:spacing w:line="360" w:lineRule="auto"/>
              <w:jc w:val="center"/>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1104m</w:t>
            </w:r>
            <w:r>
              <w:rPr>
                <w:rFonts w:hint="eastAsia" w:ascii="Times New Roman" w:hAnsi="Times New Roman" w:eastAsia="宋体"/>
                <w:color w:val="000000" w:themeColor="text1"/>
                <w:sz w:val="24"/>
                <w:highlight w:val="none"/>
                <w:vertAlign w:val="superscript"/>
                <w14:textFill>
                  <w14:solidFill>
                    <w14:schemeClr w14:val="tx1"/>
                  </w14:solidFill>
                </w14:textFill>
              </w:rPr>
              <w:t>2</w:t>
            </w:r>
          </w:p>
        </w:tc>
      </w:tr>
      <w:tr w14:paraId="4152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4F316007">
            <w:pPr>
              <w:keepNext w:val="0"/>
              <w:keepLines w:val="0"/>
              <w:pageBreakBefore w:val="0"/>
              <w:widowControl w:val="0"/>
              <w:kinsoku/>
              <w:wordWrap/>
              <w:overflowPunct/>
              <w:topLinePunct w:val="0"/>
              <w:autoSpaceDE/>
              <w:autoSpaceDN/>
              <w:bidi w:val="0"/>
              <w:adjustRightInd/>
              <w:snapToGrid/>
              <w:spacing w:before="62" w:beforeLines="20" w:after="62" w:afterLines="20" w:line="240" w:lineRule="auto"/>
              <w:jc w:val="center"/>
              <w:textAlignment w:val="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专项评价设置情况</w:t>
            </w:r>
          </w:p>
        </w:tc>
        <w:tc>
          <w:tcPr>
            <w:tcW w:w="4160" w:type="pct"/>
            <w:gridSpan w:val="3"/>
            <w:vAlign w:val="center"/>
          </w:tcPr>
          <w:p w14:paraId="343DD631">
            <w:pPr>
              <w:autoSpaceDE w:val="0"/>
              <w:autoSpaceDN w:val="0"/>
              <w:adjustRightInd w:val="0"/>
              <w:spacing w:line="360" w:lineRule="auto"/>
              <w:ind w:firstLine="480" w:firstLineChars="200"/>
              <w:rPr>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对照《建设项目环境影响报告表编制技术指南（污染影响类）（试行）》（详见表1-1）判断本项目环评专项评价设置情况。经分析，本项目环评无需</w:t>
            </w:r>
            <w:r>
              <w:rPr>
                <w:rFonts w:hint="eastAsia"/>
                <w:color w:val="000000" w:themeColor="text1"/>
                <w:sz w:val="24"/>
                <w:highlight w:val="none"/>
                <w14:textFill>
                  <w14:solidFill>
                    <w14:schemeClr w14:val="tx1"/>
                  </w14:solidFill>
                </w14:textFill>
              </w:rPr>
              <w:t>设置专项评价。</w:t>
            </w:r>
          </w:p>
          <w:p w14:paraId="49A8B50C">
            <w:pPr>
              <w:widowControl/>
              <w:jc w:val="center"/>
              <w:rPr>
                <w:rFonts w:hint="eastAsia" w:ascii="宋体" w:hAnsi="宋体" w:eastAsia="宋体" w:cs="宋体"/>
                <w:b/>
                <w:bCs/>
                <w:color w:val="000000" w:themeColor="text1"/>
                <w:kern w:val="0"/>
                <w:sz w:val="24"/>
                <w:highlight w:val="none"/>
                <w:lang w:bidi="ar"/>
                <w14:textFill>
                  <w14:solidFill>
                    <w14:schemeClr w14:val="tx1"/>
                  </w14:solidFill>
                </w14:textFill>
              </w:rPr>
            </w:pPr>
          </w:p>
          <w:p w14:paraId="68A592F1">
            <w:pPr>
              <w:widowControl/>
              <w:jc w:val="center"/>
              <w:rPr>
                <w:rFonts w:hint="eastAsia" w:ascii="宋体" w:hAnsi="宋体" w:eastAsia="宋体" w:cs="宋体"/>
                <w:b/>
                <w:bCs/>
                <w:color w:val="000000" w:themeColor="text1"/>
                <w:kern w:val="0"/>
                <w:sz w:val="24"/>
                <w:highlight w:val="none"/>
                <w:lang w:bidi="ar"/>
                <w14:textFill>
                  <w14:solidFill>
                    <w14:schemeClr w14:val="tx1"/>
                  </w14:solidFill>
                </w14:textFill>
              </w:rPr>
            </w:pPr>
          </w:p>
          <w:p w14:paraId="434EF3FC">
            <w:pPr>
              <w:widowControl/>
              <w:jc w:val="center"/>
              <w:rPr>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lang w:bidi="ar"/>
                <w14:textFill>
                  <w14:solidFill>
                    <w14:schemeClr w14:val="tx1"/>
                  </w14:solidFill>
                </w14:textFill>
              </w:rPr>
              <w:t>表</w:t>
            </w:r>
            <w:r>
              <w:rPr>
                <w:rFonts w:ascii="Times New Roman" w:hAnsi="Times New Roman" w:eastAsia="宋体" w:cs="Times New Roman"/>
                <w:b/>
                <w:bCs/>
                <w:color w:val="000000" w:themeColor="text1"/>
                <w:kern w:val="0"/>
                <w:sz w:val="24"/>
                <w:highlight w:val="none"/>
                <w:lang w:bidi="ar"/>
                <w14:textFill>
                  <w14:solidFill>
                    <w14:schemeClr w14:val="tx1"/>
                  </w14:solidFill>
                </w14:textFill>
              </w:rPr>
              <w:t>1-1</w:t>
            </w:r>
            <w:r>
              <w:rPr>
                <w:rFonts w:hint="eastAsia" w:ascii="宋体" w:hAnsi="宋体" w:eastAsia="宋体" w:cs="宋体"/>
                <w:b/>
                <w:bCs/>
                <w:color w:val="000000" w:themeColor="text1"/>
                <w:kern w:val="0"/>
                <w:sz w:val="24"/>
                <w:highlight w:val="none"/>
                <w:lang w:bidi="ar"/>
                <w14:textFill>
                  <w14:solidFill>
                    <w14:schemeClr w14:val="tx1"/>
                  </w14:solidFill>
                </w14:textFill>
              </w:rPr>
              <w:t>专项评价设置原则对照表</w:t>
            </w:r>
          </w:p>
          <w:tbl>
            <w:tblPr>
              <w:tblStyle w:val="27"/>
              <w:tblW w:w="7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2757"/>
              <w:gridCol w:w="2916"/>
              <w:gridCol w:w="1137"/>
            </w:tblGrid>
            <w:tr w14:paraId="1215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46F2F0C0">
                  <w:pPr>
                    <w:pStyle w:val="2"/>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类别</w:t>
                  </w:r>
                </w:p>
              </w:tc>
              <w:tc>
                <w:tcPr>
                  <w:tcW w:w="2757" w:type="dxa"/>
                  <w:vAlign w:val="center"/>
                </w:tcPr>
                <w:p w14:paraId="710AC64C">
                  <w:pPr>
                    <w:widowControl/>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设置原则</w:t>
                  </w:r>
                </w:p>
              </w:tc>
              <w:tc>
                <w:tcPr>
                  <w:tcW w:w="2916" w:type="dxa"/>
                  <w:vAlign w:val="center"/>
                </w:tcPr>
                <w:p w14:paraId="45663590">
                  <w:pPr>
                    <w:widowControl/>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eastAsia="zh-CN" w:bidi="ar"/>
                      <w14:textFill>
                        <w14:solidFill>
                          <w14:schemeClr w14:val="tx1"/>
                        </w14:solidFill>
                      </w14:textFill>
                    </w:rPr>
                    <w:t>本</w:t>
                  </w:r>
                  <w:r>
                    <w:rPr>
                      <w:rFonts w:ascii="Times New Roman" w:hAnsi="Times New Roman" w:eastAsia="宋体" w:cs="Times New Roman"/>
                      <w:color w:val="000000" w:themeColor="text1"/>
                      <w:kern w:val="0"/>
                      <w:szCs w:val="21"/>
                      <w:highlight w:val="none"/>
                      <w:lang w:bidi="ar"/>
                      <w14:textFill>
                        <w14:solidFill>
                          <w14:schemeClr w14:val="tx1"/>
                        </w14:solidFill>
                      </w14:textFill>
                    </w:rPr>
                    <w:t>项目情况</w:t>
                  </w:r>
                </w:p>
              </w:tc>
              <w:tc>
                <w:tcPr>
                  <w:tcW w:w="1137" w:type="dxa"/>
                  <w:vAlign w:val="center"/>
                </w:tcPr>
                <w:p w14:paraId="7D21BB23">
                  <w:pPr>
                    <w:pStyle w:val="2"/>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是否设置</w:t>
                  </w:r>
                </w:p>
              </w:tc>
            </w:tr>
            <w:tr w14:paraId="4FE9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50B20C26">
                  <w:pPr>
                    <w:pStyle w:val="2"/>
                    <w:spacing w:before="0" w:after="0" w:line="240" w:lineRule="auto"/>
                    <w:ind w:left="0" w:firstLine="0"/>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大气</w:t>
                  </w:r>
                </w:p>
              </w:tc>
              <w:tc>
                <w:tcPr>
                  <w:tcW w:w="2757" w:type="dxa"/>
                  <w:vAlign w:val="center"/>
                </w:tcPr>
                <w:p w14:paraId="5988FF8B">
                  <w:pPr>
                    <w:widowControl/>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排放</w:t>
                  </w:r>
                  <w:r>
                    <w:rPr>
                      <w:rFonts w:hint="eastAsia" w:cs="Times New Roman"/>
                      <w:color w:val="000000" w:themeColor="text1"/>
                      <w:kern w:val="0"/>
                      <w:szCs w:val="21"/>
                      <w:highlight w:val="none"/>
                      <w:lang w:bidi="ar"/>
                      <w14:textFill>
                        <w14:solidFill>
                          <w14:schemeClr w14:val="tx1"/>
                        </w14:solidFill>
                      </w14:textFill>
                    </w:rPr>
                    <w:t>废气</w:t>
                  </w:r>
                  <w:r>
                    <w:rPr>
                      <w:rFonts w:ascii="Times New Roman" w:hAnsi="Times New Roman" w:eastAsia="宋体" w:cs="Times New Roman"/>
                      <w:color w:val="000000" w:themeColor="text1"/>
                      <w:kern w:val="0"/>
                      <w:szCs w:val="21"/>
                      <w:highlight w:val="none"/>
                      <w:lang w:bidi="ar"/>
                      <w14:textFill>
                        <w14:solidFill>
                          <w14:schemeClr w14:val="tx1"/>
                        </w14:solidFill>
                      </w14:textFill>
                    </w:rPr>
                    <w:t>含有毒有害污染物、</w:t>
                  </w:r>
                  <w:r>
                    <w:rPr>
                      <w:rFonts w:hint="eastAsia" w:cs="Times New Roman"/>
                      <w:color w:val="000000" w:themeColor="text1"/>
                      <w:kern w:val="0"/>
                      <w:szCs w:val="21"/>
                      <w:highlight w:val="none"/>
                      <w:lang w:bidi="ar"/>
                      <w14:textFill>
                        <w14:solidFill>
                          <w14:schemeClr w14:val="tx1"/>
                        </w14:solidFill>
                      </w14:textFill>
                    </w:rPr>
                    <w:t>二噁英</w:t>
                  </w:r>
                  <w:r>
                    <w:rPr>
                      <w:rFonts w:ascii="Times New Roman" w:hAnsi="Times New Roman" w:eastAsia="宋体" w:cs="Times New Roman"/>
                      <w:color w:val="000000" w:themeColor="text1"/>
                      <w:kern w:val="0"/>
                      <w:szCs w:val="21"/>
                      <w:highlight w:val="none"/>
                      <w:lang w:bidi="ar"/>
                      <w14:textFill>
                        <w14:solidFill>
                          <w14:schemeClr w14:val="tx1"/>
                        </w14:solidFill>
                      </w14:textFill>
                    </w:rPr>
                    <w:t>、苯并[a]芘、氰化物、氯气且厂界外500米范围内有环境空气保护目标的建设项目</w:t>
                  </w:r>
                </w:p>
              </w:tc>
              <w:tc>
                <w:tcPr>
                  <w:tcW w:w="2916" w:type="dxa"/>
                  <w:vAlign w:val="center"/>
                </w:tcPr>
                <w:p w14:paraId="77C06D5B">
                  <w:pPr>
                    <w:widowControl/>
                    <w:jc w:val="left"/>
                    <w:rPr>
                      <w:rFonts w:hint="eastAsia" w:ascii="Times New Roman" w:hAnsi="Times New Roman" w:cs="Times New Roman" w:eastAsiaTheme="minorEastAsia"/>
                      <w:color w:val="000000" w:themeColor="text1"/>
                      <w:kern w:val="0"/>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本项目不排放《有毒有害大气污染物名录》中的有毒有害污染物</w:t>
                  </w:r>
                  <w:r>
                    <w:rPr>
                      <w:rStyle w:val="31"/>
                      <w:rFonts w:hint="default" w:ascii="Times New Roman" w:hAnsi="Times New Roman" w:cs="Times New Roman"/>
                      <w:color w:val="000000" w:themeColor="text1"/>
                      <w:kern w:val="0"/>
                      <w:szCs w:val="20"/>
                      <w:highlight w:val="no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lang w:bidi="ar"/>
                      <w14:textFill>
                        <w14:solidFill>
                          <w14:schemeClr w14:val="tx1"/>
                        </w14:solidFill>
                      </w14:textFill>
                    </w:rPr>
                    <w:t>二噁英、苯并[a]芘、氰化物、氯气且厂界外500米范围内有环境空气保护目标的建设项目</w:t>
                  </w:r>
                  <w:r>
                    <w:rPr>
                      <w:rFonts w:hint="eastAsia" w:ascii="Times New Roman" w:hAnsi="Times New Roman" w:cs="Times New Roman"/>
                      <w:color w:val="000000" w:themeColor="text1"/>
                      <w:kern w:val="0"/>
                      <w:szCs w:val="21"/>
                      <w:highlight w:val="none"/>
                      <w:lang w:eastAsia="zh-CN" w:bidi="ar"/>
                      <w14:textFill>
                        <w14:solidFill>
                          <w14:schemeClr w14:val="tx1"/>
                        </w14:solidFill>
                      </w14:textFill>
                    </w:rPr>
                    <w:t>。</w:t>
                  </w:r>
                </w:p>
              </w:tc>
              <w:tc>
                <w:tcPr>
                  <w:tcW w:w="1137" w:type="dxa"/>
                  <w:vAlign w:val="center"/>
                </w:tcPr>
                <w:p w14:paraId="2C30318C">
                  <w:pPr>
                    <w:widowControl/>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不设专项评价</w:t>
                  </w:r>
                </w:p>
              </w:tc>
            </w:tr>
            <w:tr w14:paraId="1FB7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3" w:type="dxa"/>
                  <w:vAlign w:val="center"/>
                </w:tcPr>
                <w:p w14:paraId="4FD92E1D">
                  <w:pPr>
                    <w:pStyle w:val="2"/>
                    <w:spacing w:before="0" w:after="0" w:line="240" w:lineRule="auto"/>
                    <w:ind w:left="0" w:firstLine="0"/>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地表水</w:t>
                  </w:r>
                </w:p>
              </w:tc>
              <w:tc>
                <w:tcPr>
                  <w:tcW w:w="2757" w:type="dxa"/>
                  <w:vAlign w:val="center"/>
                </w:tcPr>
                <w:p w14:paraId="59CAF3E9">
                  <w:pPr>
                    <w:widowControl/>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新增工业废水直排建设项目</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w:t>
                  </w:r>
                  <w:r>
                    <w:rPr>
                      <w:rFonts w:ascii="Times New Roman" w:hAnsi="Times New Roman" w:eastAsia="宋体" w:cs="Times New Roman"/>
                      <w:color w:val="000000" w:themeColor="text1"/>
                      <w:kern w:val="0"/>
                      <w:szCs w:val="21"/>
                      <w:highlight w:val="none"/>
                      <w:lang w:bidi="ar"/>
                      <w14:textFill>
                        <w14:solidFill>
                          <w14:schemeClr w14:val="tx1"/>
                        </w14:solidFill>
                      </w14:textFill>
                    </w:rPr>
                    <w:t>槽罐车外送污水处理厂的除外</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w:t>
                  </w:r>
                  <w:r>
                    <w:rPr>
                      <w:rFonts w:ascii="Times New Roman" w:hAnsi="Times New Roman" w:eastAsia="宋体" w:cs="Times New Roman"/>
                      <w:color w:val="000000" w:themeColor="text1"/>
                      <w:kern w:val="0"/>
                      <w:szCs w:val="21"/>
                      <w:highlight w:val="none"/>
                      <w:lang w:bidi="ar"/>
                      <w14:textFill>
                        <w14:solidFill>
                          <w14:schemeClr w14:val="tx1"/>
                        </w14:solidFill>
                      </w14:textFill>
                    </w:rPr>
                    <w:t>；新增废水直排的污水集中处理厂</w:t>
                  </w:r>
                </w:p>
              </w:tc>
              <w:tc>
                <w:tcPr>
                  <w:tcW w:w="2916" w:type="dxa"/>
                  <w:vAlign w:val="center"/>
                </w:tcPr>
                <w:p w14:paraId="59FC28A1">
                  <w:pPr>
                    <w:widowControl/>
                    <w:jc w:val="both"/>
                    <w:rPr>
                      <w:rFonts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14:textFill>
                        <w14:solidFill>
                          <w14:schemeClr w14:val="tx1"/>
                        </w14:solidFill>
                      </w14:textFill>
                    </w:rPr>
                    <w:t>项目废水</w:t>
                  </w:r>
                  <w:r>
                    <w:rPr>
                      <w:rFonts w:hint="eastAsia" w:cs="Times New Roman"/>
                      <w:color w:val="000000" w:themeColor="text1"/>
                      <w:szCs w:val="21"/>
                      <w:highlight w:val="none"/>
                      <w:lang w:eastAsia="zh-CN"/>
                      <w14:textFill>
                        <w14:solidFill>
                          <w14:schemeClr w14:val="tx1"/>
                        </w14:solidFill>
                      </w14:textFill>
                    </w:rPr>
                    <w:t>依托</w:t>
                  </w:r>
                  <w:r>
                    <w:rPr>
                      <w:rFonts w:hint="default" w:cs="Times New Roman"/>
                      <w:color w:val="000000" w:themeColor="text1"/>
                      <w:szCs w:val="21"/>
                      <w:highlight w:val="none"/>
                      <w14:textFill>
                        <w14:solidFill>
                          <w14:schemeClr w14:val="tx1"/>
                        </w14:solidFill>
                      </w14:textFill>
                    </w:rPr>
                    <w:t>重庆</w:t>
                  </w:r>
                  <w:r>
                    <w:rPr>
                      <w:rFonts w:hint="eastAsia" w:cs="Times New Roman"/>
                      <w:color w:val="000000" w:themeColor="text1"/>
                      <w:szCs w:val="21"/>
                      <w:highlight w:val="none"/>
                      <w:lang w:eastAsia="zh-CN"/>
                      <w14:textFill>
                        <w14:solidFill>
                          <w14:schemeClr w14:val="tx1"/>
                        </w14:solidFill>
                      </w14:textFill>
                    </w:rPr>
                    <w:t>坤坤农业装备制造</w:t>
                  </w:r>
                  <w:r>
                    <w:rPr>
                      <w:rFonts w:hint="default" w:cs="Times New Roman"/>
                      <w:color w:val="000000" w:themeColor="text1"/>
                      <w:szCs w:val="21"/>
                      <w:highlight w:val="none"/>
                      <w14:textFill>
                        <w14:solidFill>
                          <w14:schemeClr w14:val="tx1"/>
                        </w14:solidFill>
                      </w14:textFill>
                    </w:rPr>
                    <w:t>有限公司</w:t>
                  </w:r>
                  <w:r>
                    <w:rPr>
                      <w:rFonts w:hint="eastAsia" w:cs="Times New Roman"/>
                      <w:color w:val="000000" w:themeColor="text1"/>
                      <w:szCs w:val="21"/>
                      <w:highlight w:val="none"/>
                      <w:lang w:eastAsia="zh-CN"/>
                      <w14:textFill>
                        <w14:solidFill>
                          <w14:schemeClr w14:val="tx1"/>
                        </w14:solidFill>
                      </w14:textFill>
                    </w:rPr>
                    <w:t>生化池</w:t>
                  </w:r>
                  <w:r>
                    <w:rPr>
                      <w:rFonts w:hint="eastAsia" w:cs="Times New Roman"/>
                      <w:color w:val="000000" w:themeColor="text1"/>
                      <w:szCs w:val="21"/>
                      <w:highlight w:val="none"/>
                      <w14:textFill>
                        <w14:solidFill>
                          <w14:schemeClr w14:val="tx1"/>
                        </w14:solidFill>
                      </w14:textFill>
                    </w:rPr>
                    <w:t>处理后通过污水管网进入园区污水处理厂</w:t>
                  </w:r>
                  <w:r>
                    <w:rPr>
                      <w:rFonts w:hint="eastAsia" w:cs="Times New Roman"/>
                      <w:color w:val="000000" w:themeColor="text1"/>
                      <w:szCs w:val="21"/>
                      <w:highlight w:val="none"/>
                      <w:lang w:eastAsia="zh-CN"/>
                      <w14:textFill>
                        <w14:solidFill>
                          <w14:schemeClr w14:val="tx1"/>
                        </w14:solidFill>
                      </w14:textFill>
                    </w:rPr>
                    <w:t>进一步</w:t>
                  </w:r>
                  <w:r>
                    <w:rPr>
                      <w:rFonts w:hint="eastAsia" w:cs="Times New Roman"/>
                      <w:color w:val="000000" w:themeColor="text1"/>
                      <w:szCs w:val="21"/>
                      <w:highlight w:val="none"/>
                      <w14:textFill>
                        <w14:solidFill>
                          <w14:schemeClr w14:val="tx1"/>
                        </w14:solidFill>
                      </w14:textFill>
                    </w:rPr>
                    <w:t>处理达标后外排，</w:t>
                  </w:r>
                  <w:r>
                    <w:rPr>
                      <w:rFonts w:hint="eastAsia" w:cs="Times New Roman"/>
                      <w:color w:val="000000" w:themeColor="text1"/>
                      <w:kern w:val="0"/>
                      <w:szCs w:val="21"/>
                      <w:highlight w:val="none"/>
                      <w:lang w:bidi="ar"/>
                      <w14:textFill>
                        <w14:solidFill>
                          <w14:schemeClr w14:val="tx1"/>
                        </w14:solidFill>
                      </w14:textFill>
                    </w:rPr>
                    <w:t>属于间接排放建设项目。</w:t>
                  </w:r>
                </w:p>
              </w:tc>
              <w:tc>
                <w:tcPr>
                  <w:tcW w:w="1137" w:type="dxa"/>
                  <w:vAlign w:val="center"/>
                </w:tcPr>
                <w:p w14:paraId="39AF9369">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不设专项评价</w:t>
                  </w:r>
                </w:p>
              </w:tc>
            </w:tr>
            <w:tr w14:paraId="2BFA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4B3C33E6">
                  <w:pPr>
                    <w:pStyle w:val="2"/>
                    <w:spacing w:before="0" w:after="0" w:line="240" w:lineRule="auto"/>
                    <w:ind w:left="0" w:firstLine="0"/>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环境风险</w:t>
                  </w:r>
                </w:p>
              </w:tc>
              <w:tc>
                <w:tcPr>
                  <w:tcW w:w="2757" w:type="dxa"/>
                  <w:vAlign w:val="center"/>
                </w:tcPr>
                <w:p w14:paraId="5F9FD578">
                  <w:pPr>
                    <w:widowControl/>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有毒有害和易燃易爆危险物质存储量超过临界量的建设项目</w:t>
                  </w:r>
                </w:p>
              </w:tc>
              <w:tc>
                <w:tcPr>
                  <w:tcW w:w="2916" w:type="dxa"/>
                  <w:vAlign w:val="center"/>
                </w:tcPr>
                <w:p w14:paraId="11CD5169">
                  <w:pPr>
                    <w:widowControl/>
                    <w:rPr>
                      <w:rFonts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kern w:val="0"/>
                      <w:szCs w:val="21"/>
                      <w:highlight w:val="none"/>
                      <w:lang w:bidi="ar"/>
                      <w14:textFill>
                        <w14:solidFill>
                          <w14:schemeClr w14:val="tx1"/>
                        </w14:solidFill>
                      </w14:textFill>
                    </w:rPr>
                    <w:t>本项目危险物质存储量未超过临界量。</w:t>
                  </w:r>
                </w:p>
              </w:tc>
              <w:tc>
                <w:tcPr>
                  <w:tcW w:w="1137" w:type="dxa"/>
                  <w:vAlign w:val="center"/>
                </w:tcPr>
                <w:p w14:paraId="0CB8E371">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kern w:val="0"/>
                      <w:szCs w:val="21"/>
                      <w:highlight w:val="none"/>
                      <w:lang w:bidi="ar"/>
                      <w14:textFill>
                        <w14:solidFill>
                          <w14:schemeClr w14:val="tx1"/>
                        </w14:solidFill>
                      </w14:textFill>
                    </w:rPr>
                    <w:t>不</w:t>
                  </w:r>
                  <w:r>
                    <w:rPr>
                      <w:rFonts w:ascii="Times New Roman" w:hAnsi="Times New Roman" w:eastAsia="宋体" w:cs="Times New Roman"/>
                      <w:color w:val="000000" w:themeColor="text1"/>
                      <w:kern w:val="0"/>
                      <w:szCs w:val="21"/>
                      <w:highlight w:val="none"/>
                      <w:lang w:bidi="ar"/>
                      <w14:textFill>
                        <w14:solidFill>
                          <w14:schemeClr w14:val="tx1"/>
                        </w14:solidFill>
                      </w14:textFill>
                    </w:rPr>
                    <w:t>设专项评价</w:t>
                  </w:r>
                </w:p>
              </w:tc>
            </w:tr>
            <w:tr w14:paraId="3022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3683CCC4">
                  <w:pPr>
                    <w:pStyle w:val="2"/>
                    <w:spacing w:before="0" w:after="0" w:line="240" w:lineRule="auto"/>
                    <w:ind w:left="0" w:firstLine="0"/>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生态</w:t>
                  </w:r>
                </w:p>
              </w:tc>
              <w:tc>
                <w:tcPr>
                  <w:tcW w:w="2757" w:type="dxa"/>
                  <w:vAlign w:val="center"/>
                </w:tcPr>
                <w:p w14:paraId="79534527">
                  <w:pPr>
                    <w:widowControl/>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取水口下游500m范围内有重要水生生物的自然产卵场、索饵场、越冬场和洄游通道的新增河道取水的污染类建设项目</w:t>
                  </w:r>
                </w:p>
              </w:tc>
              <w:tc>
                <w:tcPr>
                  <w:tcW w:w="2916" w:type="dxa"/>
                  <w:vAlign w:val="center"/>
                </w:tcPr>
                <w:p w14:paraId="0A90F417">
                  <w:pPr>
                    <w:widowControl/>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本项目建设不涉及取水口</w:t>
                  </w:r>
                </w:p>
              </w:tc>
              <w:tc>
                <w:tcPr>
                  <w:tcW w:w="1137" w:type="dxa"/>
                  <w:vAlign w:val="center"/>
                </w:tcPr>
                <w:p w14:paraId="75F0C0D6">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不设专项评价</w:t>
                  </w:r>
                </w:p>
              </w:tc>
            </w:tr>
            <w:tr w14:paraId="15B8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6D933D71">
                  <w:pPr>
                    <w:pStyle w:val="2"/>
                    <w:spacing w:before="0" w:after="0" w:line="240" w:lineRule="auto"/>
                    <w:ind w:left="0" w:firstLine="0"/>
                    <w:jc w:val="cente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海洋</w:t>
                  </w:r>
                </w:p>
              </w:tc>
              <w:tc>
                <w:tcPr>
                  <w:tcW w:w="2757" w:type="dxa"/>
                  <w:shd w:val="clear" w:color="auto" w:fill="auto"/>
                  <w:vAlign w:val="center"/>
                </w:tcPr>
                <w:p w14:paraId="75049BF1">
                  <w:pPr>
                    <w:widowControl/>
                    <w:rPr>
                      <w:rFonts w:asciiTheme="minorHAnsi" w:hAnsiTheme="minorHAnsi" w:eastAsiaTheme="minorEastAsia" w:cstheme="minorBidi"/>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Cs w:val="21"/>
                      <w:highlight w:val="none"/>
                      <w:lang w:bidi="ar"/>
                      <w14:textFill>
                        <w14:solidFill>
                          <w14:schemeClr w14:val="tx1"/>
                        </w14:solidFill>
                      </w14:textFill>
                    </w:rPr>
                    <w:t>直接向海排放污染物的海洋工程建设项目</w:t>
                  </w:r>
                </w:p>
              </w:tc>
              <w:tc>
                <w:tcPr>
                  <w:tcW w:w="2916" w:type="dxa"/>
                  <w:shd w:val="clear" w:color="auto" w:fill="auto"/>
                  <w:vAlign w:val="center"/>
                </w:tcPr>
                <w:p w14:paraId="72A37EB1">
                  <w:pPr>
                    <w:widowControl/>
                    <w:jc w:val="both"/>
                    <w:rPr>
                      <w:color w:val="000000" w:themeColor="text1"/>
                      <w:kern w:val="0"/>
                      <w:szCs w:val="21"/>
                      <w:highlight w:val="none"/>
                      <w:lang w:bidi="ar"/>
                      <w14:textFill>
                        <w14:solidFill>
                          <w14:schemeClr w14:val="tx1"/>
                        </w14:solidFill>
                      </w14:textFill>
                    </w:rPr>
                  </w:pPr>
                  <w:r>
                    <w:rPr>
                      <w:rFonts w:hint="eastAsia"/>
                      <w:color w:val="000000" w:themeColor="text1"/>
                      <w:kern w:val="0"/>
                      <w:szCs w:val="21"/>
                      <w:highlight w:val="none"/>
                      <w:lang w:bidi="ar"/>
                      <w14:textFill>
                        <w14:solidFill>
                          <w14:schemeClr w14:val="tx1"/>
                        </w14:solidFill>
                      </w14:textFill>
                    </w:rPr>
                    <w:t>本项目不属于海洋工程建设</w:t>
                  </w:r>
                </w:p>
                <w:p w14:paraId="6AD1D222">
                  <w:pPr>
                    <w:widowControl/>
                    <w:jc w:val="both"/>
                    <w:rPr>
                      <w:rFonts w:asciiTheme="minorHAnsi" w:hAnsiTheme="minorHAnsi" w:eastAsiaTheme="minorEastAsia" w:cstheme="minorBidi"/>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Cs w:val="21"/>
                      <w:highlight w:val="none"/>
                      <w:lang w:bidi="ar"/>
                      <w14:textFill>
                        <w14:solidFill>
                          <w14:schemeClr w14:val="tx1"/>
                        </w14:solidFill>
                      </w14:textFill>
                    </w:rPr>
                    <w:t>项目</w:t>
                  </w:r>
                </w:p>
              </w:tc>
              <w:tc>
                <w:tcPr>
                  <w:tcW w:w="1137" w:type="dxa"/>
                  <w:shd w:val="clear" w:color="auto" w:fill="auto"/>
                  <w:vAlign w:val="center"/>
                </w:tcPr>
                <w:p w14:paraId="7036BC95">
                  <w:pPr>
                    <w:jc w:val="center"/>
                    <w:rPr>
                      <w:rFonts w:asciiTheme="minorHAnsi" w:hAnsiTheme="minorHAnsi" w:eastAsiaTheme="minorEastAsia" w:cstheme="minorBidi"/>
                      <w:color w:val="000000" w:themeColor="text1"/>
                      <w:kern w:val="0"/>
                      <w:sz w:val="21"/>
                      <w:szCs w:val="21"/>
                      <w:highlight w:val="none"/>
                      <w:lang w:val="en-US" w:eastAsia="zh-CN" w:bidi="ar"/>
                      <w14:textFill>
                        <w14:solidFill>
                          <w14:schemeClr w14:val="tx1"/>
                        </w14:solidFill>
                      </w14:textFill>
                    </w:rPr>
                  </w:pPr>
                  <w:r>
                    <w:rPr>
                      <w:color w:val="000000" w:themeColor="text1"/>
                      <w:kern w:val="0"/>
                      <w:szCs w:val="21"/>
                      <w:highlight w:val="none"/>
                      <w:lang w:bidi="ar"/>
                      <w14:textFill>
                        <w14:solidFill>
                          <w14:schemeClr w14:val="tx1"/>
                        </w14:solidFill>
                      </w14:textFill>
                    </w:rPr>
                    <w:t>不设专项评价</w:t>
                  </w:r>
                </w:p>
              </w:tc>
            </w:tr>
            <w:tr w14:paraId="4784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3" w:type="dxa"/>
                  <w:vAlign w:val="center"/>
                </w:tcPr>
                <w:p w14:paraId="42CEA362">
                  <w:pPr>
                    <w:pStyle w:val="2"/>
                    <w:spacing w:before="0" w:after="0" w:line="240" w:lineRule="auto"/>
                    <w:ind w:left="0" w:firstLine="0"/>
                    <w:jc w:val="center"/>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eastAsia="宋体" w:cs="Times New Roman"/>
                      <w:b w:val="0"/>
                      <w:bCs w:val="0"/>
                      <w:color w:val="000000" w:themeColor="text1"/>
                      <w:sz w:val="21"/>
                      <w:szCs w:val="21"/>
                      <w:highlight w:val="none"/>
                      <w14:textFill>
                        <w14:solidFill>
                          <w14:schemeClr w14:val="tx1"/>
                        </w14:solidFill>
                      </w14:textFill>
                    </w:rPr>
                    <w:t>地下水</w:t>
                  </w:r>
                </w:p>
              </w:tc>
              <w:tc>
                <w:tcPr>
                  <w:tcW w:w="2757" w:type="dxa"/>
                  <w:vAlign w:val="center"/>
                </w:tcPr>
                <w:p w14:paraId="0C5EBC2C">
                  <w:pPr>
                    <w:widowControl/>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地下水原则上不开展专项评价，涉及集中式饮用水水源和热水、矿泉水、温泉等特殊地下水资源保护区的开展地下水专项评价工作</w:t>
                  </w:r>
                </w:p>
              </w:tc>
              <w:tc>
                <w:tcPr>
                  <w:tcW w:w="2916" w:type="dxa"/>
                  <w:vAlign w:val="center"/>
                </w:tcPr>
                <w:p w14:paraId="2965A819">
                  <w:pPr>
                    <w:widowControl/>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本项目建设不涉及集中式饮用水水源和热水、矿泉水、温泉等特殊地下水资源保护区</w:t>
                  </w:r>
                </w:p>
              </w:tc>
              <w:tc>
                <w:tcPr>
                  <w:tcW w:w="1137" w:type="dxa"/>
                  <w:vAlign w:val="center"/>
                </w:tcPr>
                <w:p w14:paraId="3BEE7ED4">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不设专项评价</w:t>
                  </w:r>
                </w:p>
              </w:tc>
            </w:tr>
            <w:tr w14:paraId="361B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3" w:type="dxa"/>
                  <w:gridSpan w:val="4"/>
                  <w:vAlign w:val="center"/>
                </w:tcPr>
                <w:p w14:paraId="3DECEDEB">
                  <w:pPr>
                    <w:adjustRightInd w:val="0"/>
                    <w:snapToGrid w:val="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注：1.废气中含有毒有害污染物指纳入《有毒有害大气污染物名录》的污染物（不包括无排放标准的污染物）。</w:t>
                  </w:r>
                </w:p>
                <w:p w14:paraId="457033F3">
                  <w:pPr>
                    <w:adjustRightInd w:val="0"/>
                    <w:snapToGrid w:val="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2.环境空气保护目标指自然保护区、风景名胜区、居住区、文化区和农村地区中人群较集中的区域。</w:t>
                  </w:r>
                </w:p>
                <w:p w14:paraId="7C85DA79">
                  <w:pP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3.临界量及其计算方法可参考《建设项目环境风险评价技术导则》（HJ169）附录B、附录C。</w:t>
                  </w:r>
                </w:p>
              </w:tc>
            </w:tr>
          </w:tbl>
          <w:p w14:paraId="77F11B26">
            <w:pPr>
              <w:spacing w:before="62" w:beforeLines="20" w:after="62" w:afterLines="20" w:line="360" w:lineRule="auto"/>
              <w:jc w:val="center"/>
              <w:rPr>
                <w:rFonts w:ascii="Times New Roman" w:hAnsi="Times New Roman" w:eastAsia="宋体"/>
                <w:color w:val="000000" w:themeColor="text1"/>
                <w:sz w:val="24"/>
                <w:highlight w:val="none"/>
                <w14:textFill>
                  <w14:solidFill>
                    <w14:schemeClr w14:val="tx1"/>
                  </w14:solidFill>
                </w14:textFill>
              </w:rPr>
            </w:pPr>
          </w:p>
        </w:tc>
      </w:tr>
      <w:tr w14:paraId="0EC0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1E1B14BA">
            <w:pPr>
              <w:spacing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规划情况</w:t>
            </w:r>
          </w:p>
        </w:tc>
        <w:tc>
          <w:tcPr>
            <w:tcW w:w="4160" w:type="pct"/>
            <w:gridSpan w:val="3"/>
            <w:vAlign w:val="center"/>
          </w:tcPr>
          <w:p w14:paraId="0FF6EBCE">
            <w:pPr>
              <w:spacing w:after="31" w:afterLines="10" w:line="372" w:lineRule="auto"/>
              <w:ind w:firstLine="52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cs="Times New Roman"/>
                <w:color w:val="000000" w:themeColor="text1"/>
                <w:sz w:val="26"/>
                <w:szCs w:val="26"/>
                <w:highlight w:val="none"/>
                <w14:textFill>
                  <w14:solidFill>
                    <w14:schemeClr w14:val="tx1"/>
                  </w14:solidFill>
                </w14:textFill>
              </w:rPr>
              <w:t>《重庆西彭工业园区规划》（2022年6月）</w:t>
            </w:r>
            <w:r>
              <w:rPr>
                <w:rFonts w:ascii="Times New Roman" w:hAnsi="Times New Roman" w:eastAsia="宋体" w:cs="Times New Roman"/>
                <w:color w:val="000000" w:themeColor="text1"/>
                <w:sz w:val="24"/>
                <w:highlight w:val="none"/>
                <w14:textFill>
                  <w14:solidFill>
                    <w14:schemeClr w14:val="tx1"/>
                  </w14:solidFill>
                </w14:textFill>
              </w:rPr>
              <w:t>。</w:t>
            </w:r>
          </w:p>
        </w:tc>
      </w:tr>
      <w:tr w14:paraId="7F82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39" w:type="pct"/>
            <w:vAlign w:val="center"/>
          </w:tcPr>
          <w:p w14:paraId="1B8BD503">
            <w:pPr>
              <w:spacing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规划环境影响</w:t>
            </w:r>
          </w:p>
          <w:p w14:paraId="5E779700">
            <w:pPr>
              <w:spacing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评价情况</w:t>
            </w:r>
          </w:p>
        </w:tc>
        <w:tc>
          <w:tcPr>
            <w:tcW w:w="4160" w:type="pct"/>
            <w:gridSpan w:val="3"/>
            <w:vAlign w:val="center"/>
          </w:tcPr>
          <w:p w14:paraId="2CE8BCB5">
            <w:pPr>
              <w:spacing w:line="360"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规划环境影响评价文件名称</w:t>
            </w:r>
            <w:r>
              <w:rPr>
                <w:rFonts w:hint="eastAsia" w:ascii="Times New Roman" w:hAnsi="Times New Roman" w:eastAsia="宋体"/>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《重庆西彭工业园区规划环境影响报告书》</w:t>
            </w:r>
            <w:r>
              <w:rPr>
                <w:rFonts w:hint="eastAsia" w:ascii="Times New Roman" w:hAnsi="Times New Roman" w:eastAsia="宋体"/>
                <w:color w:val="000000" w:themeColor="text1"/>
                <w:sz w:val="24"/>
                <w:highlight w:val="none"/>
                <w14:textFill>
                  <w14:solidFill>
                    <w14:schemeClr w14:val="tx1"/>
                  </w14:solidFill>
                </w14:textFill>
              </w:rPr>
              <w:t>；</w:t>
            </w:r>
          </w:p>
          <w:p w14:paraId="779C4032">
            <w:pPr>
              <w:spacing w:before="15" w:beforeLines="5" w:after="15" w:afterLines="5" w:line="372"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召集审查机关</w:t>
            </w:r>
            <w:r>
              <w:rPr>
                <w:rFonts w:hint="eastAsia" w:ascii="Times New Roman" w:hAnsi="Times New Roman" w:eastAsia="宋体"/>
                <w:color w:val="000000" w:themeColor="text1"/>
                <w:sz w:val="24"/>
                <w:highlight w:val="none"/>
                <w14:textFill>
                  <w14:solidFill>
                    <w14:schemeClr w14:val="tx1"/>
                  </w14:solidFill>
                </w14:textFill>
              </w:rPr>
              <w:t>：重庆市生态环境局；</w:t>
            </w:r>
          </w:p>
          <w:p w14:paraId="4057B334">
            <w:pPr>
              <w:spacing w:before="15" w:beforeLines="5" w:after="15" w:afterLines="5" w:line="372" w:lineRule="auto"/>
              <w:ind w:firstLine="482" w:firstLineChars="200"/>
              <w:rPr>
                <w:rFonts w:hint="eastAsia"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审查文件名称及文号</w:t>
            </w:r>
            <w:r>
              <w:rPr>
                <w:rFonts w:ascii="Times New Roman" w:hAnsi="Times New Roman" w:eastAsia="宋体"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《重庆市生态环境局关于重庆西彭工业园区规划环境影响报告书审查意见的函》（渝环函[2023]439号）</w:t>
            </w:r>
            <w:r>
              <w:rPr>
                <w:rFonts w:hint="eastAsia" w:ascii="Times New Roman" w:hAnsi="Times New Roman" w:eastAsia="宋体"/>
                <w:color w:val="000000" w:themeColor="text1"/>
                <w:sz w:val="24"/>
                <w:highlight w:val="none"/>
                <w14:textFill>
                  <w14:solidFill>
                    <w14:schemeClr w14:val="tx1"/>
                  </w14:solidFill>
                </w14:textFill>
              </w:rPr>
              <w:t>。</w:t>
            </w:r>
          </w:p>
          <w:p w14:paraId="02579A0B">
            <w:pPr>
              <w:autoSpaceDE w:val="0"/>
              <w:autoSpaceDN w:val="0"/>
              <w:adjustRightInd w:val="0"/>
              <w:snapToGrid w:val="0"/>
              <w:spacing w:line="480" w:lineRule="exact"/>
              <w:ind w:firstLine="480" w:firstLineChars="200"/>
              <w:jc w:val="left"/>
              <w:rPr>
                <w:rFonts w:hint="default" w:ascii="Times New Roman" w:hAnsi="Times New Roman" w:cs="Times New Roman"/>
                <w:snapToGrid w:val="0"/>
                <w:color w:val="000000" w:themeColor="text1"/>
                <w:kern w:val="0"/>
                <w:sz w:val="24"/>
                <w14:textFill>
                  <w14:solidFill>
                    <w14:schemeClr w14:val="tx1"/>
                  </w14:solidFill>
                </w14:textFill>
              </w:rPr>
            </w:pPr>
            <w:r>
              <w:rPr>
                <w:rFonts w:hint="default" w:ascii="Times New Roman" w:hAnsi="Times New Roman" w:cs="Times New Roman"/>
                <w:snapToGrid w:val="0"/>
                <w:color w:val="000000" w:themeColor="text1"/>
                <w:kern w:val="0"/>
                <w:sz w:val="24"/>
                <w14:textFill>
                  <w14:solidFill>
                    <w14:schemeClr w14:val="tx1"/>
                  </w14:solidFill>
                </w14:textFill>
              </w:rPr>
              <w:t>审查时间：2023年6月30日</w:t>
            </w:r>
          </w:p>
          <w:p w14:paraId="53D9FD77">
            <w:pPr>
              <w:autoSpaceDE w:val="0"/>
              <w:autoSpaceDN w:val="0"/>
              <w:adjustRightInd w:val="0"/>
              <w:snapToGrid w:val="0"/>
              <w:spacing w:line="480" w:lineRule="exact"/>
              <w:ind w:firstLine="480" w:firstLineChars="200"/>
              <w:jc w:val="left"/>
              <w:rPr>
                <w:rFonts w:hint="default" w:ascii="Times New Roman" w:hAnsi="Times New Roman" w:cs="Times New Roman"/>
                <w:snapToGrid w:val="0"/>
                <w:color w:val="000000" w:themeColor="text1"/>
                <w:sz w:val="24"/>
                <w14:textFill>
                  <w14:solidFill>
                    <w14:schemeClr w14:val="tx1"/>
                  </w14:solidFill>
                </w14:textFill>
              </w:rPr>
            </w:pPr>
            <w:r>
              <w:rPr>
                <w:rFonts w:hint="default" w:ascii="Times New Roman" w:hAnsi="Times New Roman" w:cs="Times New Roman"/>
                <w:snapToGrid w:val="0"/>
                <w:color w:val="000000" w:themeColor="text1"/>
                <w:sz w:val="24"/>
                <w14:textFill>
                  <w14:solidFill>
                    <w14:schemeClr w14:val="tx1"/>
                  </w14:solidFill>
                </w14:textFill>
              </w:rPr>
              <w:t>规划环境影响评价文件名称：《重庆西彭工业园区规划补充环境影响报告书》</w:t>
            </w:r>
          </w:p>
          <w:p w14:paraId="06A95EAA">
            <w:pPr>
              <w:autoSpaceDE w:val="0"/>
              <w:autoSpaceDN w:val="0"/>
              <w:adjustRightInd w:val="0"/>
              <w:snapToGrid w:val="0"/>
              <w:spacing w:line="480" w:lineRule="exact"/>
              <w:ind w:firstLine="480" w:firstLineChars="200"/>
              <w:jc w:val="left"/>
              <w:rPr>
                <w:rFonts w:hint="default" w:ascii="Times New Roman" w:hAnsi="Times New Roman" w:cs="Times New Roman"/>
                <w:snapToGrid w:val="0"/>
                <w:color w:val="000000" w:themeColor="text1"/>
                <w:sz w:val="24"/>
                <w14:textFill>
                  <w14:solidFill>
                    <w14:schemeClr w14:val="tx1"/>
                  </w14:solidFill>
                </w14:textFill>
              </w:rPr>
            </w:pPr>
            <w:r>
              <w:rPr>
                <w:rFonts w:hint="default" w:ascii="Times New Roman" w:hAnsi="Times New Roman" w:cs="Times New Roman"/>
                <w:snapToGrid w:val="0"/>
                <w:color w:val="000000" w:themeColor="text1"/>
                <w:sz w:val="24"/>
                <w14:textFill>
                  <w14:solidFill>
                    <w14:schemeClr w14:val="tx1"/>
                  </w14:solidFill>
                </w14:textFill>
              </w:rPr>
              <w:t>召集审查机关：重庆市生态环境局</w:t>
            </w:r>
          </w:p>
          <w:p w14:paraId="38AB25C1">
            <w:pPr>
              <w:autoSpaceDE w:val="0"/>
              <w:autoSpaceDN w:val="0"/>
              <w:adjustRightInd w:val="0"/>
              <w:snapToGrid w:val="0"/>
              <w:spacing w:line="480" w:lineRule="exact"/>
              <w:ind w:firstLine="480" w:firstLineChars="200"/>
              <w:jc w:val="left"/>
              <w:rPr>
                <w:rFonts w:hint="default" w:ascii="Times New Roman" w:hAnsi="Times New Roman" w:cs="Times New Roman"/>
                <w:snapToGrid w:val="0"/>
                <w:color w:val="000000" w:themeColor="text1"/>
                <w:sz w:val="24"/>
                <w14:textFill>
                  <w14:solidFill>
                    <w14:schemeClr w14:val="tx1"/>
                  </w14:solidFill>
                </w14:textFill>
              </w:rPr>
            </w:pPr>
            <w:r>
              <w:rPr>
                <w:rFonts w:hint="default" w:ascii="Times New Roman" w:hAnsi="Times New Roman" w:cs="Times New Roman"/>
                <w:snapToGrid w:val="0"/>
                <w:color w:val="000000" w:themeColor="text1"/>
                <w:sz w:val="24"/>
                <w14:textFill>
                  <w14:solidFill>
                    <w14:schemeClr w14:val="tx1"/>
                  </w14:solidFill>
                </w14:textFill>
              </w:rPr>
              <w:t>审查文件名称：《重庆市生态环境局关于重庆西彭工业园区规划补充环境影响报告书审查意见的函》</w:t>
            </w:r>
          </w:p>
          <w:p w14:paraId="5B16E36A">
            <w:pPr>
              <w:autoSpaceDE w:val="0"/>
              <w:autoSpaceDN w:val="0"/>
              <w:adjustRightInd w:val="0"/>
              <w:snapToGrid w:val="0"/>
              <w:spacing w:line="480" w:lineRule="exact"/>
              <w:ind w:firstLine="480" w:firstLineChars="200"/>
              <w:jc w:val="left"/>
              <w:rPr>
                <w:rFonts w:hint="default" w:ascii="Times New Roman" w:hAnsi="Times New Roman" w:cs="Times New Roman"/>
                <w:snapToGrid w:val="0"/>
                <w:color w:val="000000" w:themeColor="text1"/>
                <w:sz w:val="24"/>
                <w14:textFill>
                  <w14:solidFill>
                    <w14:schemeClr w14:val="tx1"/>
                  </w14:solidFill>
                </w14:textFill>
              </w:rPr>
            </w:pPr>
            <w:r>
              <w:rPr>
                <w:rFonts w:hint="default" w:ascii="Times New Roman" w:hAnsi="Times New Roman" w:cs="Times New Roman"/>
                <w:snapToGrid w:val="0"/>
                <w:color w:val="000000" w:themeColor="text1"/>
                <w:sz w:val="24"/>
                <w14:textFill>
                  <w14:solidFill>
                    <w14:schemeClr w14:val="tx1"/>
                  </w14:solidFill>
                </w14:textFill>
              </w:rPr>
              <w:t>文号：渝环函〔2025〕265号</w:t>
            </w:r>
          </w:p>
          <w:p w14:paraId="2B8CA0D9">
            <w:pPr>
              <w:spacing w:before="15" w:beforeLines="5" w:after="15" w:afterLines="5" w:line="372" w:lineRule="auto"/>
              <w:ind w:firstLine="480" w:firstLineChars="200"/>
              <w:rPr>
                <w:rFonts w:hint="eastAsia" w:ascii="Times New Roman" w:hAnsi="Times New Roman" w:eastAsia="宋体"/>
                <w:color w:val="000000" w:themeColor="text1"/>
                <w:sz w:val="24"/>
                <w:highlight w:val="none"/>
                <w14:textFill>
                  <w14:solidFill>
                    <w14:schemeClr w14:val="tx1"/>
                  </w14:solidFill>
                </w14:textFill>
              </w:rPr>
            </w:pPr>
            <w:r>
              <w:rPr>
                <w:rFonts w:hint="default" w:ascii="Times New Roman" w:hAnsi="Times New Roman" w:cs="Times New Roman"/>
                <w:snapToGrid w:val="0"/>
                <w:color w:val="000000" w:themeColor="text1"/>
                <w:sz w:val="24"/>
                <w14:textFill>
                  <w14:solidFill>
                    <w14:schemeClr w14:val="tx1"/>
                  </w14:solidFill>
                </w14:textFill>
              </w:rPr>
              <w:t>审查时间：2025年4月21日</w:t>
            </w:r>
          </w:p>
        </w:tc>
      </w:tr>
      <w:tr w14:paraId="7C6A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73" w:hRule="atLeast"/>
        </w:trPr>
        <w:tc>
          <w:tcPr>
            <w:tcW w:w="839" w:type="pct"/>
            <w:vAlign w:val="center"/>
          </w:tcPr>
          <w:p w14:paraId="517088B6">
            <w:pPr>
              <w:spacing w:line="372"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规划及规划环境影响评价符合性分析</w:t>
            </w:r>
          </w:p>
        </w:tc>
        <w:tc>
          <w:tcPr>
            <w:tcW w:w="4160" w:type="pct"/>
            <w:gridSpan w:val="3"/>
            <w:vAlign w:val="center"/>
          </w:tcPr>
          <w:p w14:paraId="65398927">
            <w:pPr>
              <w:adjustRightInd w:val="0"/>
              <w:spacing w:line="360" w:lineRule="auto"/>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1.1与规划及规划环境影响评价符合性分析</w:t>
            </w:r>
          </w:p>
          <w:p w14:paraId="6B4F919B">
            <w:pPr>
              <w:spacing w:line="360" w:lineRule="auto"/>
              <w:rPr>
                <w:rFonts w:ascii="Times New Roman" w:hAnsi="Times New Roman" w:cs="Times New Roman"/>
                <w:b/>
                <w:color w:val="000000" w:themeColor="text1"/>
                <w:sz w:val="24"/>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1.</w:t>
            </w:r>
            <w:r>
              <w:rPr>
                <w:rFonts w:hint="eastAsia" w:ascii="Times New Roman" w:hAnsi="Times New Roman" w:cs="Times New Roman"/>
                <w:b/>
                <w:color w:val="000000" w:themeColor="text1"/>
                <w:sz w:val="24"/>
                <w:highlight w:val="none"/>
                <w14:textFill>
                  <w14:solidFill>
                    <w14:schemeClr w14:val="tx1"/>
                  </w14:solidFill>
                </w14:textFill>
              </w:rPr>
              <w:t>1</w:t>
            </w:r>
            <w:r>
              <w:rPr>
                <w:rFonts w:ascii="Times New Roman" w:hAnsi="Times New Roman" w:cs="Times New Roman"/>
                <w:b/>
                <w:color w:val="000000" w:themeColor="text1"/>
                <w:sz w:val="24"/>
                <w:highlight w:val="none"/>
                <w14:textFill>
                  <w14:solidFill>
                    <w14:schemeClr w14:val="tx1"/>
                  </w14:solidFill>
                </w14:textFill>
              </w:rPr>
              <w:t>.1规划符合性分析</w:t>
            </w:r>
          </w:p>
          <w:p w14:paraId="6691CB7C">
            <w:pPr>
              <w:spacing w:line="360" w:lineRule="auto"/>
              <w:ind w:firstLine="480" w:firstLineChars="200"/>
              <w:rPr>
                <w:rFonts w:ascii="Times New Roman" w:hAnsi="Times New Roman" w:cs="Times New Roman"/>
                <w:color w:val="000000" w:themeColor="text1"/>
                <w:sz w:val="24"/>
                <w:szCs w:val="36"/>
                <w:highlight w:val="none"/>
                <w14:textFill>
                  <w14:solidFill>
                    <w14:schemeClr w14:val="tx1"/>
                  </w14:solidFill>
                </w14:textFill>
              </w:rPr>
            </w:pPr>
            <w:r>
              <w:rPr>
                <w:rFonts w:ascii="Times New Roman" w:hAnsi="Times New Roman" w:cs="Times New Roman"/>
                <w:color w:val="000000" w:themeColor="text1"/>
                <w:sz w:val="24"/>
                <w:szCs w:val="36"/>
                <w:highlight w:val="none"/>
                <w14:textFill>
                  <w14:solidFill>
                    <w14:schemeClr w14:val="tx1"/>
                  </w14:solidFill>
                </w14:textFill>
              </w:rPr>
              <w:t>根据《重庆市人民政府关于确认璧山高新区等15个产业园区国土空间开发利用范围的批复》（渝府〔2022〕10号），西彭园区包括西彭组团、陶家组团和铜罐驿组团，规划面积为4267.24hm</w:t>
            </w:r>
            <w:r>
              <w:rPr>
                <w:rFonts w:ascii="Times New Roman" w:hAnsi="Times New Roman" w:cs="Times New Roman"/>
                <w:color w:val="000000" w:themeColor="text1"/>
                <w:sz w:val="24"/>
                <w:szCs w:val="36"/>
                <w:highlight w:val="none"/>
                <w:vertAlign w:val="superscript"/>
                <w14:textFill>
                  <w14:solidFill>
                    <w14:schemeClr w14:val="tx1"/>
                  </w14:solidFill>
                </w14:textFill>
              </w:rPr>
              <w:t>2</w:t>
            </w:r>
            <w:r>
              <w:rPr>
                <w:rFonts w:ascii="Times New Roman" w:hAnsi="Times New Roman" w:cs="Times New Roman"/>
                <w:color w:val="000000" w:themeColor="text1"/>
                <w:sz w:val="24"/>
                <w:szCs w:val="36"/>
                <w:highlight w:val="none"/>
                <w14:textFill>
                  <w14:solidFill>
                    <w14:schemeClr w14:val="tx1"/>
                  </w14:solidFill>
                </w14:textFill>
              </w:rPr>
              <w:t>，涉及原西彭园区A、B、C、D、F、J、L七个标准分区及原九龙园区C区南部区域。</w:t>
            </w:r>
          </w:p>
          <w:p w14:paraId="02384EB5">
            <w:pPr>
              <w:spacing w:line="360" w:lineRule="auto"/>
              <w:ind w:firstLine="480" w:firstLineChars="200"/>
              <w:rPr>
                <w:rFonts w:ascii="Times New Roman" w:hAnsi="Times New Roman" w:cs="Times New Roman"/>
                <w:color w:val="000000" w:themeColor="text1"/>
                <w:sz w:val="24"/>
                <w:szCs w:val="36"/>
                <w:highlight w:val="none"/>
                <w14:textFill>
                  <w14:solidFill>
                    <w14:schemeClr w14:val="tx1"/>
                  </w14:solidFill>
                </w14:textFill>
              </w:rPr>
            </w:pPr>
            <w:r>
              <w:rPr>
                <w:rFonts w:ascii="Times New Roman" w:hAnsi="Times New Roman" w:cs="Times New Roman"/>
                <w:color w:val="000000" w:themeColor="text1"/>
                <w:sz w:val="24"/>
                <w:szCs w:val="36"/>
                <w:highlight w:val="none"/>
                <w14:textFill>
                  <w14:solidFill>
                    <w14:schemeClr w14:val="tx1"/>
                  </w14:solidFill>
                </w14:textFill>
              </w:rPr>
              <w:t>西彭组团规划面积为2616.89hm</w:t>
            </w:r>
            <w:r>
              <w:rPr>
                <w:rFonts w:ascii="Times New Roman" w:hAnsi="Times New Roman" w:cs="Times New Roman"/>
                <w:color w:val="000000" w:themeColor="text1"/>
                <w:sz w:val="24"/>
                <w:szCs w:val="36"/>
                <w:highlight w:val="none"/>
                <w:vertAlign w:val="superscript"/>
                <w14:textFill>
                  <w14:solidFill>
                    <w14:schemeClr w14:val="tx1"/>
                  </w14:solidFill>
                </w14:textFill>
              </w:rPr>
              <w:t>2</w:t>
            </w:r>
            <w:r>
              <w:rPr>
                <w:rFonts w:ascii="Times New Roman" w:hAnsi="Times New Roman" w:cs="Times New Roman"/>
                <w:color w:val="000000" w:themeColor="text1"/>
                <w:sz w:val="24"/>
                <w:szCs w:val="36"/>
                <w:highlight w:val="none"/>
                <w14:textFill>
                  <w14:solidFill>
                    <w14:schemeClr w14:val="tx1"/>
                  </w14:solidFill>
                </w14:textFill>
              </w:rPr>
              <w:t>，东至西彭镇李家石坝，南至西彭镇长江沿岸李家河村，西至西彭镇王家院塘成渝环线高速公路，北至西彭镇铝城大道西侧。该组团包括原西彭园区A、B、C、D标准分区。西彭组团主导产业为装备制造、新材料、仓储物流。装备制造重点发展高端智能装备及机器人、航空航天装备、轨道交通装备等；新材料重点发展先进有色合金材料、气凝胶等其他新材料等。</w:t>
            </w:r>
          </w:p>
          <w:p w14:paraId="4530367E">
            <w:pPr>
              <w:spacing w:line="360" w:lineRule="auto"/>
              <w:ind w:firstLine="480" w:firstLineChars="200"/>
              <w:rPr>
                <w:rFonts w:ascii="Times New Roman" w:hAnsi="Times New Roman" w:cs="Times New Roman"/>
                <w:color w:val="000000" w:themeColor="text1"/>
                <w:sz w:val="24"/>
                <w:szCs w:val="36"/>
                <w:highlight w:val="none"/>
                <w14:textFill>
                  <w14:solidFill>
                    <w14:schemeClr w14:val="tx1"/>
                  </w14:solidFill>
                </w14:textFill>
              </w:rPr>
            </w:pPr>
            <w:r>
              <w:rPr>
                <w:rFonts w:ascii="Times New Roman" w:hAnsi="Times New Roman" w:cs="Times New Roman"/>
                <w:color w:val="000000" w:themeColor="text1"/>
                <w:sz w:val="24"/>
                <w:szCs w:val="36"/>
                <w:highlight w:val="none"/>
                <w14:textFill>
                  <w14:solidFill>
                    <w14:schemeClr w14:val="tx1"/>
                  </w14:solidFill>
                </w14:textFill>
              </w:rPr>
              <w:t>本项目位于重庆市九龙坡区西彭镇森迪大道</w:t>
            </w:r>
            <w:r>
              <w:rPr>
                <w:rFonts w:hint="eastAsia" w:ascii="Times New Roman" w:hAnsi="Times New Roman" w:cs="Times New Roman"/>
                <w:color w:val="000000" w:themeColor="text1"/>
                <w:sz w:val="24"/>
                <w:szCs w:val="36"/>
                <w:highlight w:val="none"/>
                <w14:textFill>
                  <w14:solidFill>
                    <w14:schemeClr w14:val="tx1"/>
                  </w14:solidFill>
                </w14:textFill>
              </w:rPr>
              <w:t>14</w:t>
            </w:r>
            <w:r>
              <w:rPr>
                <w:rFonts w:ascii="Times New Roman" w:hAnsi="Times New Roman" w:cs="Times New Roman"/>
                <w:color w:val="000000" w:themeColor="text1"/>
                <w:sz w:val="24"/>
                <w:szCs w:val="36"/>
                <w:highlight w:val="none"/>
                <w14:textFill>
                  <w14:solidFill>
                    <w14:schemeClr w14:val="tx1"/>
                  </w14:solidFill>
                </w14:textFill>
              </w:rPr>
              <w:t>号</w:t>
            </w:r>
            <w:r>
              <w:rPr>
                <w:rFonts w:hint="eastAsia" w:ascii="Times New Roman" w:hAnsi="Times New Roman" w:cs="Times New Roman"/>
                <w:color w:val="000000" w:themeColor="text1"/>
                <w:sz w:val="24"/>
                <w:szCs w:val="36"/>
                <w:highlight w:val="none"/>
                <w14:textFill>
                  <w14:solidFill>
                    <w14:schemeClr w14:val="tx1"/>
                  </w14:solidFill>
                </w14:textFill>
              </w:rPr>
              <w:t>附3号</w:t>
            </w:r>
            <w:r>
              <w:rPr>
                <w:rFonts w:ascii="Times New Roman" w:hAnsi="Times New Roman" w:cs="Times New Roman"/>
                <w:color w:val="000000" w:themeColor="text1"/>
                <w:sz w:val="24"/>
                <w:szCs w:val="36"/>
                <w:highlight w:val="none"/>
                <w14:textFill>
                  <w14:solidFill>
                    <w14:schemeClr w14:val="tx1"/>
                  </w14:solidFill>
                </w14:textFill>
              </w:rPr>
              <w:t>（属于重庆西彭工业园区西彭组团D标准分区范围内）</w:t>
            </w:r>
            <w:r>
              <w:rPr>
                <w:rFonts w:ascii="Times New Roman" w:hAnsi="Times New Roman" w:cs="Times New Roman"/>
                <w:color w:val="000000" w:themeColor="text1"/>
                <w:sz w:val="24"/>
                <w:szCs w:val="21"/>
                <w:highlight w:val="none"/>
                <w14:textFill>
                  <w14:solidFill>
                    <w14:schemeClr w14:val="tx1"/>
                  </w14:solidFill>
                </w14:textFill>
              </w:rPr>
              <w:t>，</w:t>
            </w:r>
            <w:r>
              <w:rPr>
                <w:rFonts w:ascii="Times New Roman" w:hAnsi="Times New Roman" w:cs="Times New Roman"/>
                <w:color w:val="000000" w:themeColor="text1"/>
                <w:sz w:val="24"/>
                <w:szCs w:val="36"/>
                <w:highlight w:val="none"/>
                <w14:textFill>
                  <w14:solidFill>
                    <w14:schemeClr w14:val="tx1"/>
                  </w14:solidFill>
                </w14:textFill>
              </w:rPr>
              <w:t>用地性质属于工业用地，符合用地规划，项目</w:t>
            </w:r>
            <w:r>
              <w:rPr>
                <w:rFonts w:ascii="Times New Roman" w:hAnsi="Times New Roman" w:cs="Times New Roman"/>
                <w:color w:val="000000" w:themeColor="text1"/>
                <w:sz w:val="24"/>
                <w:szCs w:val="21"/>
                <w:highlight w:val="none"/>
                <w14:textFill>
                  <w14:solidFill>
                    <w14:schemeClr w14:val="tx1"/>
                  </w14:solidFill>
                </w14:textFill>
              </w:rPr>
              <w:t>属于</w:t>
            </w:r>
            <w:r>
              <w:rPr>
                <w:rFonts w:ascii="Times New Roman" w:hAnsi="Times New Roman" w:cs="Times New Roman"/>
                <w:color w:val="000000" w:themeColor="text1"/>
                <w:sz w:val="24"/>
                <w:highlight w:val="none"/>
                <w14:textFill>
                  <w14:solidFill>
                    <w14:schemeClr w14:val="tx1"/>
                  </w14:solidFill>
                </w14:textFill>
              </w:rPr>
              <w:t>金属表面处理加工</w:t>
            </w:r>
            <w:r>
              <w:rPr>
                <w:rFonts w:ascii="Times New Roman" w:hAnsi="Times New Roman" w:cs="Times New Roman"/>
                <w:color w:val="000000" w:themeColor="text1"/>
                <w:sz w:val="24"/>
                <w:szCs w:val="36"/>
                <w:highlight w:val="none"/>
                <w14:textFill>
                  <w14:solidFill>
                    <w14:schemeClr w14:val="tx1"/>
                  </w14:solidFill>
                </w14:textFill>
              </w:rPr>
              <w:t>，不属于禁止及限制引入项目，不与园区产业准入冲突，符合重庆西彭工业园区西彭组团产业定位及用地布局要求。</w:t>
            </w:r>
          </w:p>
          <w:p w14:paraId="65A75737">
            <w:pPr>
              <w:spacing w:before="46" w:beforeLines="15" w:after="46" w:afterLines="15" w:line="372" w:lineRule="auto"/>
              <w:rPr>
                <w:rFonts w:ascii="Times New Roman" w:hAnsi="Times New Roman" w:eastAsia="宋体" w:cs="Times New Roman"/>
                <w:b/>
                <w:bCs/>
                <w:color w:val="000000" w:themeColor="text1"/>
                <w:sz w:val="24"/>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1.</w:t>
            </w:r>
            <w:r>
              <w:rPr>
                <w:rFonts w:hint="eastAsia" w:ascii="Times New Roman" w:hAnsi="Times New Roman" w:cs="Times New Roman"/>
                <w:b/>
                <w:color w:val="000000" w:themeColor="text1"/>
                <w:sz w:val="24"/>
                <w:highlight w:val="none"/>
                <w14:textFill>
                  <w14:solidFill>
                    <w14:schemeClr w14:val="tx1"/>
                  </w14:solidFill>
                </w14:textFill>
              </w:rPr>
              <w:t>1</w:t>
            </w:r>
            <w:r>
              <w:rPr>
                <w:rFonts w:ascii="Times New Roman" w:hAnsi="Times New Roman" w:cs="Times New Roman"/>
                <w:b/>
                <w:color w:val="000000" w:themeColor="text1"/>
                <w:sz w:val="24"/>
                <w:highlight w:val="none"/>
                <w14:textFill>
                  <w14:solidFill>
                    <w14:schemeClr w14:val="tx1"/>
                  </w14:solidFill>
                </w14:textFill>
              </w:rPr>
              <w:t>.</w:t>
            </w:r>
            <w:r>
              <w:rPr>
                <w:rFonts w:hint="eastAsia" w:ascii="Times New Roman" w:hAnsi="Times New Roman" w:cs="Times New Roman"/>
                <w:b/>
                <w:color w:val="000000" w:themeColor="text1"/>
                <w:sz w:val="24"/>
                <w:highlight w:val="none"/>
                <w14:textFill>
                  <w14:solidFill>
                    <w14:schemeClr w14:val="tx1"/>
                  </w14:solidFill>
                </w14:textFill>
              </w:rPr>
              <w:t>2</w:t>
            </w:r>
            <w:r>
              <w:rPr>
                <w:rFonts w:ascii="Times New Roman" w:hAnsi="Times New Roman" w:eastAsia="宋体" w:cs="Times New Roman"/>
                <w:b/>
                <w:bCs/>
                <w:color w:val="000000" w:themeColor="text1"/>
                <w:sz w:val="24"/>
                <w:highlight w:val="none"/>
                <w14:textFill>
                  <w14:solidFill>
                    <w14:schemeClr w14:val="tx1"/>
                  </w14:solidFill>
                </w14:textFill>
              </w:rPr>
              <w:t>与</w:t>
            </w:r>
            <w:r>
              <w:rPr>
                <w:rFonts w:ascii="Times New Roman" w:hAnsi="Times New Roman" w:cs="Times New Roman"/>
                <w:b/>
                <w:color w:val="000000" w:themeColor="text1"/>
                <w:sz w:val="24"/>
                <w:highlight w:val="none"/>
                <w14:textFill>
                  <w14:solidFill>
                    <w14:schemeClr w14:val="tx1"/>
                  </w14:solidFill>
                </w14:textFill>
              </w:rPr>
              <w:t>《重庆市西彭工业园区规划环境影响报告书》及其审查意见（渝环函[2023]439号）</w:t>
            </w:r>
            <w:r>
              <w:rPr>
                <w:rFonts w:ascii="Times New Roman" w:hAnsi="Times New Roman" w:eastAsia="宋体" w:cs="Times New Roman"/>
                <w:b/>
                <w:bCs/>
                <w:color w:val="000000" w:themeColor="text1"/>
                <w:sz w:val="24"/>
                <w:highlight w:val="none"/>
                <w14:textFill>
                  <w14:solidFill>
                    <w14:schemeClr w14:val="tx1"/>
                  </w14:solidFill>
                </w14:textFill>
              </w:rPr>
              <w:t>及其审查意见函的符合性分析</w:t>
            </w:r>
          </w:p>
          <w:p w14:paraId="5FC9C8D9">
            <w:pPr>
              <w:adjustRightInd w:val="0"/>
              <w:snapToGrid w:val="0"/>
              <w:jc w:val="center"/>
              <w:rPr>
                <w:rFonts w:ascii="Times New Roman" w:hAnsi="Times New Roman" w:cs="Times New Roman"/>
                <w:b/>
                <w:bCs/>
                <w:color w:val="000000" w:themeColor="text1"/>
                <w:sz w:val="24"/>
                <w:szCs w:val="21"/>
                <w:highlight w:val="none"/>
                <w14:textFill>
                  <w14:solidFill>
                    <w14:schemeClr w14:val="tx1"/>
                  </w14:solidFill>
                </w14:textFill>
              </w:rPr>
            </w:pPr>
            <w:r>
              <w:rPr>
                <w:rFonts w:ascii="Times New Roman" w:hAnsi="Times New Roman" w:cs="Times New Roman"/>
                <w:b/>
                <w:bCs/>
                <w:color w:val="000000" w:themeColor="text1"/>
                <w:sz w:val="24"/>
                <w:szCs w:val="21"/>
                <w:highlight w:val="none"/>
                <w14:textFill>
                  <w14:solidFill>
                    <w14:schemeClr w14:val="tx1"/>
                  </w14:solidFill>
                </w14:textFill>
              </w:rPr>
              <w:t>表</w:t>
            </w:r>
            <w:r>
              <w:rPr>
                <w:rFonts w:ascii="Times New Roman" w:hAnsi="Times New Roman" w:cs="Times New Roman"/>
                <w:b/>
                <w:color w:val="000000" w:themeColor="text1"/>
                <w:sz w:val="24"/>
                <w:szCs w:val="36"/>
                <w:highlight w:val="none"/>
                <w14:textFill>
                  <w14:solidFill>
                    <w14:schemeClr w14:val="tx1"/>
                  </w14:solidFill>
                </w14:textFill>
              </w:rPr>
              <w:t>1</w:t>
            </w:r>
            <w:r>
              <w:rPr>
                <w:rFonts w:hint="eastAsia" w:ascii="Times New Roman" w:hAnsi="Times New Roman" w:cs="Times New Roman"/>
                <w:b/>
                <w:color w:val="000000" w:themeColor="text1"/>
                <w:sz w:val="24"/>
                <w:szCs w:val="36"/>
                <w:highlight w:val="none"/>
                <w14:textFill>
                  <w14:solidFill>
                    <w14:schemeClr w14:val="tx1"/>
                  </w14:solidFill>
                </w14:textFill>
              </w:rPr>
              <w:t>.1-1</w:t>
            </w:r>
            <w:r>
              <w:rPr>
                <w:rFonts w:ascii="Times New Roman" w:hAnsi="Times New Roman" w:cs="Times New Roman"/>
                <w:b/>
                <w:bCs/>
                <w:color w:val="000000" w:themeColor="text1"/>
                <w:sz w:val="24"/>
                <w:szCs w:val="21"/>
                <w:highlight w:val="none"/>
                <w14:textFill>
                  <w14:solidFill>
                    <w14:schemeClr w14:val="tx1"/>
                  </w14:solidFill>
                </w14:textFill>
              </w:rPr>
              <w:t xml:space="preserve">  规划环评生态环境准入清单对照分析表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7"/>
              <w:gridCol w:w="3688"/>
              <w:gridCol w:w="2787"/>
              <w:gridCol w:w="830"/>
            </w:tblGrid>
            <w:tr w14:paraId="2C958F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vAlign w:val="center"/>
                </w:tcPr>
                <w:p w14:paraId="5B2B0DF0">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分类</w:t>
                  </w:r>
                </w:p>
              </w:tc>
              <w:tc>
                <w:tcPr>
                  <w:tcW w:w="2324" w:type="pct"/>
                  <w:tcBorders>
                    <w:tl2br w:val="nil"/>
                    <w:tr2bl w:val="nil"/>
                  </w:tcBorders>
                  <w:vAlign w:val="center"/>
                </w:tcPr>
                <w:p w14:paraId="1DC2999D">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环境准入要求</w:t>
                  </w:r>
                </w:p>
              </w:tc>
              <w:tc>
                <w:tcPr>
                  <w:tcW w:w="1756" w:type="pct"/>
                  <w:tcBorders>
                    <w:tl2br w:val="nil"/>
                    <w:tr2bl w:val="nil"/>
                  </w:tcBorders>
                  <w:vAlign w:val="center"/>
                </w:tcPr>
                <w:p w14:paraId="4D8BE551">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本项目情况</w:t>
                  </w:r>
                </w:p>
              </w:tc>
              <w:tc>
                <w:tcPr>
                  <w:tcW w:w="523" w:type="pct"/>
                  <w:tcBorders>
                    <w:tl2br w:val="nil"/>
                    <w:tr2bl w:val="nil"/>
                  </w:tcBorders>
                  <w:vAlign w:val="center"/>
                </w:tcPr>
                <w:p w14:paraId="0AE920A2">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符合性</w:t>
                  </w:r>
                </w:p>
              </w:tc>
            </w:tr>
            <w:tr w14:paraId="6C7C6C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00BECC2B">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空间布局约束</w:t>
                  </w:r>
                </w:p>
              </w:tc>
              <w:tc>
                <w:tcPr>
                  <w:tcW w:w="2324" w:type="pct"/>
                  <w:tcBorders>
                    <w:tl2br w:val="nil"/>
                    <w:tr2bl w:val="nil"/>
                  </w:tcBorders>
                  <w:vAlign w:val="center"/>
                </w:tcPr>
                <w:p w14:paraId="32AB3E07">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西彭组团东北侧科研用地兼一类工业用地（C61-1/01、C61-4/01、C61-5/01、C62-1/01、C62-3/01、C63-1/01、C63-2/01）后续引入项目时应考虑以污染较轻的项目为主，禁止新建涉及喷漆、酸洗、熔炼等异味较大的生产工艺项目</w:t>
                  </w:r>
                </w:p>
              </w:tc>
              <w:tc>
                <w:tcPr>
                  <w:tcW w:w="1756" w:type="pct"/>
                  <w:tcBorders>
                    <w:tl2br w:val="nil"/>
                    <w:tr2bl w:val="nil"/>
                  </w:tcBorders>
                  <w:vAlign w:val="center"/>
                </w:tcPr>
                <w:p w14:paraId="6E77530E">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本项目位于重庆西彭工业园区西彭组团D标准分区，为</w:t>
                  </w:r>
                  <w:r>
                    <w:rPr>
                      <w:rFonts w:hint="eastAsia" w:ascii="Times New Roman" w:hAnsi="Times New Roman" w:cs="Times New Roman"/>
                      <w:color w:val="000000" w:themeColor="text1"/>
                      <w:szCs w:val="21"/>
                      <w:highlight w:val="none"/>
                      <w14:textFill>
                        <w14:solidFill>
                          <w14:schemeClr w14:val="tx1"/>
                        </w14:solidFill>
                      </w14:textFill>
                    </w:rPr>
                    <w:t>摩托车车零部件表面喷粉项目</w:t>
                  </w:r>
                  <w:r>
                    <w:rPr>
                      <w:rFonts w:ascii="Times New Roman" w:hAnsi="Times New Roman" w:cs="Times New Roman"/>
                      <w:color w:val="000000" w:themeColor="text1"/>
                      <w:szCs w:val="21"/>
                      <w:highlight w:val="none"/>
                      <w14:textFill>
                        <w14:solidFill>
                          <w14:schemeClr w14:val="tx1"/>
                        </w14:solidFill>
                      </w14:textFill>
                    </w:rPr>
                    <w:t>，不涉及喷漆、酸洗、熔炼等工艺</w:t>
                  </w:r>
                </w:p>
              </w:tc>
              <w:tc>
                <w:tcPr>
                  <w:tcW w:w="523" w:type="pct"/>
                  <w:tcBorders>
                    <w:tl2br w:val="nil"/>
                    <w:tr2bl w:val="nil"/>
                  </w:tcBorders>
                  <w:vAlign w:val="center"/>
                </w:tcPr>
                <w:p w14:paraId="72BA347C">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75D6CA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tcBorders>
                    <w:tl2br w:val="nil"/>
                    <w:tr2bl w:val="nil"/>
                  </w:tcBorders>
                  <w:vAlign w:val="center"/>
                </w:tcPr>
                <w:p w14:paraId="7C6CF334">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324" w:type="pct"/>
                  <w:tcBorders>
                    <w:tl2br w:val="nil"/>
                    <w:tr2bl w:val="nil"/>
                  </w:tcBorders>
                  <w:vAlign w:val="center"/>
                </w:tcPr>
                <w:p w14:paraId="7ABB09FF">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西彭组团临近居住的A31/04、A33/04、A34/04、A30-1-1/06地块在新引入项目时应引入不涉及喷漆、酸洗、熔炼、铸造等异味较大的项目</w:t>
                  </w:r>
                </w:p>
              </w:tc>
              <w:tc>
                <w:tcPr>
                  <w:tcW w:w="1756" w:type="pct"/>
                  <w:tcBorders>
                    <w:tl2br w:val="nil"/>
                    <w:tr2bl w:val="nil"/>
                  </w:tcBorders>
                  <w:vAlign w:val="center"/>
                </w:tcPr>
                <w:p w14:paraId="747B826E">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w:t>
                  </w:r>
                  <w:r>
                    <w:rPr>
                      <w:rFonts w:hint="eastAsia" w:ascii="Times New Roman" w:hAnsi="Times New Roman" w:cs="Times New Roman"/>
                      <w:color w:val="000000" w:themeColor="text1"/>
                      <w:szCs w:val="21"/>
                      <w:highlight w:val="none"/>
                      <w:lang w:val="en-US" w:eastAsia="zh-CN"/>
                      <w14:textFill>
                        <w14:solidFill>
                          <w14:schemeClr w14:val="tx1"/>
                        </w14:solidFill>
                      </w14:textFill>
                    </w:rPr>
                    <w:t>D</w:t>
                  </w:r>
                  <w:r>
                    <w:rPr>
                      <w:rFonts w:ascii="Times New Roman" w:hAnsi="Times New Roman" w:cs="Times New Roman"/>
                      <w:color w:val="000000" w:themeColor="text1"/>
                      <w:szCs w:val="21"/>
                      <w:highlight w:val="none"/>
                      <w14:textFill>
                        <w14:solidFill>
                          <w14:schemeClr w14:val="tx1"/>
                        </w14:solidFill>
                      </w14:textFill>
                    </w:rPr>
                    <w:t>标准分区</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D</w:t>
                  </w:r>
                  <w:r>
                    <w:rPr>
                      <w:rFonts w:hint="eastAsia" w:ascii="Times New Roman" w:hAnsi="Times New Roman" w:cs="Times New Roman"/>
                      <w:color w:val="000000" w:themeColor="text1"/>
                      <w:szCs w:val="21"/>
                      <w:highlight w:val="none"/>
                      <w:lang w:val="en-US" w:eastAsia="zh-CN"/>
                      <w14:textFill>
                        <w14:solidFill>
                          <w14:schemeClr w14:val="tx1"/>
                        </w14:solidFill>
                      </w14:textFill>
                    </w:rPr>
                    <w:t>36-2/05地块</w:t>
                  </w:r>
                  <w:r>
                    <w:rPr>
                      <w:rFonts w:hint="eastAsia" w:ascii="Times New Roman" w:hAnsi="Times New Roman" w:cs="Times New Roman"/>
                      <w:color w:val="000000" w:themeColor="text1"/>
                      <w:szCs w:val="21"/>
                      <w:highlight w:val="none"/>
                      <w:lang w:eastAsia="zh-CN"/>
                      <w14:textFill>
                        <w14:solidFill>
                          <w14:schemeClr w14:val="tx1"/>
                        </w14:solidFill>
                      </w14:textFill>
                    </w:rPr>
                    <w:t>），不属于上述地块且</w:t>
                  </w:r>
                  <w:r>
                    <w:rPr>
                      <w:rFonts w:ascii="Times New Roman" w:hAnsi="Times New Roman" w:cs="Times New Roman"/>
                      <w:color w:val="000000" w:themeColor="text1"/>
                      <w:szCs w:val="21"/>
                      <w:highlight w:val="none"/>
                      <w14:textFill>
                        <w14:solidFill>
                          <w14:schemeClr w14:val="tx1"/>
                        </w14:solidFill>
                      </w14:textFill>
                    </w:rPr>
                    <w:t>不涉及喷漆、酸洗、熔炼</w:t>
                  </w:r>
                  <w:r>
                    <w:rPr>
                      <w:rFonts w:hint="eastAsia" w:ascii="Times New Roman" w:hAnsi="Times New Roman" w:cs="Times New Roman"/>
                      <w:color w:val="000000" w:themeColor="text1"/>
                      <w:szCs w:val="21"/>
                      <w:highlight w:val="none"/>
                      <w:lang w:eastAsia="zh-CN"/>
                      <w14:textFill>
                        <w14:solidFill>
                          <w14:schemeClr w14:val="tx1"/>
                        </w14:solidFill>
                      </w14:textFill>
                    </w:rPr>
                    <w:t>、铸造</w:t>
                  </w:r>
                  <w:r>
                    <w:rPr>
                      <w:rFonts w:ascii="Times New Roman" w:hAnsi="Times New Roman" w:cs="Times New Roman"/>
                      <w:color w:val="000000" w:themeColor="text1"/>
                      <w:szCs w:val="21"/>
                      <w:highlight w:val="none"/>
                      <w14:textFill>
                        <w14:solidFill>
                          <w14:schemeClr w14:val="tx1"/>
                        </w14:solidFill>
                      </w14:textFill>
                    </w:rPr>
                    <w:t>等工艺</w:t>
                  </w:r>
                </w:p>
              </w:tc>
              <w:tc>
                <w:tcPr>
                  <w:tcW w:w="523" w:type="pct"/>
                  <w:tcBorders>
                    <w:tl2br w:val="nil"/>
                    <w:tr2bl w:val="nil"/>
                  </w:tcBorders>
                  <w:vAlign w:val="center"/>
                </w:tcPr>
                <w:p w14:paraId="4147AD79">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753FC3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4C107A67">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324" w:type="pct"/>
                  <w:tcBorders>
                    <w:tl2br w:val="nil"/>
                    <w:tr2bl w:val="nil"/>
                  </w:tcBorders>
                  <w:vAlign w:val="center"/>
                </w:tcPr>
                <w:p w14:paraId="2F34ACF1">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陶家组团规划的工业用地（O80-04/01、O80-01/04、L1-02-2/03、L1-02-1/03、L4-03/01、L9-01/02、L27-02-1/04、J41-9/01、J41-10/01）禁止引入涉及喷漆、熔炼、铸造等异味较大的生产工艺项目</w:t>
                  </w:r>
                </w:p>
              </w:tc>
              <w:tc>
                <w:tcPr>
                  <w:tcW w:w="1756" w:type="pct"/>
                  <w:tcBorders>
                    <w:tl2br w:val="nil"/>
                    <w:tr2bl w:val="nil"/>
                  </w:tcBorders>
                  <w:vAlign w:val="center"/>
                </w:tcPr>
                <w:p w14:paraId="12DB6621">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D</w:t>
                  </w:r>
                  <w:r>
                    <w:rPr>
                      <w:rFonts w:hint="eastAsia" w:ascii="Times New Roman" w:hAnsi="Times New Roman" w:cs="Times New Roman"/>
                      <w:color w:val="000000" w:themeColor="text1"/>
                      <w:szCs w:val="21"/>
                      <w:highlight w:val="none"/>
                      <w:lang w:val="en-US" w:eastAsia="zh-CN"/>
                      <w14:textFill>
                        <w14:solidFill>
                          <w14:schemeClr w14:val="tx1"/>
                        </w14:solidFill>
                      </w14:textFill>
                    </w:rPr>
                    <w:t>36-2/05地块</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eastAsia="zh-CN"/>
                      <w14:textFill>
                        <w14:solidFill>
                          <w14:schemeClr w14:val="tx1"/>
                        </w14:solidFill>
                      </w14:textFill>
                    </w:rPr>
                    <w:t>不属于上述地块</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eastAsia="zh-CN"/>
                      <w14:textFill>
                        <w14:solidFill>
                          <w14:schemeClr w14:val="tx1"/>
                        </w14:solidFill>
                      </w14:textFill>
                    </w:rPr>
                    <w:t>且</w:t>
                  </w:r>
                  <w:r>
                    <w:rPr>
                      <w:rFonts w:ascii="Times New Roman" w:hAnsi="Times New Roman" w:cs="Times New Roman"/>
                      <w:color w:val="000000" w:themeColor="text1"/>
                      <w:szCs w:val="21"/>
                      <w:highlight w:val="none"/>
                      <w14:textFill>
                        <w14:solidFill>
                          <w14:schemeClr w14:val="tx1"/>
                        </w14:solidFill>
                      </w14:textFill>
                    </w:rPr>
                    <w:t>不涉及喷漆、</w:t>
                  </w:r>
                  <w:r>
                    <w:rPr>
                      <w:rFonts w:hint="eastAsia" w:ascii="Times New Roman" w:hAnsi="Times New Roman" w:cs="Times New Roman"/>
                      <w:color w:val="000000" w:themeColor="text1"/>
                      <w:szCs w:val="21"/>
                      <w:highlight w:val="none"/>
                      <w:lang w:eastAsia="zh-CN"/>
                      <w14:textFill>
                        <w14:solidFill>
                          <w14:schemeClr w14:val="tx1"/>
                        </w14:solidFill>
                      </w14:textFill>
                    </w:rPr>
                    <w:t>熔炼、铸造</w:t>
                  </w:r>
                  <w:r>
                    <w:rPr>
                      <w:rFonts w:ascii="Times New Roman" w:hAnsi="Times New Roman" w:cs="Times New Roman"/>
                      <w:color w:val="000000" w:themeColor="text1"/>
                      <w:szCs w:val="21"/>
                      <w:highlight w:val="none"/>
                      <w14:textFill>
                        <w14:solidFill>
                          <w14:schemeClr w14:val="tx1"/>
                        </w14:solidFill>
                      </w14:textFill>
                    </w:rPr>
                    <w:t>等工艺</w:t>
                  </w:r>
                </w:p>
              </w:tc>
              <w:tc>
                <w:tcPr>
                  <w:tcW w:w="523" w:type="pct"/>
                  <w:tcBorders>
                    <w:tl2br w:val="nil"/>
                    <w:tr2bl w:val="nil"/>
                  </w:tcBorders>
                  <w:vAlign w:val="center"/>
                </w:tcPr>
                <w:p w14:paraId="05E9CBE5">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720241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2A4528AA">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324" w:type="pct"/>
                  <w:tcBorders>
                    <w:tl2br w:val="nil"/>
                    <w:tr2bl w:val="nil"/>
                  </w:tcBorders>
                  <w:vAlign w:val="center"/>
                </w:tcPr>
                <w:p w14:paraId="3A35D71A">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规划区禁止新引入木质家具制造、报废汽车拆解，玻璃制造（除光伏玻璃外）工业项目</w:t>
                  </w:r>
                </w:p>
              </w:tc>
              <w:tc>
                <w:tcPr>
                  <w:tcW w:w="1756" w:type="pct"/>
                  <w:tcBorders>
                    <w:tl2br w:val="nil"/>
                    <w:tr2bl w:val="nil"/>
                  </w:tcBorders>
                  <w:vAlign w:val="center"/>
                </w:tcPr>
                <w:p w14:paraId="3E89D604">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，位于重庆西彭工业园区西彭组团D标准分区，不属于木质家具制造、报废汽车拆解，玻璃制造等项目</w:t>
                  </w:r>
                </w:p>
              </w:tc>
              <w:tc>
                <w:tcPr>
                  <w:tcW w:w="523" w:type="pct"/>
                  <w:tcBorders>
                    <w:tl2br w:val="nil"/>
                    <w:tr2bl w:val="nil"/>
                  </w:tcBorders>
                  <w:vAlign w:val="center"/>
                </w:tcPr>
                <w:p w14:paraId="48E41B90">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7F02B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5B94AB78">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污染物排放管控</w:t>
                  </w:r>
                </w:p>
              </w:tc>
              <w:tc>
                <w:tcPr>
                  <w:tcW w:w="2324" w:type="pct"/>
                  <w:tcBorders>
                    <w:tl2br w:val="nil"/>
                    <w:tr2bl w:val="nil"/>
                  </w:tcBorders>
                  <w:vAlign w:val="center"/>
                </w:tcPr>
                <w:p w14:paraId="7182EF56">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规划区范围内污染物排放总量不得突破本次规划环评确定的污染物排放总量限值</w:t>
                  </w:r>
                </w:p>
              </w:tc>
              <w:tc>
                <w:tcPr>
                  <w:tcW w:w="1756" w:type="pct"/>
                  <w:tcBorders>
                    <w:tl2br w:val="nil"/>
                    <w:tr2bl w:val="nil"/>
                  </w:tcBorders>
                  <w:vAlign w:val="center"/>
                </w:tcPr>
                <w:p w14:paraId="4724A0CA">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根据《报告书》总量管控清单，规划区域污染物排放总量限值为：SO</w:t>
                  </w:r>
                  <w:r>
                    <w:rPr>
                      <w:rFonts w:ascii="Times New Roman" w:hAnsi="Times New Roman" w:cs="Times New Roman"/>
                      <w:color w:val="000000" w:themeColor="text1"/>
                      <w:kern w:val="0"/>
                      <w:szCs w:val="21"/>
                      <w:highlight w:val="none"/>
                      <w:vertAlign w:val="subscript"/>
                      <w14:textFill>
                        <w14:solidFill>
                          <w14:schemeClr w14:val="tx1"/>
                        </w14:solidFill>
                      </w14:textFill>
                    </w:rPr>
                    <w:t>2</w:t>
                  </w:r>
                  <w:r>
                    <w:rPr>
                      <w:rFonts w:ascii="Times New Roman" w:hAnsi="Times New Roman" w:cs="Times New Roman"/>
                      <w:color w:val="000000" w:themeColor="text1"/>
                      <w:kern w:val="0"/>
                      <w:szCs w:val="21"/>
                      <w:highlight w:val="none"/>
                      <w14:textFill>
                        <w14:solidFill>
                          <w14:schemeClr w14:val="tx1"/>
                        </w14:solidFill>
                      </w14:textFill>
                    </w:rPr>
                    <w:t>1357.89t/a，NOx 1320.84t/a，VOCs（以非甲烷总烃计）487.85t/a，COD 1600.28t/a，NH</w:t>
                  </w:r>
                  <w:r>
                    <w:rPr>
                      <w:rFonts w:ascii="Times New Roman" w:hAnsi="Times New Roman" w:cs="Times New Roman"/>
                      <w:color w:val="000000" w:themeColor="text1"/>
                      <w:kern w:val="0"/>
                      <w:szCs w:val="21"/>
                      <w:highlight w:val="none"/>
                      <w:vertAlign w:val="subscript"/>
                      <w14:textFill>
                        <w14:solidFill>
                          <w14:schemeClr w14:val="tx1"/>
                        </w14:solidFill>
                      </w14:textFill>
                    </w:rPr>
                    <w:t>3</w:t>
                  </w:r>
                  <w:r>
                    <w:rPr>
                      <w:rFonts w:ascii="Times New Roman" w:hAnsi="Times New Roman" w:cs="Times New Roman"/>
                      <w:color w:val="000000" w:themeColor="text1"/>
                      <w:kern w:val="0"/>
                      <w:szCs w:val="21"/>
                      <w:highlight w:val="none"/>
                      <w14:textFill>
                        <w14:solidFill>
                          <w14:schemeClr w14:val="tx1"/>
                        </w14:solidFill>
                      </w14:textFill>
                    </w:rPr>
                    <w:t>-N176.29t/a，TP 15.67t/a。</w:t>
                  </w:r>
                  <w:r>
                    <w:rPr>
                      <w:rFonts w:ascii="Times New Roman" w:hAnsi="Times New Roman" w:cs="Times New Roman"/>
                      <w:color w:val="000000" w:themeColor="text1"/>
                      <w:kern w:val="0"/>
                      <w:szCs w:val="21"/>
                      <w:highlight w:val="none"/>
                      <w:lang w:val="zh-CN"/>
                      <w14:textFill>
                        <w14:solidFill>
                          <w14:schemeClr w14:val="tx1"/>
                        </w14:solidFill>
                      </w14:textFill>
                    </w:rPr>
                    <w:t>本项目排放</w:t>
                  </w:r>
                  <w:r>
                    <w:rPr>
                      <w:rFonts w:ascii="Times New Roman" w:hAnsi="Times New Roman" w:cs="Times New Roman"/>
                      <w:color w:val="000000" w:themeColor="text1"/>
                      <w:kern w:val="0"/>
                      <w:szCs w:val="21"/>
                      <w:highlight w:val="none"/>
                      <w14:textFill>
                        <w14:solidFill>
                          <w14:schemeClr w14:val="tx1"/>
                        </w14:solidFill>
                      </w14:textFill>
                    </w:rPr>
                    <w:t>总</w:t>
                  </w:r>
                  <w:r>
                    <w:rPr>
                      <w:rFonts w:ascii="Times New Roman" w:hAnsi="Times New Roman" w:cs="Times New Roman"/>
                      <w:color w:val="000000" w:themeColor="text1"/>
                      <w:kern w:val="0"/>
                      <w:szCs w:val="21"/>
                      <w:highlight w:val="none"/>
                      <w:lang w:val="zh-CN"/>
                      <w14:textFill>
                        <w14:solidFill>
                          <w14:schemeClr w14:val="tx1"/>
                        </w14:solidFill>
                      </w14:textFill>
                    </w:rPr>
                    <w:t>量为</w:t>
                  </w:r>
                  <w:r>
                    <w:rPr>
                      <w:rFonts w:hint="eastAsia" w:ascii="Times New Roman" w:hAnsi="Times New Roman" w:cs="Times New Roman"/>
                      <w:color w:val="000000" w:themeColor="text1"/>
                      <w:kern w:val="0"/>
                      <w:szCs w:val="21"/>
                      <w:highlight w:val="none"/>
                      <w14:textFill>
                        <w14:solidFill>
                          <w14:schemeClr w14:val="tx1"/>
                        </w14:solidFill>
                      </w14:textFill>
                    </w:rPr>
                    <w:t>颗粒物</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0.586</w:t>
                  </w:r>
                  <w:r>
                    <w:rPr>
                      <w:rFonts w:ascii="Times New Roman" w:hAnsi="Times New Roman" w:cs="Times New Roman"/>
                      <w:color w:val="000000" w:themeColor="text1"/>
                      <w:kern w:val="0"/>
                      <w:szCs w:val="21"/>
                      <w:highlight w:val="none"/>
                      <w14:textFill>
                        <w14:solidFill>
                          <w14:schemeClr w14:val="tx1"/>
                        </w14:solidFill>
                      </w14:textFill>
                    </w:rPr>
                    <w:t>t/a</w:t>
                  </w:r>
                  <w:r>
                    <w:rPr>
                      <w:rFonts w:hint="eastAsia" w:ascii="Times New Roman" w:hAnsi="Times New Roman" w:cs="Times New Roman"/>
                      <w:color w:val="000000" w:themeColor="text1"/>
                      <w:kern w:val="0"/>
                      <w:szCs w:val="21"/>
                      <w:highlight w:val="none"/>
                      <w14:textFill>
                        <w14:solidFill>
                          <w14:schemeClr w14:val="tx1"/>
                        </w14:solidFill>
                      </w14:textFill>
                    </w:rPr>
                    <w:t>、非甲烷总烃</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0.031</w:t>
                  </w:r>
                  <w:r>
                    <w:rPr>
                      <w:rFonts w:hint="eastAsia" w:ascii="Times New Roman" w:hAnsi="Times New Roman" w:cs="Times New Roman"/>
                      <w:color w:val="000000" w:themeColor="text1"/>
                      <w:kern w:val="0"/>
                      <w:szCs w:val="21"/>
                      <w:highlight w:val="none"/>
                      <w14:textFill>
                        <w14:solidFill>
                          <w14:schemeClr w14:val="tx1"/>
                        </w14:solidFill>
                      </w14:textFill>
                    </w:rPr>
                    <w:t>t/a、二氧化硫</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0.093</w:t>
                  </w:r>
                  <w:r>
                    <w:rPr>
                      <w:rFonts w:hint="eastAsia" w:ascii="Times New Roman" w:hAnsi="Times New Roman" w:cs="Times New Roman"/>
                      <w:color w:val="000000" w:themeColor="text1"/>
                      <w:kern w:val="0"/>
                      <w:szCs w:val="21"/>
                      <w:highlight w:val="none"/>
                      <w14:textFill>
                        <w14:solidFill>
                          <w14:schemeClr w14:val="tx1"/>
                        </w14:solidFill>
                      </w14:textFill>
                    </w:rPr>
                    <w:t>t/a、氮氧化物</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0.277</w:t>
                  </w:r>
                  <w:r>
                    <w:rPr>
                      <w:rFonts w:ascii="Times New Roman" w:hAnsi="Times New Roman" w:cs="Times New Roman"/>
                      <w:color w:val="000000" w:themeColor="text1"/>
                      <w:kern w:val="0"/>
                      <w:szCs w:val="21"/>
                      <w:highlight w:val="none"/>
                      <w:lang w:val="zh-CN"/>
                      <w14:textFill>
                        <w14:solidFill>
                          <w14:schemeClr w14:val="tx1"/>
                        </w14:solidFill>
                      </w14:textFill>
                    </w:rPr>
                    <w:t>氨氮COD</w:t>
                  </w:r>
                  <w:r>
                    <w:rPr>
                      <w:rFonts w:hint="eastAsia" w:ascii="Times New Roman" w:hAnsi="Times New Roman" w:cs="Times New Roman"/>
                      <w:color w:val="000000" w:themeColor="text1"/>
                      <w:kern w:val="0"/>
                      <w:szCs w:val="21"/>
                      <w:highlight w:val="none"/>
                      <w14:textFill>
                        <w14:solidFill>
                          <w14:schemeClr w14:val="tx1"/>
                        </w14:solidFill>
                      </w14:textFill>
                    </w:rPr>
                    <w:t>0.002</w:t>
                  </w:r>
                  <w:r>
                    <w:rPr>
                      <w:rFonts w:ascii="Times New Roman" w:hAnsi="Times New Roman" w:cs="Times New Roman"/>
                      <w:color w:val="000000" w:themeColor="text1"/>
                      <w:kern w:val="0"/>
                      <w:szCs w:val="21"/>
                      <w:highlight w:val="none"/>
                      <w:lang w:val="zh-CN"/>
                      <w14:textFill>
                        <w14:solidFill>
                          <w14:schemeClr w14:val="tx1"/>
                        </w14:solidFill>
                      </w14:textFill>
                    </w:rPr>
                    <w:t>t/a，排放量</w:t>
                  </w:r>
                  <w:r>
                    <w:rPr>
                      <w:rFonts w:hint="eastAsia" w:ascii="Times New Roman" w:hAnsi="Times New Roman" w:cs="Times New Roman"/>
                      <w:color w:val="000000" w:themeColor="text1"/>
                      <w:kern w:val="0"/>
                      <w:szCs w:val="21"/>
                      <w:highlight w:val="none"/>
                      <w:lang w:val="zh-CN"/>
                      <w14:textFill>
                        <w14:solidFill>
                          <w14:schemeClr w14:val="tx1"/>
                        </w14:solidFill>
                      </w14:textFill>
                    </w:rPr>
                    <w:t>较小</w:t>
                  </w:r>
                  <w:r>
                    <w:rPr>
                      <w:rFonts w:ascii="Times New Roman" w:hAnsi="Times New Roman" w:cs="Times New Roman"/>
                      <w:color w:val="000000" w:themeColor="text1"/>
                      <w:kern w:val="0"/>
                      <w:szCs w:val="21"/>
                      <w:highlight w:val="none"/>
                      <w:lang w:val="zh-CN"/>
                      <w14:textFill>
                        <w14:solidFill>
                          <w14:schemeClr w14:val="tx1"/>
                        </w14:solidFill>
                      </w14:textFill>
                    </w:rPr>
                    <w:t>，不会突破</w:t>
                  </w:r>
                  <w:r>
                    <w:rPr>
                      <w:rFonts w:ascii="Times New Roman" w:hAnsi="Times New Roman" w:cs="Times New Roman"/>
                      <w:color w:val="000000" w:themeColor="text1"/>
                      <w:kern w:val="0"/>
                      <w:szCs w:val="21"/>
                      <w:highlight w:val="none"/>
                      <w14:textFill>
                        <w14:solidFill>
                          <w14:schemeClr w14:val="tx1"/>
                        </w14:solidFill>
                      </w14:textFill>
                    </w:rPr>
                    <w:t>总量管控指标；符合。</w:t>
                  </w:r>
                </w:p>
              </w:tc>
              <w:tc>
                <w:tcPr>
                  <w:tcW w:w="523" w:type="pct"/>
                  <w:tcBorders>
                    <w:tl2br w:val="nil"/>
                    <w:tr2bl w:val="nil"/>
                  </w:tcBorders>
                  <w:vAlign w:val="center"/>
                </w:tcPr>
                <w:p w14:paraId="63394A9C">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38B79C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43CA2502">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324" w:type="pct"/>
                  <w:tcBorders>
                    <w:tl2br w:val="nil"/>
                    <w:tr2bl w:val="nil"/>
                  </w:tcBorders>
                  <w:vAlign w:val="center"/>
                </w:tcPr>
                <w:p w14:paraId="3CFA9E89">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禁止新建、扩建排放废水含有五类重金属（铬、镉、汞、砷、铅）、剧毒物质和持久性有机污染物的工业项目</w:t>
                  </w:r>
                </w:p>
              </w:tc>
              <w:tc>
                <w:tcPr>
                  <w:tcW w:w="1756" w:type="pct"/>
                  <w:tcBorders>
                    <w:tl2br w:val="nil"/>
                    <w:tr2bl w:val="nil"/>
                  </w:tcBorders>
                  <w:vAlign w:val="center"/>
                </w:tcPr>
                <w:p w14:paraId="75A0BB51">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本项目无生产废水排放，不涉及前述废物排放</w:t>
                  </w:r>
                </w:p>
              </w:tc>
              <w:tc>
                <w:tcPr>
                  <w:tcW w:w="523" w:type="pct"/>
                  <w:tcBorders>
                    <w:tl2br w:val="nil"/>
                    <w:tr2bl w:val="nil"/>
                  </w:tcBorders>
                  <w:vAlign w:val="center"/>
                </w:tcPr>
                <w:p w14:paraId="323F128E">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50C1D9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76F96022">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324" w:type="pct"/>
                  <w:tcBorders>
                    <w:tl2br w:val="nil"/>
                    <w:tr2bl w:val="nil"/>
                  </w:tcBorders>
                  <w:vAlign w:val="center"/>
                </w:tcPr>
                <w:p w14:paraId="57E9E452">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陶家组团范围内重庆奇爽实业（集团）有限公司不再扩大用地规模、不新增污染物排放</w:t>
                  </w:r>
                </w:p>
              </w:tc>
              <w:tc>
                <w:tcPr>
                  <w:tcW w:w="1756" w:type="pct"/>
                  <w:tcBorders>
                    <w:tl2br w:val="nil"/>
                    <w:tr2bl w:val="nil"/>
                  </w:tcBorders>
                  <w:vAlign w:val="center"/>
                </w:tcPr>
                <w:p w14:paraId="42E91440">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本项目位于重庆西彭工业园区西彭组团D标准分区，不涉及前述企业</w:t>
                  </w:r>
                </w:p>
              </w:tc>
              <w:tc>
                <w:tcPr>
                  <w:tcW w:w="523" w:type="pct"/>
                  <w:tcBorders>
                    <w:tl2br w:val="nil"/>
                    <w:tr2bl w:val="nil"/>
                  </w:tcBorders>
                  <w:vAlign w:val="center"/>
                </w:tcPr>
                <w:p w14:paraId="02BABBC3">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4ADF6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37C28734">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324" w:type="pct"/>
                  <w:tcBorders>
                    <w:tl2br w:val="nil"/>
                    <w:tr2bl w:val="nil"/>
                  </w:tcBorders>
                  <w:vAlign w:val="center"/>
                </w:tcPr>
                <w:p w14:paraId="3CC9B619">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铜罐驿组团范围内红蜻蜓（重庆）植物油脂有限公司、重庆小可食品有限公司、重庆豆奇食品有限公司不再扩大用地规模、不新增污染物排放</w:t>
                  </w:r>
                </w:p>
              </w:tc>
              <w:tc>
                <w:tcPr>
                  <w:tcW w:w="1756" w:type="pct"/>
                  <w:tcBorders>
                    <w:tl2br w:val="nil"/>
                    <w:tr2bl w:val="nil"/>
                  </w:tcBorders>
                  <w:vAlign w:val="center"/>
                </w:tcPr>
                <w:p w14:paraId="215BBF9D">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本项目位于重庆西彭工业园区西彭组团D标准分区，不涉及前述企业</w:t>
                  </w:r>
                </w:p>
              </w:tc>
              <w:tc>
                <w:tcPr>
                  <w:tcW w:w="523" w:type="pct"/>
                  <w:tcBorders>
                    <w:tl2br w:val="nil"/>
                    <w:tr2bl w:val="nil"/>
                  </w:tcBorders>
                  <w:vAlign w:val="center"/>
                </w:tcPr>
                <w:p w14:paraId="57D2BE67">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1749C7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76F885BA">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环境风险防控</w:t>
                  </w:r>
                </w:p>
              </w:tc>
              <w:tc>
                <w:tcPr>
                  <w:tcW w:w="2324" w:type="pct"/>
                  <w:tcBorders>
                    <w:tl2br w:val="nil"/>
                    <w:tr2bl w:val="nil"/>
                  </w:tcBorders>
                  <w:vAlign w:val="center"/>
                </w:tcPr>
                <w:p w14:paraId="372F302D">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西彭组团和铜罐驿组团沿江1km范围内规划仓储用地（A72-1/04、A90-1/04、A88/02、A87-1/03、A101/01、A99/01、A102/01、A104/01、A103/01、A105/01、F40-1/02、F41-1/01地块）禁止新引入从事危险化学品储存、运输的仓储物流项目</w:t>
                  </w:r>
                </w:p>
              </w:tc>
              <w:tc>
                <w:tcPr>
                  <w:tcW w:w="1756" w:type="pct"/>
                  <w:tcBorders>
                    <w:tl2br w:val="nil"/>
                    <w:tr2bl w:val="nil"/>
                  </w:tcBorders>
                  <w:vAlign w:val="center"/>
                </w:tcPr>
                <w:p w14:paraId="2857EEB6">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D</w:t>
                  </w:r>
                  <w:r>
                    <w:rPr>
                      <w:rFonts w:hint="eastAsia" w:ascii="Times New Roman" w:hAnsi="Times New Roman" w:cs="Times New Roman"/>
                      <w:color w:val="000000" w:themeColor="text1"/>
                      <w:szCs w:val="21"/>
                      <w:highlight w:val="none"/>
                      <w:lang w:val="en-US" w:eastAsia="zh-CN"/>
                      <w14:textFill>
                        <w14:solidFill>
                          <w14:schemeClr w14:val="tx1"/>
                        </w14:solidFill>
                      </w14:textFill>
                    </w:rPr>
                    <w:t>36-2/05地块</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eastAsia="zh-CN"/>
                      <w14:textFill>
                        <w14:solidFill>
                          <w14:schemeClr w14:val="tx1"/>
                        </w14:solidFill>
                      </w14:textFill>
                    </w:rPr>
                    <w:t>不属于上述地块</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eastAsia="zh-CN"/>
                      <w14:textFill>
                        <w14:solidFill>
                          <w14:schemeClr w14:val="tx1"/>
                        </w14:solidFill>
                      </w14:textFill>
                    </w:rPr>
                    <w:t>且</w:t>
                  </w:r>
                  <w:r>
                    <w:rPr>
                      <w:rFonts w:ascii="Times New Roman" w:hAnsi="Times New Roman" w:cs="Times New Roman"/>
                      <w:color w:val="000000" w:themeColor="text1"/>
                      <w:szCs w:val="21"/>
                      <w:highlight w:val="none"/>
                      <w14:textFill>
                        <w14:solidFill>
                          <w14:schemeClr w14:val="tx1"/>
                        </w14:solidFill>
                      </w14:textFill>
                    </w:rPr>
                    <w:t>不涉及危险化学品储存、运输</w:t>
                  </w:r>
                </w:p>
              </w:tc>
              <w:tc>
                <w:tcPr>
                  <w:tcW w:w="523" w:type="pct"/>
                  <w:tcBorders>
                    <w:tl2br w:val="nil"/>
                    <w:tr2bl w:val="nil"/>
                  </w:tcBorders>
                  <w:vAlign w:val="center"/>
                </w:tcPr>
                <w:p w14:paraId="506D9714">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ADDFF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04805F9A">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324" w:type="pct"/>
                  <w:tcBorders>
                    <w:tl2br w:val="nil"/>
                    <w:tr2bl w:val="nil"/>
                  </w:tcBorders>
                  <w:vAlign w:val="center"/>
                </w:tcPr>
                <w:p w14:paraId="4BE0446D">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临长江道路禁止规划运输危险化学品及危险废物路线</w:t>
                  </w:r>
                </w:p>
              </w:tc>
              <w:tc>
                <w:tcPr>
                  <w:tcW w:w="1756" w:type="pct"/>
                  <w:tcBorders>
                    <w:tl2br w:val="nil"/>
                    <w:tr2bl w:val="nil"/>
                  </w:tcBorders>
                  <w:vAlign w:val="center"/>
                </w:tcPr>
                <w:p w14:paraId="75ADED40">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本项目不涉及</w:t>
                  </w:r>
                </w:p>
              </w:tc>
              <w:tc>
                <w:tcPr>
                  <w:tcW w:w="523" w:type="pct"/>
                  <w:tcBorders>
                    <w:tl2br w:val="nil"/>
                    <w:tr2bl w:val="nil"/>
                  </w:tcBorders>
                  <w:vAlign w:val="center"/>
                </w:tcPr>
                <w:p w14:paraId="2C73A06B">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3CF25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61A21738">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324" w:type="pct"/>
                  <w:tcBorders>
                    <w:tl2br w:val="nil"/>
                    <w:tr2bl w:val="nil"/>
                  </w:tcBorders>
                  <w:vAlign w:val="center"/>
                </w:tcPr>
                <w:p w14:paraId="2261AC5E">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禁止新建、扩建化工项目</w:t>
                  </w:r>
                </w:p>
              </w:tc>
              <w:tc>
                <w:tcPr>
                  <w:tcW w:w="1756" w:type="pct"/>
                  <w:tcBorders>
                    <w:tl2br w:val="nil"/>
                    <w:tr2bl w:val="nil"/>
                  </w:tcBorders>
                  <w:vAlign w:val="center"/>
                </w:tcPr>
                <w:p w14:paraId="181E50A4">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21"/>
                      <w:highlight w:val="none"/>
                      <w14:textFill>
                        <w14:solidFill>
                          <w14:schemeClr w14:val="tx1"/>
                        </w14:solidFill>
                      </w14:textFill>
                    </w:rPr>
                    <w:t>，不属于化工项目</w:t>
                  </w:r>
                </w:p>
              </w:tc>
              <w:tc>
                <w:tcPr>
                  <w:tcW w:w="523" w:type="pct"/>
                  <w:tcBorders>
                    <w:tl2br w:val="nil"/>
                    <w:tr2bl w:val="nil"/>
                  </w:tcBorders>
                  <w:vAlign w:val="center"/>
                </w:tcPr>
                <w:p w14:paraId="5E0869C9">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35E88F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restart"/>
                  <w:tcBorders>
                    <w:tl2br w:val="nil"/>
                    <w:tr2bl w:val="nil"/>
                  </w:tcBorders>
                  <w:vAlign w:val="center"/>
                </w:tcPr>
                <w:p w14:paraId="3CDBA588">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资源开发利用要求</w:t>
                  </w:r>
                </w:p>
              </w:tc>
              <w:tc>
                <w:tcPr>
                  <w:tcW w:w="2324" w:type="pct"/>
                  <w:tcBorders>
                    <w:tl2br w:val="nil"/>
                    <w:tr2bl w:val="nil"/>
                  </w:tcBorders>
                  <w:vAlign w:val="center"/>
                </w:tcPr>
                <w:p w14:paraId="516A3190">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禁止新建、扩建燃用煤、重油等高污染燃料的工业项目，重庆和友实业股份有限公司不再新增燃煤总量</w:t>
                  </w:r>
                </w:p>
              </w:tc>
              <w:tc>
                <w:tcPr>
                  <w:tcW w:w="1756" w:type="pct"/>
                  <w:tcBorders>
                    <w:tl2br w:val="nil"/>
                    <w:tr2bl w:val="nil"/>
                  </w:tcBorders>
                  <w:vAlign w:val="center"/>
                </w:tcPr>
                <w:p w14:paraId="71FC5560">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本项目不涉及</w:t>
                  </w:r>
                </w:p>
              </w:tc>
              <w:tc>
                <w:tcPr>
                  <w:tcW w:w="523" w:type="pct"/>
                  <w:tcBorders>
                    <w:tl2br w:val="nil"/>
                    <w:tr2bl w:val="nil"/>
                  </w:tcBorders>
                  <w:vAlign w:val="center"/>
                </w:tcPr>
                <w:p w14:paraId="78642B93">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27153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Merge w:val="continue"/>
                  <w:tcBorders>
                    <w:tl2br w:val="nil"/>
                    <w:tr2bl w:val="nil"/>
                  </w:tcBorders>
                  <w:vAlign w:val="center"/>
                </w:tcPr>
                <w:p w14:paraId="35CB8268">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324" w:type="pct"/>
                  <w:tcBorders>
                    <w:tl2br w:val="nil"/>
                    <w:tr2bl w:val="nil"/>
                  </w:tcBorders>
                  <w:vAlign w:val="center"/>
                </w:tcPr>
                <w:p w14:paraId="5B569D8E">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新建和改、扩建的工业项目清洁生产水平应达到国内先进水平</w:t>
                  </w:r>
                </w:p>
              </w:tc>
              <w:tc>
                <w:tcPr>
                  <w:tcW w:w="1756" w:type="pct"/>
                  <w:tcBorders>
                    <w:tl2br w:val="nil"/>
                    <w:tr2bl w:val="nil"/>
                  </w:tcBorders>
                  <w:vAlign w:val="center"/>
                </w:tcPr>
                <w:p w14:paraId="24E73F42">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本项目采用先进工艺技术，满足清洁生产要求</w:t>
                  </w:r>
                </w:p>
              </w:tc>
              <w:tc>
                <w:tcPr>
                  <w:tcW w:w="523" w:type="pct"/>
                  <w:tcBorders>
                    <w:tl2br w:val="nil"/>
                    <w:tr2bl w:val="nil"/>
                  </w:tcBorders>
                  <w:vAlign w:val="center"/>
                </w:tcPr>
                <w:p w14:paraId="56728551">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bl>
          <w:p w14:paraId="508C5019">
            <w:pPr>
              <w:adjustRightInd w:val="0"/>
              <w:snapToGrid w:val="0"/>
              <w:spacing w:line="360" w:lineRule="auto"/>
              <w:jc w:val="center"/>
              <w:rPr>
                <w:rFonts w:ascii="Times New Roman" w:hAnsi="Times New Roman" w:cs="Times New Roman"/>
                <w:b/>
                <w:bCs/>
                <w:color w:val="000000" w:themeColor="text1"/>
                <w:sz w:val="24"/>
                <w:szCs w:val="21"/>
                <w:highlight w:val="none"/>
                <w14:textFill>
                  <w14:solidFill>
                    <w14:schemeClr w14:val="tx1"/>
                  </w14:solidFill>
                </w14:textFill>
              </w:rPr>
            </w:pPr>
          </w:p>
          <w:p w14:paraId="31E9AD45">
            <w:pPr>
              <w:adjustRightInd w:val="0"/>
              <w:snapToGrid w:val="0"/>
              <w:spacing w:line="360" w:lineRule="auto"/>
              <w:jc w:val="center"/>
              <w:rPr>
                <w:rFonts w:ascii="Times New Roman" w:hAnsi="Times New Roman" w:cs="Times New Roman"/>
                <w:b/>
                <w:bCs/>
                <w:color w:val="000000" w:themeColor="text1"/>
                <w:sz w:val="24"/>
                <w:szCs w:val="21"/>
                <w:highlight w:val="none"/>
                <w14:textFill>
                  <w14:solidFill>
                    <w14:schemeClr w14:val="tx1"/>
                  </w14:solidFill>
                </w14:textFill>
              </w:rPr>
            </w:pPr>
            <w:r>
              <w:rPr>
                <w:rFonts w:ascii="Times New Roman" w:hAnsi="Times New Roman" w:cs="Times New Roman"/>
                <w:b/>
                <w:bCs/>
                <w:color w:val="000000" w:themeColor="text1"/>
                <w:sz w:val="24"/>
                <w:szCs w:val="21"/>
                <w:highlight w:val="none"/>
                <w14:textFill>
                  <w14:solidFill>
                    <w14:schemeClr w14:val="tx1"/>
                  </w14:solidFill>
                </w14:textFill>
              </w:rPr>
              <w:t>表1</w:t>
            </w:r>
            <w:r>
              <w:rPr>
                <w:rFonts w:hint="eastAsia" w:ascii="Times New Roman" w:hAnsi="Times New Roman" w:cs="Times New Roman"/>
                <w:b/>
                <w:bCs/>
                <w:color w:val="000000" w:themeColor="text1"/>
                <w:sz w:val="24"/>
                <w:szCs w:val="21"/>
                <w:highlight w:val="none"/>
                <w14:textFill>
                  <w14:solidFill>
                    <w14:schemeClr w14:val="tx1"/>
                  </w14:solidFill>
                </w14:textFill>
              </w:rPr>
              <w:t>.1-2</w:t>
            </w:r>
            <w:r>
              <w:rPr>
                <w:rFonts w:ascii="Times New Roman" w:hAnsi="Times New Roman" w:cs="Times New Roman"/>
                <w:b/>
                <w:bCs/>
                <w:color w:val="000000" w:themeColor="text1"/>
                <w:sz w:val="24"/>
                <w:szCs w:val="21"/>
                <w:highlight w:val="none"/>
                <w14:textFill>
                  <w14:solidFill>
                    <w14:schemeClr w14:val="tx1"/>
                  </w14:solidFill>
                </w14:textFill>
              </w:rPr>
              <w:t xml:space="preserve">  本项目与规划环评审查意见的符合性分析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604"/>
              <w:gridCol w:w="3324"/>
              <w:gridCol w:w="2287"/>
              <w:gridCol w:w="838"/>
            </w:tblGrid>
            <w:tr w14:paraId="1DBC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6CA906E8">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分类</w:t>
                  </w:r>
                </w:p>
              </w:tc>
              <w:tc>
                <w:tcPr>
                  <w:tcW w:w="2478" w:type="pct"/>
                  <w:gridSpan w:val="2"/>
                  <w:vAlign w:val="center"/>
                </w:tcPr>
                <w:p w14:paraId="2B7AE021">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审查意见函相关要求</w:t>
                  </w:r>
                </w:p>
              </w:tc>
              <w:tc>
                <w:tcPr>
                  <w:tcW w:w="1443" w:type="pct"/>
                  <w:vAlign w:val="center"/>
                </w:tcPr>
                <w:p w14:paraId="23F5108E">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本项目情况</w:t>
                  </w:r>
                </w:p>
              </w:tc>
              <w:tc>
                <w:tcPr>
                  <w:tcW w:w="529" w:type="pct"/>
                  <w:vAlign w:val="center"/>
                </w:tcPr>
                <w:p w14:paraId="0B88E4C4">
                  <w:pPr>
                    <w:adjustRightInd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符合性</w:t>
                  </w:r>
                </w:p>
              </w:tc>
            </w:tr>
            <w:tr w14:paraId="0792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736EACEE">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严格生态环境准入</w:t>
                  </w:r>
                </w:p>
              </w:tc>
              <w:tc>
                <w:tcPr>
                  <w:tcW w:w="2478" w:type="pct"/>
                  <w:gridSpan w:val="2"/>
                  <w:vAlign w:val="center"/>
                </w:tcPr>
                <w:p w14:paraId="77ED2875">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强化规划环评与</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三线一单</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生态环境分区管控要求、国土空间</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三区三线</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等成果衔接，主要管控措施应符合重庆市及九龙坡区</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三线一单</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生态环境分区管控要求。规划区入驻项目应满足相关产业政策和环境准入要求以及《报告书》提出的生态环境管控要求。</w:t>
                  </w:r>
                </w:p>
              </w:tc>
              <w:tc>
                <w:tcPr>
                  <w:tcW w:w="1443" w:type="pct"/>
                  <w:vAlign w:val="center"/>
                </w:tcPr>
                <w:p w14:paraId="60361666">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本项目位于西彭工业园区西彭组团D标准分区，符合规划环评准入及</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三线一单</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要求</w:t>
                  </w:r>
                </w:p>
              </w:tc>
              <w:tc>
                <w:tcPr>
                  <w:tcW w:w="529" w:type="pct"/>
                  <w:vAlign w:val="center"/>
                </w:tcPr>
                <w:p w14:paraId="160637AD">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8C3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1E663070">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强化空间布局约束</w:t>
                  </w:r>
                </w:p>
              </w:tc>
              <w:tc>
                <w:tcPr>
                  <w:tcW w:w="2478" w:type="pct"/>
                  <w:gridSpan w:val="2"/>
                  <w:vAlign w:val="center"/>
                </w:tcPr>
                <w:p w14:paraId="515D05B7">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开发建设应符合《中华人民共和国长江保护法》等法律法规以及关于沿江产业布局的相关规定。合理布局有环境防护距离要求的建设项目，其环境防护距离原则上应控制在园区规划边界或用地红线内。邻近渝西中学的未开发工业用地与渝西中学之间以及邻近居住用地的未开发工业地块（A31/04、A33/04、A34/04、A32/04、A30-1-1/06）与居住用地之间均应设置不少于100米环境防护距离，后续应根据项目环评确定本项目环境防护距离是否满足要求。与居住用地相邻的规划工业用地（A31/04、A33/04、A34/04、A30-1-1/06）及东北侧规划科研用地兼一类工业用地(C61-1/01、C61-4/01、C61-5/01、C62-1/01、C62-3/01、C63-1/01、C63-2/01）后续不宜布局高噪声以及涉及喷漆、酸洗、熔炼等异味明显的生产项目。规划区禁止新建、扩建排放废水中含重金属（铬、镉、汞、砷、铅等重金属）、剧毒物质和持久性有机污染物的工业项目。</w:t>
                  </w:r>
                </w:p>
              </w:tc>
              <w:tc>
                <w:tcPr>
                  <w:tcW w:w="1443" w:type="pct"/>
                  <w:vAlign w:val="center"/>
                </w:tcPr>
                <w:p w14:paraId="78B10CD4">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D</w:t>
                  </w:r>
                  <w:r>
                    <w:rPr>
                      <w:rFonts w:hint="eastAsia" w:ascii="Times New Roman" w:hAnsi="Times New Roman" w:cs="Times New Roman"/>
                      <w:color w:val="000000" w:themeColor="text1"/>
                      <w:szCs w:val="21"/>
                      <w:highlight w:val="none"/>
                      <w:lang w:val="en-US" w:eastAsia="zh-CN"/>
                      <w14:textFill>
                        <w14:solidFill>
                          <w14:schemeClr w14:val="tx1"/>
                        </w14:solidFill>
                      </w14:textFill>
                    </w:rPr>
                    <w:t>36-2/05地块</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eastAsia="zh-CN"/>
                      <w14:textFill>
                        <w14:solidFill>
                          <w14:schemeClr w14:val="tx1"/>
                        </w14:solidFill>
                      </w14:textFill>
                    </w:rPr>
                    <w:t>不属于上述地块</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14:textFill>
                        <w14:solidFill>
                          <w14:schemeClr w14:val="tx1"/>
                        </w14:solidFill>
                      </w14:textFill>
                    </w:rPr>
                    <w:t>距离渝西中学约4km</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eastAsia="zh-CN"/>
                      <w14:textFill>
                        <w14:solidFill>
                          <w14:schemeClr w14:val="tx1"/>
                        </w14:solidFill>
                      </w14:textFill>
                    </w:rPr>
                    <w:t>且</w:t>
                  </w:r>
                  <w:r>
                    <w:rPr>
                      <w:rFonts w:ascii="Times New Roman" w:hAnsi="Times New Roman" w:cs="Times New Roman"/>
                      <w:color w:val="000000" w:themeColor="text1"/>
                      <w:szCs w:val="21"/>
                      <w:highlight w:val="none"/>
                      <w14:textFill>
                        <w14:solidFill>
                          <w14:schemeClr w14:val="tx1"/>
                        </w14:solidFill>
                      </w14:textFill>
                    </w:rPr>
                    <w:t>不涉及喷漆、酸洗、熔炼，不排放含重金属、剧毒物质和持久性有机污染物的废水</w:t>
                  </w:r>
                  <w:r>
                    <w:rPr>
                      <w:rFonts w:hint="eastAsia" w:ascii="Times New Roman" w:hAnsi="Times New Roman" w:cs="Times New Roman"/>
                      <w:color w:val="000000" w:themeColor="text1"/>
                      <w:szCs w:val="21"/>
                      <w:highlight w:val="none"/>
                      <w14:textFill>
                        <w14:solidFill>
                          <w14:schemeClr w14:val="tx1"/>
                        </w14:solidFill>
                      </w14:textFill>
                    </w:rPr>
                    <w:t>。</w:t>
                  </w:r>
                </w:p>
              </w:tc>
              <w:tc>
                <w:tcPr>
                  <w:tcW w:w="529" w:type="pct"/>
                  <w:vAlign w:val="center"/>
                </w:tcPr>
                <w:p w14:paraId="3B460891">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DF5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restart"/>
                  <w:vAlign w:val="center"/>
                </w:tcPr>
                <w:p w14:paraId="4EBAA38E">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加强污染排放管控</w:t>
                  </w:r>
                </w:p>
              </w:tc>
              <w:tc>
                <w:tcPr>
                  <w:tcW w:w="381" w:type="pct"/>
                  <w:vAlign w:val="center"/>
                </w:tcPr>
                <w:p w14:paraId="692162C3">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水污染物排放管控</w:t>
                  </w:r>
                </w:p>
              </w:tc>
              <w:tc>
                <w:tcPr>
                  <w:tcW w:w="2097" w:type="pct"/>
                  <w:vAlign w:val="center"/>
                </w:tcPr>
                <w:p w14:paraId="40D6CD6C">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规划区排水系统采用雨、污分流制，加快实施污水处理厂扩建和提标改造，完善雨水、污水管网建设，确保雨污分流、污废水得到有效收集处理。持续推进清洁生产审核，工业企业应采用先进的生产工艺，减少新鲜水消耗和废水排放。西彭组团生活区污水收集进入西彭镇污水处理厂处理达《城镇污水处理厂污染物排放标准》(GB18918-2002）一级A标准后排入桥头河；工业区（除西南铝企业）废水经企业预处理达接管要求后进入西彭工业园区污水处理厂处理达《城镇污水处理厂污染物排放标准》(GB18918-2002）一级A标准后排入桥头河（其中COD、NH₃-N、TP达《地表水环境质量标准》(GB3838-2002)Ⅳ类标准）；西南铝企业污废水经自建污水处理站处理达《污水综合排放标准》(GB8978-1996）一级标准后排入桥头河。陶家组团生活区污水收集进入陶家镇生活污水处理厂处理达《城镇污水处理厂污染物排放标准》(GB18918-2002）一级A标后排入大溪河；工业区废水经企业预处理达接管要求后排入陶家工业污水处理厂处理达《城镇污水处理厂污染物排放标准》(GB18918-2002）一级A标准后排入杨柳曲河再汇入大溪河（其中COD、NH</w:t>
                  </w:r>
                  <w:r>
                    <w:rPr>
                      <w:rFonts w:ascii="Times New Roman" w:hAnsi="Times New Roman" w:cs="Times New Roman"/>
                      <w:color w:val="000000" w:themeColor="text1"/>
                      <w:szCs w:val="21"/>
                      <w:highlight w:val="none"/>
                      <w:vertAlign w:val="subscript"/>
                      <w14:textFill>
                        <w14:solidFill>
                          <w14:schemeClr w14:val="tx1"/>
                        </w14:solidFill>
                      </w14:textFill>
                    </w:rPr>
                    <w:t>3</w:t>
                  </w:r>
                  <w:r>
                    <w:rPr>
                      <w:rFonts w:ascii="Times New Roman" w:hAnsi="Times New Roman" w:cs="Times New Roman"/>
                      <w:color w:val="000000" w:themeColor="text1"/>
                      <w:szCs w:val="21"/>
                      <w:highlight w:val="none"/>
                      <w14:textFill>
                        <w14:solidFill>
                          <w14:schemeClr w14:val="tx1"/>
                        </w14:solidFill>
                      </w14:textFill>
                    </w:rPr>
                    <w:t>-N、TP达《地表水环境质量标准》(GB3838-2002)Ⅳ类标准）。铜罐驿组团污废水（除重庆和友实业股份有限公司）污废水通过市政污水管网进入铜罐驿污水处理厂处理达《地表水环境质量标准》(GB3838-2002)Ⅳ类标准后排入金竹沟再汇入长江；重庆和友实业股份有限公司经自建污水处理站处理达到《合成氨工业水污染物排放标准》(GB13458-2013）后排入金竹沟再汇入长江。</w:t>
                  </w:r>
                </w:p>
              </w:tc>
              <w:tc>
                <w:tcPr>
                  <w:tcW w:w="1443" w:type="pct"/>
                  <w:vAlign w:val="center"/>
                </w:tcPr>
                <w:p w14:paraId="0B93885F">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本项目厂区雨污分流，雨水直接进入园区雨水管网；生活污水依托</w:t>
                  </w:r>
                  <w:r>
                    <w:rPr>
                      <w:rFonts w:hint="eastAsia" w:ascii="Times New Roman" w:hAnsi="Times New Roman" w:cs="Times New Roman"/>
                      <w:color w:val="000000" w:themeColor="text1"/>
                      <w:szCs w:val="21"/>
                      <w:highlight w:val="none"/>
                      <w14:textFill>
                        <w14:solidFill>
                          <w14:schemeClr w14:val="tx1"/>
                        </w14:solidFill>
                      </w14:textFill>
                    </w:rPr>
                    <w:t>坤坤农业公司</w:t>
                  </w:r>
                  <w:r>
                    <w:rPr>
                      <w:rFonts w:ascii="Times New Roman" w:hAnsi="Times New Roman" w:cs="Times New Roman"/>
                      <w:color w:val="000000" w:themeColor="text1"/>
                      <w:szCs w:val="21"/>
                      <w:highlight w:val="none"/>
                      <w14:textFill>
                        <w14:solidFill>
                          <w14:schemeClr w14:val="tx1"/>
                        </w14:solidFill>
                      </w14:textFill>
                    </w:rPr>
                    <w:t>已建生化池处理达《污水综合排放标准》（GB8978-1996）三级标准后排入园区管网，进入西彭工业园区污水处理厂处理后排入桥头河再汇入长江</w:t>
                  </w:r>
                  <w:r>
                    <w:rPr>
                      <w:rFonts w:hint="eastAsia" w:ascii="Times New Roman" w:hAnsi="Times New Roman" w:cs="Times New Roman"/>
                      <w:color w:val="000000" w:themeColor="text1"/>
                      <w:szCs w:val="21"/>
                      <w:highlight w:val="none"/>
                      <w14:textFill>
                        <w14:solidFill>
                          <w14:schemeClr w14:val="tx1"/>
                        </w14:solidFill>
                      </w14:textFill>
                    </w:rPr>
                    <w:t>。</w:t>
                  </w:r>
                </w:p>
              </w:tc>
              <w:tc>
                <w:tcPr>
                  <w:tcW w:w="529" w:type="pct"/>
                  <w:vAlign w:val="center"/>
                </w:tcPr>
                <w:p w14:paraId="35E359B6">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32F2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7C60EF00">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81" w:type="pct"/>
                  <w:vAlign w:val="center"/>
                </w:tcPr>
                <w:p w14:paraId="2DBDD035">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大气污染物排放管控</w:t>
                  </w:r>
                </w:p>
              </w:tc>
              <w:tc>
                <w:tcPr>
                  <w:tcW w:w="2097" w:type="pct"/>
                  <w:vAlign w:val="center"/>
                </w:tcPr>
                <w:p w14:paraId="65E948CF">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优化能源结构，严格落实清洁能源计划，鼓励使用天然气、电等清洁能源。燃气锅炉应采用低氮燃烧工艺。加强工业企业大气污染综合治理，各入驻企业应采取有效的废气处理措施，确保工艺废气稳定达标排放并满足总量控制要求。涉及挥发性有机物排放的项目应从源头加强控制，优先使用低（无）VOCs含量的原辅料，并按照相关要求采用先进生产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建涉及喷漆、酸洗等异味气体排放的生产项目应远离居住、学校等人口密集区。</w:t>
                  </w:r>
                </w:p>
              </w:tc>
              <w:tc>
                <w:tcPr>
                  <w:tcW w:w="1443" w:type="pct"/>
                  <w:vAlign w:val="center"/>
                </w:tcPr>
                <w:p w14:paraId="419B18F2">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项目</w:t>
                  </w:r>
                  <w:r>
                    <w:rPr>
                      <w:rFonts w:hint="eastAsia" w:ascii="Times New Roman" w:hAnsi="Times New Roman" w:cs="Times New Roman"/>
                      <w:color w:val="000000" w:themeColor="text1"/>
                      <w:szCs w:val="21"/>
                      <w:highlight w:val="none"/>
                      <w14:textFill>
                        <w14:solidFill>
                          <w14:schemeClr w14:val="tx1"/>
                        </w14:solidFill>
                      </w14:textFill>
                    </w:rPr>
                    <w:t>使用电能及</w:t>
                  </w:r>
                  <w:r>
                    <w:rPr>
                      <w:rFonts w:hint="eastAsia" w:ascii="Times New Roman" w:hAnsi="Times New Roman" w:cs="Times New Roman"/>
                      <w:color w:val="000000" w:themeColor="text1"/>
                      <w:szCs w:val="21"/>
                      <w:highlight w:val="none"/>
                      <w:lang w:eastAsia="zh-CN"/>
                      <w14:textFill>
                        <w14:solidFill>
                          <w14:schemeClr w14:val="tx1"/>
                        </w14:solidFill>
                      </w14:textFill>
                    </w:rPr>
                    <w:t>液体石蜡</w:t>
                  </w:r>
                  <w:r>
                    <w:rPr>
                      <w:rFonts w:hint="eastAsia" w:ascii="Times New Roman" w:hAnsi="Times New Roman" w:cs="Times New Roman"/>
                      <w:color w:val="000000" w:themeColor="text1"/>
                      <w:szCs w:val="21"/>
                      <w:highlight w:val="none"/>
                      <w14:textFill>
                        <w14:solidFill>
                          <w14:schemeClr w14:val="tx1"/>
                        </w14:solidFill>
                      </w14:textFill>
                    </w:rPr>
                    <w:t>作为能源，生产原料为塑粉，不涉及喷漆、酸洗等工艺。生产过程中会产生VOCs废气</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14:textFill>
                        <w14:solidFill>
                          <w14:schemeClr w14:val="tx1"/>
                        </w14:solidFill>
                      </w14:textFill>
                    </w:rPr>
                    <w:t>采用“干式过滤+</w:t>
                  </w:r>
                  <w:r>
                    <w:rPr>
                      <w:rFonts w:hint="eastAsia" w:ascii="Times New Roman" w:hAnsi="Times New Roman" w:cs="Times New Roman"/>
                      <w:color w:val="000000" w:themeColor="text1"/>
                      <w:szCs w:val="21"/>
                      <w:highlight w:val="none"/>
                      <w:lang w:eastAsia="zh-CN"/>
                      <w14:textFill>
                        <w14:solidFill>
                          <w14:schemeClr w14:val="tx1"/>
                        </w14:solidFill>
                      </w14:textFill>
                    </w:rPr>
                    <w:t>两级</w:t>
                  </w:r>
                  <w:r>
                    <w:rPr>
                      <w:rFonts w:hint="eastAsia" w:ascii="Times New Roman" w:hAnsi="Times New Roman" w:cs="Times New Roman"/>
                      <w:color w:val="000000" w:themeColor="text1"/>
                      <w:szCs w:val="21"/>
                      <w:highlight w:val="none"/>
                      <w14:textFill>
                        <w14:solidFill>
                          <w14:schemeClr w14:val="tx1"/>
                        </w14:solidFill>
                      </w14:textFill>
                    </w:rPr>
                    <w:t>活性炭”吸附处置后有组织排放；喷粉过程中</w:t>
                  </w:r>
                  <w:r>
                    <w:rPr>
                      <w:rFonts w:ascii="Times New Roman" w:hAnsi="Times New Roman" w:cs="Times New Roman"/>
                      <w:color w:val="000000" w:themeColor="text1"/>
                      <w:szCs w:val="21"/>
                      <w:highlight w:val="none"/>
                      <w14:textFill>
                        <w14:solidFill>
                          <w14:schemeClr w14:val="tx1"/>
                        </w14:solidFill>
                      </w14:textFill>
                    </w:rPr>
                    <w:t>产生的废气粉尘收集后经</w:t>
                  </w:r>
                  <w:r>
                    <w:rPr>
                      <w:rFonts w:hint="eastAsia" w:ascii="Times New Roman" w:hAnsi="Times New Roman" w:cs="Times New Roman"/>
                      <w:color w:val="000000" w:themeColor="text1"/>
                      <w:szCs w:val="21"/>
                      <w:highlight w:val="none"/>
                      <w14:textFill>
                        <w14:solidFill>
                          <w14:schemeClr w14:val="tx1"/>
                        </w14:solidFill>
                      </w14:textFill>
                    </w:rPr>
                    <w:t>滤筒</w:t>
                  </w:r>
                  <w:r>
                    <w:rPr>
                      <w:rFonts w:ascii="Times New Roman" w:hAnsi="Times New Roman" w:cs="Times New Roman"/>
                      <w:color w:val="000000" w:themeColor="text1"/>
                      <w:szCs w:val="21"/>
                      <w:highlight w:val="none"/>
                      <w14:textFill>
                        <w14:solidFill>
                          <w14:schemeClr w14:val="tx1"/>
                        </w14:solidFill>
                      </w14:textFill>
                    </w:rPr>
                    <w:t>除尘器处理后通过排气筒排放</w:t>
                  </w:r>
                  <w:r>
                    <w:rPr>
                      <w:rFonts w:hint="eastAsia" w:ascii="Times New Roman" w:hAnsi="Times New Roman" w:cs="Times New Roman"/>
                      <w:color w:val="000000" w:themeColor="text1"/>
                      <w:szCs w:val="21"/>
                      <w:highlight w:val="none"/>
                      <w14:textFill>
                        <w14:solidFill>
                          <w14:schemeClr w14:val="tx1"/>
                        </w14:solidFill>
                      </w14:textFill>
                    </w:rPr>
                    <w:t>；抛丸废气经布袋除尘器处置后通过排气筒排放。</w:t>
                  </w:r>
                </w:p>
              </w:tc>
              <w:tc>
                <w:tcPr>
                  <w:tcW w:w="529" w:type="pct"/>
                  <w:vAlign w:val="center"/>
                </w:tcPr>
                <w:p w14:paraId="7618DD65">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5AF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15310F42">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81" w:type="pct"/>
                  <w:vAlign w:val="center"/>
                </w:tcPr>
                <w:p w14:paraId="1623250E">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工业固废排放管控</w:t>
                  </w:r>
                </w:p>
              </w:tc>
              <w:tc>
                <w:tcPr>
                  <w:tcW w:w="2097" w:type="pct"/>
                  <w:vAlign w:val="center"/>
                </w:tcPr>
                <w:p w14:paraId="5D5147E6">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加强一般工业固体废物综合利用和处置，鼓励企业自行回收利用一般工业固体废物，按资源化、减量化、无害化方式妥善收集、处置固体废物，加大包装材料的回收和循环使用。危险废物产生单位严格落实危险废物环境管理制度，做好危险废物管理计划和管理台账，对项目危险废物收集、贮存、运输、利用、处置各环节进行全过程环境监管。严格按照《危险废物贮存污染控制标准》(GB18597-2023）等有关规定，设置危险废物暂存场所，并按照规定设置危险废物识别标志。危险废物转移应严格执行《危险废物转移管理办法》（生态环境部公安部交通运输部令第23号）相关要求。</w:t>
                  </w:r>
                </w:p>
              </w:tc>
              <w:tc>
                <w:tcPr>
                  <w:tcW w:w="1443" w:type="pct"/>
                  <w:vAlign w:val="center"/>
                </w:tcPr>
                <w:p w14:paraId="12403D24">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设置</w:t>
                  </w:r>
                  <w:r>
                    <w:rPr>
                      <w:rFonts w:hint="eastAsia" w:ascii="Times New Roman" w:hAnsi="Times New Roman" w:cs="Times New Roman"/>
                      <w:color w:val="000000" w:themeColor="text1"/>
                      <w:szCs w:val="21"/>
                      <w:highlight w:val="none"/>
                      <w14:textFill>
                        <w14:solidFill>
                          <w14:schemeClr w14:val="tx1"/>
                        </w14:solidFill>
                      </w14:textFill>
                    </w:rPr>
                    <w:t>的</w:t>
                  </w:r>
                  <w:r>
                    <w:rPr>
                      <w:rFonts w:ascii="Times New Roman" w:hAnsi="Times New Roman" w:cs="Times New Roman"/>
                      <w:color w:val="000000" w:themeColor="text1"/>
                      <w:szCs w:val="21"/>
                      <w:highlight w:val="none"/>
                      <w14:textFill>
                        <w14:solidFill>
                          <w14:schemeClr w14:val="tx1"/>
                        </w14:solidFill>
                      </w14:textFill>
                    </w:rPr>
                    <w:t>1个一般固废暂存区，分类收集，定期外售处理；设置1处危险废物贮存点，分类收集，定期交由有危废资质的单位处理</w:t>
                  </w:r>
                </w:p>
              </w:tc>
              <w:tc>
                <w:tcPr>
                  <w:tcW w:w="529" w:type="pct"/>
                  <w:vAlign w:val="center"/>
                </w:tcPr>
                <w:p w14:paraId="457647D9">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3103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0C209A2F">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81" w:type="pct"/>
                  <w:vAlign w:val="center"/>
                </w:tcPr>
                <w:p w14:paraId="59C7C468">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噪声污染管控</w:t>
                  </w:r>
                </w:p>
              </w:tc>
              <w:tc>
                <w:tcPr>
                  <w:tcW w:w="2097" w:type="pct"/>
                  <w:vAlign w:val="center"/>
                </w:tcPr>
                <w:p w14:paraId="5FC6A09F">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合理布局企业噪声源，高噪声源企业选址和布局尽量远离居住、学校等声环境敏感区；工业企业选择低噪声设备，采取消声、隔声、减振等措施，确保厂界噪声达标。加强运输车辆的管理，合理规划区域运输线路和时间，减轻运输过程对沿线居民的影响。</w:t>
                  </w:r>
                </w:p>
              </w:tc>
              <w:tc>
                <w:tcPr>
                  <w:tcW w:w="1443" w:type="pct"/>
                  <w:vAlign w:val="center"/>
                </w:tcPr>
                <w:p w14:paraId="620CE19B">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本项目选用低噪声设备，通过合理布局、建筑隔声等措施，确保厂界噪声达标</w:t>
                  </w:r>
                </w:p>
              </w:tc>
              <w:tc>
                <w:tcPr>
                  <w:tcW w:w="529" w:type="pct"/>
                  <w:vAlign w:val="center"/>
                </w:tcPr>
                <w:p w14:paraId="2337DC17">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EFF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5F9335BF">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81" w:type="pct"/>
                  <w:vAlign w:val="center"/>
                </w:tcPr>
                <w:p w14:paraId="2D81BEF3">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土壤、地下水污染风险防控</w:t>
                  </w:r>
                </w:p>
              </w:tc>
              <w:tc>
                <w:tcPr>
                  <w:tcW w:w="2097" w:type="pct"/>
                  <w:vAlign w:val="center"/>
                </w:tcPr>
                <w:p w14:paraId="65872C98">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不恶化。</w:t>
                  </w:r>
                </w:p>
              </w:tc>
              <w:tc>
                <w:tcPr>
                  <w:tcW w:w="1443" w:type="pct"/>
                  <w:vAlign w:val="center"/>
                </w:tcPr>
                <w:p w14:paraId="0DC6A587">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本项目不涉及排放重金属，对设置的危险废物贮存点采取“六防”措施</w:t>
                  </w:r>
                </w:p>
              </w:tc>
              <w:tc>
                <w:tcPr>
                  <w:tcW w:w="529" w:type="pct"/>
                  <w:vAlign w:val="center"/>
                </w:tcPr>
                <w:p w14:paraId="18C8EB83">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5F54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Merge w:val="continue"/>
                  <w:vAlign w:val="center"/>
                </w:tcPr>
                <w:p w14:paraId="61CE6BCE">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81" w:type="pct"/>
                  <w:vAlign w:val="center"/>
                </w:tcPr>
                <w:p w14:paraId="470AA1B7">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碳排放管控</w:t>
                  </w:r>
                </w:p>
              </w:tc>
              <w:tc>
                <w:tcPr>
                  <w:tcW w:w="2097" w:type="pct"/>
                  <w:vAlign w:val="center"/>
                </w:tcPr>
                <w:p w14:paraId="7DEAC830">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按照碳达峰、碳中和相关政策要求，统筹抓好碳排放控制管理和生态环境保护工作，推动实现减污降碳。督促规划区企业采用先进的生产工艺，提高能源综合利用效率，从源头减少和控制温室气体排放，推动减污降碳协同共治，促进规划区产业绿色低碳循环发展。</w:t>
                  </w:r>
                </w:p>
              </w:tc>
              <w:tc>
                <w:tcPr>
                  <w:tcW w:w="1443" w:type="pct"/>
                  <w:vAlign w:val="center"/>
                </w:tcPr>
                <w:p w14:paraId="330ECA0E">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本项目不涉及</w:t>
                  </w:r>
                </w:p>
              </w:tc>
              <w:tc>
                <w:tcPr>
                  <w:tcW w:w="529" w:type="pct"/>
                  <w:vAlign w:val="center"/>
                </w:tcPr>
                <w:p w14:paraId="596A5539">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33A9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7" w:type="pct"/>
                  <w:vAlign w:val="center"/>
                </w:tcPr>
                <w:p w14:paraId="41F0DB85">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环境风险防控</w:t>
                  </w:r>
                </w:p>
              </w:tc>
              <w:tc>
                <w:tcPr>
                  <w:tcW w:w="2478" w:type="pct"/>
                  <w:gridSpan w:val="2"/>
                  <w:vAlign w:val="center"/>
                </w:tcPr>
                <w:p w14:paraId="50224D0A">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规划区应建立健全环境风险防范体系，强化园区层面环境风险防范措施，原则上2023年底前建成金竹沟闸坝，全面提升环境风险防范和事故应急处置能力，保障环境安全。园区管理部门应加强对企业环境风险的监督管理，相关企业应严格落实各项环境风险防范措施，防范突发性环境风险事故发生。沿长江岸线一公里范围内的规划仓储用地（A72-1/04、A90-1/04、A88/02、A87-1/03、A101/01、A99/01、A102/01、A104/01、A103/01、A105/01、F40-1/02、F41-1/01地块）后续应禁止新引入从事危险化学品存储的项目，危险化学品及危险废物的运输路线应避开紧临长江的道路。</w:t>
                  </w:r>
                </w:p>
              </w:tc>
              <w:tc>
                <w:tcPr>
                  <w:tcW w:w="1443" w:type="pct"/>
                  <w:vAlign w:val="center"/>
                </w:tcPr>
                <w:p w14:paraId="4EF25CA9">
                  <w:pPr>
                    <w:adjustRightInd w:val="0"/>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21"/>
                      <w:highlight w:val="none"/>
                      <w14:textFill>
                        <w14:solidFill>
                          <w14:schemeClr w14:val="tx1"/>
                        </w14:solidFill>
                      </w14:textFill>
                    </w:rPr>
                    <w:t>，危险废物贮存</w:t>
                  </w:r>
                  <w:r>
                    <w:rPr>
                      <w:rFonts w:hint="eastAsia" w:ascii="Times New Roman" w:hAnsi="Times New Roman" w:cs="Times New Roman"/>
                      <w:color w:val="000000" w:themeColor="text1"/>
                      <w:szCs w:val="21"/>
                      <w:highlight w:val="none"/>
                      <w14:textFill>
                        <w14:solidFill>
                          <w14:schemeClr w14:val="tx1"/>
                        </w14:solidFill>
                      </w14:textFill>
                    </w:rPr>
                    <w:t>设施依托现有工程设置的危废间，采取严格的防渗措施。</w:t>
                  </w:r>
                </w:p>
              </w:tc>
              <w:tc>
                <w:tcPr>
                  <w:tcW w:w="529" w:type="pct"/>
                  <w:vAlign w:val="center"/>
                </w:tcPr>
                <w:p w14:paraId="42D9AC0A">
                  <w:pPr>
                    <w:adjustRightInd w:val="0"/>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bl>
          <w:p w14:paraId="0131CA82">
            <w:pPr>
              <w:autoSpaceDE w:val="0"/>
              <w:autoSpaceDN w:val="0"/>
              <w:adjustRightInd w:val="0"/>
              <w:snapToGrid w:val="0"/>
              <w:spacing w:line="480" w:lineRule="exact"/>
              <w:ind w:firstLine="480" w:firstLineChars="200"/>
              <w:jc w:val="left"/>
              <w:rPr>
                <w:rFonts w:hint="default" w:ascii="Times New Roman" w:hAnsi="Times New Roman" w:cs="Times New Roman"/>
                <w:b/>
                <w:bCs/>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由表</w:t>
            </w:r>
            <w:r>
              <w:rPr>
                <w:rFonts w:hint="default" w:ascii="Times New Roman" w:hAnsi="Times New Roman" w:cs="Times New Roman"/>
                <w:color w:val="000000" w:themeColor="text1"/>
                <w:sz w:val="24"/>
                <w:lang w:val="en-US" w:eastAsia="zh-CN"/>
                <w14:textFill>
                  <w14:solidFill>
                    <w14:schemeClr w14:val="tx1"/>
                  </w14:solidFill>
                </w14:textFill>
              </w:rPr>
              <w:t>1.1-1、表1.1-2</w:t>
            </w:r>
            <w:r>
              <w:rPr>
                <w:rFonts w:hint="default" w:ascii="Times New Roman" w:hAnsi="Times New Roman" w:cs="Times New Roman"/>
                <w:color w:val="000000" w:themeColor="text1"/>
                <w:sz w:val="24"/>
                <w14:textFill>
                  <w14:solidFill>
                    <w14:schemeClr w14:val="tx1"/>
                  </w14:solidFill>
                </w14:textFill>
              </w:rPr>
              <w:t>所知</w:t>
            </w:r>
            <w:r>
              <w:rPr>
                <w:rFonts w:hint="default" w:ascii="Times New Roman" w:hAnsi="Times New Roman" w:cs="Times New Roman"/>
                <w:color w:val="000000" w:themeColor="text1"/>
                <w:kern w:val="0"/>
                <w:sz w:val="24"/>
                <w14:textFill>
                  <w14:solidFill>
                    <w14:schemeClr w14:val="tx1"/>
                  </w14:solidFill>
                </w14:textFill>
              </w:rPr>
              <w:t>，本项目符合</w:t>
            </w:r>
            <w:r>
              <w:rPr>
                <w:rFonts w:hint="default" w:ascii="Times New Roman" w:hAnsi="Times New Roman" w:cs="Times New Roman"/>
                <w:color w:val="000000" w:themeColor="text1"/>
                <w:sz w:val="24"/>
                <w14:textFill>
                  <w14:solidFill>
                    <w14:schemeClr w14:val="tx1"/>
                  </w14:solidFill>
                </w14:textFill>
              </w:rPr>
              <w:t>《重庆西彭工业园区规划环境影响报告书审查意见的函》（渝环函〔2023〕439号）</w:t>
            </w:r>
            <w:r>
              <w:rPr>
                <w:rFonts w:hint="default" w:ascii="Times New Roman" w:hAnsi="Times New Roman" w:cs="Times New Roman"/>
                <w:color w:val="000000" w:themeColor="text1"/>
                <w:kern w:val="0"/>
                <w:sz w:val="24"/>
                <w14:textFill>
                  <w14:solidFill>
                    <w14:schemeClr w14:val="tx1"/>
                  </w14:solidFill>
                </w14:textFill>
              </w:rPr>
              <w:t>中的相关要求。</w:t>
            </w:r>
          </w:p>
          <w:p w14:paraId="6EFB2EF2">
            <w:pPr>
              <w:autoSpaceDE w:val="0"/>
              <w:autoSpaceDN w:val="0"/>
              <w:adjustRightInd w:val="0"/>
              <w:snapToGrid w:val="0"/>
              <w:spacing w:line="480" w:lineRule="exact"/>
              <w:jc w:val="left"/>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1.1.2</w:t>
            </w:r>
            <w:r>
              <w:rPr>
                <w:rFonts w:hint="default" w:ascii="Times New Roman" w:hAnsi="Times New Roman" w:cs="Times New Roman"/>
                <w:b/>
                <w:bCs/>
                <w:color w:val="000000" w:themeColor="text1"/>
                <w:kern w:val="0"/>
                <w:sz w:val="24"/>
                <w14:textFill>
                  <w14:solidFill>
                    <w14:schemeClr w14:val="tx1"/>
                  </w14:solidFill>
                </w14:textFill>
              </w:rPr>
              <w:t>与《重庆西彭工业园区规划补充环境影响报告书》及审查意见的函的符合性分析</w:t>
            </w:r>
          </w:p>
          <w:p w14:paraId="7A15BD55">
            <w:pPr>
              <w:spacing w:before="31" w:beforeLines="10"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color w:val="000000" w:themeColor="text1"/>
                <w:kern w:val="0"/>
                <w:sz w:val="24"/>
                <w14:textFill>
                  <w14:solidFill>
                    <w14:schemeClr w14:val="tx1"/>
                  </w14:solidFill>
                </w14:textFill>
              </w:rPr>
              <w:t>本项目所在地块不属于《重庆西彭工业园区规划补充环境影响报告书》调整地块区域，不再进行与</w:t>
            </w:r>
            <w:r>
              <w:rPr>
                <w:color w:val="000000" w:themeColor="text1"/>
                <w:sz w:val="24"/>
                <w14:textFill>
                  <w14:solidFill>
                    <w14:schemeClr w14:val="tx1"/>
                  </w14:solidFill>
                </w14:textFill>
              </w:rPr>
              <w:t>《重庆西彭工业园区规划补充环境影响报告书》及审查意见的函的符合性分析。</w:t>
            </w:r>
          </w:p>
        </w:tc>
      </w:tr>
      <w:tr w14:paraId="763D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40" w:hRule="atLeast"/>
        </w:trPr>
        <w:tc>
          <w:tcPr>
            <w:tcW w:w="839" w:type="pct"/>
            <w:vAlign w:val="center"/>
          </w:tcPr>
          <w:p w14:paraId="25D4B64D">
            <w:pPr>
              <w:spacing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其他符合性分析</w:t>
            </w:r>
          </w:p>
        </w:tc>
        <w:tc>
          <w:tcPr>
            <w:tcW w:w="4160" w:type="pct"/>
            <w:gridSpan w:val="3"/>
            <w:tcBorders>
              <w:bottom w:val="single" w:color="auto" w:sz="4" w:space="0"/>
            </w:tcBorders>
          </w:tcPr>
          <w:p w14:paraId="6C627B37">
            <w:pPr>
              <w:spacing w:line="360" w:lineRule="auto"/>
              <w:rPr>
                <w:rFonts w:ascii="Times New Roman" w:hAnsi="Times New Roman" w:cs="Times New Roman"/>
                <w:color w:val="000000" w:themeColor="text1"/>
                <w:szCs w:val="36"/>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1.</w:t>
            </w:r>
            <w:r>
              <w:rPr>
                <w:rFonts w:hint="eastAsia" w:ascii="Times New Roman" w:hAnsi="Times New Roman" w:cs="Times New Roman"/>
                <w:b/>
                <w:color w:val="000000" w:themeColor="text1"/>
                <w:sz w:val="24"/>
                <w:highlight w:val="none"/>
                <w14:textFill>
                  <w14:solidFill>
                    <w14:schemeClr w14:val="tx1"/>
                  </w14:solidFill>
                </w14:textFill>
              </w:rPr>
              <w:t>2</w:t>
            </w:r>
            <w:r>
              <w:rPr>
                <w:rFonts w:ascii="Times New Roman" w:hAnsi="Times New Roman" w:cs="Times New Roman"/>
                <w:b/>
                <w:color w:val="000000" w:themeColor="text1"/>
                <w:sz w:val="24"/>
                <w:highlight w:val="none"/>
                <w14:textFill>
                  <w14:solidFill>
                    <w14:schemeClr w14:val="tx1"/>
                  </w14:solidFill>
                </w14:textFill>
              </w:rPr>
              <w:t>其他符合性分析</w:t>
            </w:r>
          </w:p>
          <w:p w14:paraId="191DE59E">
            <w:pPr>
              <w:spacing w:line="360" w:lineRule="auto"/>
              <w:rPr>
                <w:rFonts w:ascii="Times New Roman" w:hAnsi="Times New Roman" w:cs="Times New Roman"/>
                <w:color w:val="000000" w:themeColor="text1"/>
                <w:szCs w:val="36"/>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1.</w:t>
            </w:r>
            <w:r>
              <w:rPr>
                <w:rFonts w:hint="eastAsia" w:ascii="Times New Roman" w:hAnsi="Times New Roman" w:cs="Times New Roman"/>
                <w:b/>
                <w:color w:val="000000" w:themeColor="text1"/>
                <w:sz w:val="24"/>
                <w:highlight w:val="none"/>
                <w14:textFill>
                  <w14:solidFill>
                    <w14:schemeClr w14:val="tx1"/>
                  </w14:solidFill>
                </w14:textFill>
              </w:rPr>
              <w:t>2</w:t>
            </w:r>
            <w:r>
              <w:rPr>
                <w:rFonts w:ascii="Times New Roman" w:hAnsi="Times New Roman" w:cs="Times New Roman"/>
                <w:b/>
                <w:color w:val="000000" w:themeColor="text1"/>
                <w:sz w:val="24"/>
                <w:highlight w:val="none"/>
                <w14:textFill>
                  <w14:solidFill>
                    <w14:schemeClr w14:val="tx1"/>
                  </w14:solidFill>
                </w14:textFill>
              </w:rPr>
              <w:t>.1与“三线一单”的符合性分析</w:t>
            </w:r>
          </w:p>
          <w:p w14:paraId="2AFEA2F6">
            <w:pPr>
              <w:tabs>
                <w:tab w:val="right" w:leader="dot" w:pos="9180"/>
              </w:tabs>
              <w:autoSpaceDE w:val="0"/>
              <w:autoSpaceDN w:val="0"/>
              <w:spacing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根据重庆市“三线一单”智检服务网站生成的项目所在地“三线一单”分析检测报告，本项目属于九龙坡区重点管控单元，单元名称为九龙坡区工业城镇重点管控单元-九龙西城片区（ZH50010720002）。</w:t>
            </w:r>
          </w:p>
          <w:p w14:paraId="05BE7290">
            <w:pPr>
              <w:spacing w:line="372" w:lineRule="auto"/>
              <w:ind w:firstLine="480" w:firstLineChars="200"/>
              <w:rPr>
                <w:rFonts w:ascii="Times New Roman" w:hAnsi="Times New Roman" w:eastAsia="宋体"/>
                <w:b/>
                <w:bCs/>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本项目与“三线一单”管控要求的符合性分析见表1.</w:t>
            </w:r>
            <w:r>
              <w:rPr>
                <w:rFonts w:hint="eastAsia" w:ascii="Times New Roman" w:hAnsi="Times New Roman" w:cs="Times New Roman"/>
                <w:color w:val="000000" w:themeColor="text1"/>
                <w:sz w:val="24"/>
                <w:highlight w:val="none"/>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-1。</w:t>
            </w:r>
          </w:p>
        </w:tc>
      </w:tr>
    </w:tbl>
    <w:p w14:paraId="3AB48335">
      <w:pPr>
        <w:spacing w:line="40" w:lineRule="exact"/>
        <w:rPr>
          <w:rFonts w:ascii="Times New Roman" w:hAnsi="Times New Roman"/>
          <w:color w:val="000000" w:themeColor="text1"/>
          <w:highlight w:val="none"/>
          <w14:textFill>
            <w14:solidFill>
              <w14:schemeClr w14:val="tx1"/>
            </w14:solidFill>
          </w14:textFill>
        </w:rPr>
      </w:pPr>
    </w:p>
    <w:p w14:paraId="3A1A56B4">
      <w:pPr>
        <w:spacing w:line="40" w:lineRule="exact"/>
        <w:rPr>
          <w:rFonts w:ascii="Times New Roman" w:hAnsi="Times New Roman"/>
          <w:color w:val="000000" w:themeColor="text1"/>
          <w:highlight w:val="none"/>
          <w14:textFill>
            <w14:solidFill>
              <w14:schemeClr w14:val="tx1"/>
            </w14:solidFill>
          </w14:textFill>
        </w:rPr>
      </w:pPr>
    </w:p>
    <w:p w14:paraId="1F7D180D">
      <w:pPr>
        <w:pStyle w:val="32"/>
        <w:rPr>
          <w:rFonts w:ascii="Times New Roman" w:hAnsi="Times New Roman"/>
          <w:color w:val="000000" w:themeColor="text1"/>
          <w:sz w:val="21"/>
          <w:highlight w:val="none"/>
          <w14:textFill>
            <w14:solidFill>
              <w14:schemeClr w14:val="tx1"/>
            </w14:solidFill>
          </w14:textFill>
        </w:rPr>
      </w:pPr>
    </w:p>
    <w:p w14:paraId="1D106A57">
      <w:pPr>
        <w:rPr>
          <w:rFonts w:ascii="Times New Roman" w:hAnsi="Times New Roman"/>
          <w:color w:val="000000" w:themeColor="text1"/>
          <w:highlight w:val="none"/>
          <w14:textFill>
            <w14:solidFill>
              <w14:schemeClr w14:val="tx1"/>
            </w14:solidFill>
          </w14:textFill>
        </w:rPr>
        <w:sectPr>
          <w:footerReference r:id="rId3" w:type="default"/>
          <w:pgSz w:w="11906" w:h="16838"/>
          <w:pgMar w:top="1440" w:right="1344" w:bottom="1440" w:left="1514" w:header="851" w:footer="992" w:gutter="0"/>
          <w:pgNumType w:fmt="numberInDash" w:start="1"/>
          <w:cols w:space="425" w:num="1"/>
          <w:docGrid w:type="lines"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244"/>
      </w:tblGrid>
      <w:tr w14:paraId="28CF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2" w:hRule="atLeast"/>
        </w:trPr>
        <w:tc>
          <w:tcPr>
            <w:tcW w:w="704" w:type="dxa"/>
            <w:vAlign w:val="center"/>
          </w:tcPr>
          <w:p w14:paraId="19CC4740">
            <w:pPr>
              <w:spacing w:line="360" w:lineRule="auto"/>
              <w:jc w:val="center"/>
              <w:rPr>
                <w:color w:val="000000" w:themeColor="text1"/>
                <w:sz w:val="24"/>
                <w:szCs w:val="36"/>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其他符合性分析</w:t>
            </w:r>
          </w:p>
        </w:tc>
        <w:tc>
          <w:tcPr>
            <w:tcW w:w="13244" w:type="dxa"/>
          </w:tcPr>
          <w:p w14:paraId="4CD62C34">
            <w:pPr>
              <w:spacing w:line="360" w:lineRule="auto"/>
              <w:jc w:val="center"/>
              <w:rPr>
                <w:rFonts w:ascii="Times New Roman" w:hAnsi="Times New Roman" w:cs="Times New Roman"/>
                <w:b/>
                <w:color w:val="000000" w:themeColor="text1"/>
                <w:sz w:val="24"/>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表1.</w:t>
            </w:r>
            <w:r>
              <w:rPr>
                <w:rFonts w:hint="eastAsia" w:ascii="Times New Roman" w:hAnsi="Times New Roman" w:cs="Times New Roman"/>
                <w:b/>
                <w:color w:val="000000" w:themeColor="text1"/>
                <w:sz w:val="24"/>
                <w:highlight w:val="none"/>
                <w14:textFill>
                  <w14:solidFill>
                    <w14:schemeClr w14:val="tx1"/>
                  </w14:solidFill>
                </w14:textFill>
              </w:rPr>
              <w:t>2</w:t>
            </w:r>
            <w:r>
              <w:rPr>
                <w:rFonts w:ascii="Times New Roman" w:hAnsi="Times New Roman" w:cs="Times New Roman"/>
                <w:b/>
                <w:color w:val="000000" w:themeColor="text1"/>
                <w:sz w:val="24"/>
                <w:highlight w:val="none"/>
                <w14:textFill>
                  <w14:solidFill>
                    <w14:schemeClr w14:val="tx1"/>
                  </w14:solidFill>
                </w14:textFill>
              </w:rPr>
              <w:t>-1  本项目与“三线一单”管控要求的符合性分析</w:t>
            </w:r>
          </w:p>
          <w:tbl>
            <w:tblPr>
              <w:tblStyle w:val="26"/>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892"/>
              <w:gridCol w:w="7135"/>
              <w:gridCol w:w="2793"/>
              <w:gridCol w:w="885"/>
            </w:tblGrid>
            <w:tr w14:paraId="4696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5" w:type="pct"/>
                  <w:vAlign w:val="center"/>
                </w:tcPr>
                <w:p w14:paraId="4F6AAB72">
                  <w:pPr>
                    <w:snapToGrid w:val="0"/>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环境管控单元编码</w:t>
                  </w:r>
                </w:p>
              </w:tc>
              <w:tc>
                <w:tcPr>
                  <w:tcW w:w="3129" w:type="pct"/>
                  <w:gridSpan w:val="2"/>
                  <w:vAlign w:val="center"/>
                </w:tcPr>
                <w:p w14:paraId="4A40051D">
                  <w:pPr>
                    <w:snapToGrid w:val="0"/>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环境管控单元名称</w:t>
                  </w:r>
                </w:p>
              </w:tc>
              <w:tc>
                <w:tcPr>
                  <w:tcW w:w="1434" w:type="pct"/>
                  <w:gridSpan w:val="2"/>
                  <w:vAlign w:val="center"/>
                </w:tcPr>
                <w:p w14:paraId="1510F511">
                  <w:pPr>
                    <w:snapToGrid w:val="0"/>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环境管控单元类型</w:t>
                  </w:r>
                </w:p>
              </w:tc>
            </w:tr>
            <w:tr w14:paraId="038A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5" w:type="pct"/>
                  <w:vAlign w:val="center"/>
                </w:tcPr>
                <w:p w14:paraId="0DC51223">
                  <w:pPr>
                    <w:snapToGrid w:val="0"/>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ZH50010720002</w:t>
                  </w:r>
                </w:p>
              </w:tc>
              <w:tc>
                <w:tcPr>
                  <w:tcW w:w="3129" w:type="pct"/>
                  <w:gridSpan w:val="2"/>
                  <w:vAlign w:val="center"/>
                </w:tcPr>
                <w:p w14:paraId="5C5575BF">
                  <w:pPr>
                    <w:snapToGrid w:val="0"/>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九龙坡区工业城镇重点管控单元-九龙西城片区</w:t>
                  </w:r>
                </w:p>
              </w:tc>
              <w:tc>
                <w:tcPr>
                  <w:tcW w:w="1434" w:type="pct"/>
                  <w:gridSpan w:val="2"/>
                  <w:vAlign w:val="center"/>
                </w:tcPr>
                <w:p w14:paraId="55930098">
                  <w:pPr>
                    <w:snapToGrid w:val="0"/>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重点管控单元2</w:t>
                  </w:r>
                </w:p>
              </w:tc>
            </w:tr>
            <w:tr w14:paraId="643E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35" w:type="pct"/>
                  <w:vAlign w:val="center"/>
                </w:tcPr>
                <w:p w14:paraId="799EFF1E">
                  <w:pPr>
                    <w:snapToGrid w:val="0"/>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管控要求层级</w:t>
                  </w:r>
                </w:p>
              </w:tc>
              <w:tc>
                <w:tcPr>
                  <w:tcW w:w="347" w:type="pct"/>
                  <w:vAlign w:val="center"/>
                </w:tcPr>
                <w:p w14:paraId="63AE0FF7">
                  <w:pPr>
                    <w:snapToGrid w:val="0"/>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管控</w:t>
                  </w:r>
                </w:p>
                <w:p w14:paraId="27A7707E">
                  <w:pPr>
                    <w:snapToGrid w:val="0"/>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类型</w:t>
                  </w:r>
                </w:p>
              </w:tc>
              <w:tc>
                <w:tcPr>
                  <w:tcW w:w="2782" w:type="pct"/>
                  <w:vAlign w:val="center"/>
                </w:tcPr>
                <w:p w14:paraId="5D934B9E">
                  <w:pPr>
                    <w:snapToGrid w:val="0"/>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管控要求</w:t>
                  </w:r>
                </w:p>
              </w:tc>
              <w:tc>
                <w:tcPr>
                  <w:tcW w:w="1089" w:type="pct"/>
                  <w:vAlign w:val="center"/>
                </w:tcPr>
                <w:p w14:paraId="76C8CEED">
                  <w:pPr>
                    <w:snapToGrid w:val="0"/>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建设项目相关情况</w:t>
                  </w:r>
                </w:p>
              </w:tc>
              <w:tc>
                <w:tcPr>
                  <w:tcW w:w="345" w:type="pct"/>
                  <w:vAlign w:val="center"/>
                </w:tcPr>
                <w:p w14:paraId="10B754D5">
                  <w:pPr>
                    <w:snapToGrid w:val="0"/>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符合性分析</w:t>
                  </w:r>
                </w:p>
              </w:tc>
            </w:tr>
            <w:tr w14:paraId="5809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restart"/>
                  <w:vAlign w:val="center"/>
                </w:tcPr>
                <w:p w14:paraId="41D9DA0E">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全市总体管控要求</w:t>
                  </w:r>
                </w:p>
              </w:tc>
              <w:tc>
                <w:tcPr>
                  <w:tcW w:w="347" w:type="pct"/>
                  <w:vMerge w:val="restart"/>
                  <w:vAlign w:val="center"/>
                </w:tcPr>
                <w:p w14:paraId="5D8F1C15">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空间布局约束</w:t>
                  </w:r>
                </w:p>
              </w:tc>
              <w:tc>
                <w:tcPr>
                  <w:tcW w:w="2782" w:type="pct"/>
                  <w:vAlign w:val="center"/>
                </w:tcPr>
                <w:p w14:paraId="56353907">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第一条 深入贯彻习近平生态文明思想，筑牢长江上游重要生态屏障，推动优势区域重点发展、生态功能区重点保护、城乡融合发展，优化重点区域、流域、产业的空间布局。</w:t>
                  </w:r>
                </w:p>
              </w:tc>
              <w:tc>
                <w:tcPr>
                  <w:tcW w:w="1089" w:type="pct"/>
                  <w:vAlign w:val="center"/>
                </w:tcPr>
                <w:p w14:paraId="52D9B4DB">
                  <w:pPr>
                    <w:snapToGrid w:val="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w:t>
                  </w:r>
                  <w:r>
                    <w:rPr>
                      <w:rFonts w:hint="eastAsia" w:ascii="Times New Roman" w:hAnsi="Times New Roman" w:cs="Times New Roman"/>
                      <w:color w:val="000000" w:themeColor="text1"/>
                      <w:szCs w:val="21"/>
                      <w:highlight w:val="none"/>
                      <w14:textFill>
                        <w14:solidFill>
                          <w14:schemeClr w14:val="tx1"/>
                        </w14:solidFill>
                      </w14:textFill>
                    </w:rPr>
                    <w:t>为摩托车零部件表面喷粉项目</w:t>
                  </w:r>
                  <w:r>
                    <w:rPr>
                      <w:rFonts w:ascii="Times New Roman" w:hAnsi="Times New Roman" w:cs="Times New Roman"/>
                      <w:color w:val="000000" w:themeColor="text1"/>
                      <w:szCs w:val="21"/>
                      <w:highlight w:val="none"/>
                      <w14:textFill>
                        <w14:solidFill>
                          <w14:schemeClr w14:val="tx1"/>
                        </w14:solidFill>
                      </w14:textFill>
                    </w:rPr>
                    <w:t>，符合</w:t>
                  </w:r>
                  <w:r>
                    <w:rPr>
                      <w:rFonts w:ascii="Times New Roman" w:hAnsi="Times New Roman" w:cs="Times New Roman"/>
                      <w:color w:val="000000" w:themeColor="text1"/>
                      <w:szCs w:val="18"/>
                      <w:highlight w:val="none"/>
                      <w14:textFill>
                        <w14:solidFill>
                          <w14:schemeClr w14:val="tx1"/>
                        </w14:solidFill>
                      </w14:textFill>
                    </w:rPr>
                    <w:t>空间布局。</w:t>
                  </w:r>
                </w:p>
              </w:tc>
              <w:tc>
                <w:tcPr>
                  <w:tcW w:w="345" w:type="pct"/>
                  <w:vAlign w:val="center"/>
                </w:tcPr>
                <w:p w14:paraId="04FC244E">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38CF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00F25975">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6C5EA129">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0559A2ED">
                  <w:pPr>
                    <w:pStyle w:val="40"/>
                    <w:spacing w:beforeLines="0"/>
                    <w:jc w:val="both"/>
                    <w:rPr>
                      <w:rFonts w:ascii="Times New Roman" w:hAnsi="Times New Roman" w:cs="Times New Roman"/>
                      <w:color w:val="000000" w:themeColor="text1"/>
                      <w:szCs w:val="18"/>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089" w:type="pct"/>
                  <w:vAlign w:val="center"/>
                </w:tcPr>
                <w:p w14:paraId="5ACC14DE">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本项目不在</w:t>
                  </w:r>
                  <w:r>
                    <w:rPr>
                      <w:rFonts w:ascii="Times New Roman" w:hAnsi="Times New Roman" w:cs="Times New Roman"/>
                      <w:color w:val="000000" w:themeColor="text1"/>
                      <w:szCs w:val="18"/>
                      <w:highlight w:val="none"/>
                      <w14:textFill>
                        <w14:solidFill>
                          <w14:schemeClr w14:val="tx1"/>
                        </w14:solidFill>
                      </w14:textFill>
                    </w:rPr>
                    <w:t>长江干流及主要支流岸线1公里范围内，不属于化工、纺织、造纸等存在污染风险的工业项目。</w:t>
                  </w:r>
                </w:p>
              </w:tc>
              <w:tc>
                <w:tcPr>
                  <w:tcW w:w="345" w:type="pct"/>
                  <w:vAlign w:val="center"/>
                </w:tcPr>
                <w:p w14:paraId="62498062">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539A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7B2B3464">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4385D0F2">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7FADAE0D">
                  <w:pPr>
                    <w:pStyle w:val="40"/>
                    <w:spacing w:beforeLines="0"/>
                    <w:jc w:val="both"/>
                    <w:rPr>
                      <w:rFonts w:ascii="Times New Roman" w:hAnsi="Times New Roman" w:cs="Times New Roman"/>
                      <w:color w:val="000000" w:themeColor="text1"/>
                      <w:szCs w:val="18"/>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089" w:type="pct"/>
                  <w:vAlign w:val="center"/>
                </w:tcPr>
                <w:p w14:paraId="44FB1645">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lang w:bidi="ar"/>
                      <w14:textFill>
                        <w14:solidFill>
                          <w14:schemeClr w14:val="tx1"/>
                        </w14:solidFill>
                      </w14:textFill>
                    </w:rPr>
                    <w:t>本项目在西彭工业园区内，不属于高污染项目，不属于石化、现代煤化工等产业，不属于“两高”项目。不涉及前述区域，符合园区规划、环境准入等要求。</w:t>
                  </w:r>
                </w:p>
              </w:tc>
              <w:tc>
                <w:tcPr>
                  <w:tcW w:w="345" w:type="pct"/>
                  <w:vAlign w:val="center"/>
                </w:tcPr>
                <w:p w14:paraId="6F921E1E">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1C7C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65B801AB">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5F24F874">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285C533B">
                  <w:pPr>
                    <w:pStyle w:val="40"/>
                    <w:spacing w:beforeLines="0"/>
                    <w:jc w:val="both"/>
                    <w:rPr>
                      <w:rFonts w:ascii="Times New Roman" w:hAnsi="Times New Roman" w:cs="Times New Roman"/>
                      <w:color w:val="000000" w:themeColor="text1"/>
                      <w:szCs w:val="18"/>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089" w:type="pct"/>
                  <w:vAlign w:val="center"/>
                </w:tcPr>
                <w:p w14:paraId="78F1D725">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w:t>
                  </w:r>
                  <w:r>
                    <w:rPr>
                      <w:rFonts w:ascii="Times New Roman" w:hAnsi="Times New Roman" w:cs="Times New Roman"/>
                      <w:color w:val="000000" w:themeColor="text1"/>
                      <w:szCs w:val="21"/>
                      <w:highlight w:val="none"/>
                      <w:lang w:bidi="ar"/>
                      <w14:textFill>
                        <w14:solidFill>
                          <w14:schemeClr w14:val="tx1"/>
                        </w14:solidFill>
                      </w14:textFill>
                    </w:rPr>
                    <w:t>西彭</w:t>
                  </w:r>
                  <w:r>
                    <w:rPr>
                      <w:rFonts w:ascii="Times New Roman" w:hAnsi="Times New Roman" w:cs="Times New Roman"/>
                      <w:color w:val="000000" w:themeColor="text1"/>
                      <w:szCs w:val="21"/>
                      <w:highlight w:val="none"/>
                      <w14:textFill>
                        <w14:solidFill>
                          <w14:schemeClr w14:val="tx1"/>
                        </w14:solidFill>
                      </w14:textFill>
                    </w:rPr>
                    <w:t>工业园区，不属于高耗能、高排放、低水平项目，不属于化工项目</w:t>
                  </w:r>
                </w:p>
              </w:tc>
              <w:tc>
                <w:tcPr>
                  <w:tcW w:w="345" w:type="pct"/>
                  <w:vAlign w:val="center"/>
                </w:tcPr>
                <w:p w14:paraId="70D7A90A">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1DD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7C1951DE">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7266B512">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693D6474">
                  <w:pPr>
                    <w:pStyle w:val="40"/>
                    <w:spacing w:beforeLines="0"/>
                    <w:jc w:val="both"/>
                    <w:rPr>
                      <w:rFonts w:ascii="Times New Roman" w:hAnsi="Times New Roman" w:cs="Times New Roman"/>
                      <w:color w:val="000000" w:themeColor="text1"/>
                      <w:szCs w:val="18"/>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第五条 新建、扩建有色金属冶炼、电镀、铅蓄电池等企业应布设在依法合规设立并经过规划环评的产业园区。</w:t>
                  </w:r>
                </w:p>
              </w:tc>
              <w:tc>
                <w:tcPr>
                  <w:tcW w:w="1089" w:type="pct"/>
                  <w:vAlign w:val="center"/>
                </w:tcPr>
                <w:p w14:paraId="7343AC26">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18"/>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hint="eastAsia" w:ascii="Times New Roman" w:hAnsi="Times New Roman" w:cs="Times New Roman"/>
                      <w:color w:val="000000" w:themeColor="text1"/>
                      <w:szCs w:val="21"/>
                      <w:highlight w:val="none"/>
                      <w14:textFill>
                        <w14:solidFill>
                          <w14:schemeClr w14:val="tx1"/>
                        </w14:solidFill>
                      </w14:textFill>
                    </w:rPr>
                    <w:t>为摩托车零部件表面喷粉项目。</w:t>
                  </w:r>
                </w:p>
              </w:tc>
              <w:tc>
                <w:tcPr>
                  <w:tcW w:w="345" w:type="pct"/>
                  <w:vAlign w:val="center"/>
                </w:tcPr>
                <w:p w14:paraId="0630313C">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1366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26F7AF7C">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0713FE25">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2509909C">
                  <w:pPr>
                    <w:pStyle w:val="40"/>
                    <w:spacing w:beforeLines="0"/>
                    <w:jc w:val="both"/>
                    <w:rPr>
                      <w:rFonts w:ascii="Times New Roman" w:hAnsi="Times New Roman" w:cs="Times New Roman"/>
                      <w:color w:val="000000" w:themeColor="text1"/>
                      <w:szCs w:val="18"/>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第六条 涉及环境防护距离的工业企业或项目应通过选址或调整布局原则上将环境防护距离控制在园区边界或用地红线内，提前合理规划项目地块布置、预防环境风险。</w:t>
                  </w:r>
                </w:p>
              </w:tc>
              <w:tc>
                <w:tcPr>
                  <w:tcW w:w="1089" w:type="pct"/>
                  <w:vAlign w:val="center"/>
                </w:tcPr>
                <w:p w14:paraId="7AFD68DD">
                  <w:pPr>
                    <w:snapToGrid w:val="0"/>
                    <w:rPr>
                      <w:rFonts w:ascii="Times New Roman" w:hAnsi="Times New Roman" w:cs="Times New Roman"/>
                      <w:color w:val="000000" w:themeColor="text1"/>
                      <w:szCs w:val="18"/>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本项目不涉及环境防护距离，且项目布局合理</w:t>
                  </w:r>
                  <w:r>
                    <w:rPr>
                      <w:rFonts w:ascii="Times New Roman" w:hAnsi="Times New Roman" w:cs="Times New Roman"/>
                      <w:color w:val="000000" w:themeColor="text1"/>
                      <w:szCs w:val="21"/>
                      <w:highlight w:val="none"/>
                      <w:lang w:bidi="ar"/>
                      <w14:textFill>
                        <w14:solidFill>
                          <w14:schemeClr w14:val="tx1"/>
                        </w14:solidFill>
                      </w14:textFill>
                    </w:rPr>
                    <w:t>。</w:t>
                  </w:r>
                </w:p>
              </w:tc>
              <w:tc>
                <w:tcPr>
                  <w:tcW w:w="345" w:type="pct"/>
                  <w:vAlign w:val="center"/>
                </w:tcPr>
                <w:p w14:paraId="66ACEF54">
                  <w:pPr>
                    <w:snapToGrid w:val="0"/>
                    <w:jc w:val="center"/>
                    <w:rPr>
                      <w:rFonts w:ascii="Times New Roman" w:hAnsi="Times New Roman" w:cs="Times New Roman"/>
                      <w:color w:val="000000" w:themeColor="text1"/>
                      <w:szCs w:val="21"/>
                      <w:highlight w:val="none"/>
                      <w14:textFill>
                        <w14:solidFill>
                          <w14:schemeClr w14:val="tx1"/>
                        </w14:solidFill>
                      </w14:textFill>
                    </w:rPr>
                  </w:pPr>
                </w:p>
              </w:tc>
            </w:tr>
            <w:tr w14:paraId="790E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567A7CFC">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3419C5DC">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5BC85B7E">
                  <w:pPr>
                    <w:pStyle w:val="40"/>
                    <w:spacing w:beforeLines="0"/>
                    <w:jc w:val="both"/>
                    <w:rPr>
                      <w:rFonts w:ascii="Times New Roman" w:hAnsi="Times New Roman" w:cs="Times New Roman"/>
                      <w:color w:val="000000" w:themeColor="text1"/>
                      <w:szCs w:val="18"/>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第七条 有效规范空间开发秩序，合理控制空间开发强度，切实将各类开发活动限制在资源环境承载能力之内，为构建高效协调可持续的国土空间开发格局奠定坚实基础。</w:t>
                  </w:r>
                </w:p>
              </w:tc>
              <w:tc>
                <w:tcPr>
                  <w:tcW w:w="1089" w:type="pct"/>
                  <w:vAlign w:val="center"/>
                </w:tcPr>
                <w:p w14:paraId="306AD10F">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18"/>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符合</w:t>
                  </w:r>
                  <w:r>
                    <w:rPr>
                      <w:rFonts w:ascii="Times New Roman" w:hAnsi="Times New Roman" w:cs="Times New Roman"/>
                      <w:color w:val="000000" w:themeColor="text1"/>
                      <w:szCs w:val="18"/>
                      <w:highlight w:val="none"/>
                      <w14:textFill>
                        <w14:solidFill>
                          <w14:schemeClr w14:val="tx1"/>
                        </w14:solidFill>
                      </w14:textFill>
                    </w:rPr>
                    <w:t>资源环境承载能力</w:t>
                  </w:r>
                </w:p>
              </w:tc>
              <w:tc>
                <w:tcPr>
                  <w:tcW w:w="345" w:type="pct"/>
                  <w:vAlign w:val="center"/>
                </w:tcPr>
                <w:p w14:paraId="0CE2EF97">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C34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35" w:type="pct"/>
                  <w:vMerge w:val="continue"/>
                  <w:vAlign w:val="center"/>
                </w:tcPr>
                <w:p w14:paraId="2D97CA1B">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restart"/>
                  <w:vAlign w:val="center"/>
                </w:tcPr>
                <w:p w14:paraId="33313DC2">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污染物排放管控</w:t>
                  </w:r>
                </w:p>
              </w:tc>
              <w:tc>
                <w:tcPr>
                  <w:tcW w:w="2782" w:type="pct"/>
                  <w:vAlign w:val="center"/>
                </w:tcPr>
                <w:p w14:paraId="031B0E0D">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1089" w:type="pct"/>
                  <w:vAlign w:val="center"/>
                </w:tcPr>
                <w:p w14:paraId="3FF6C2A4">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lang w:bidi="ar"/>
                      <w14:textFill>
                        <w14:solidFill>
                          <w14:schemeClr w14:val="tx1"/>
                        </w14:solidFill>
                      </w14:textFill>
                    </w:rPr>
                    <w:t>本项目不属于石化、煤化工、燃煤发电（含热电）、钢铁、有色金属冶炼、制浆造纸行业，不属于钢铁、水泥熟料、平板玻璃、电解铝等行业，不属于</w:t>
                  </w:r>
                  <w:r>
                    <w:rPr>
                      <w:rFonts w:hint="eastAsia" w:ascii="Times New Roman" w:hAnsi="Times New Roman" w:cs="Times New Roman"/>
                      <w:color w:val="000000" w:themeColor="text1"/>
                      <w:szCs w:val="21"/>
                      <w:highlight w:val="none"/>
                      <w:lang w:bidi="ar"/>
                      <w14:textFill>
                        <w14:solidFill>
                          <w14:schemeClr w14:val="tx1"/>
                        </w14:solidFill>
                      </w14:textFill>
                    </w:rPr>
                    <w:t>“</w:t>
                  </w:r>
                  <w:r>
                    <w:rPr>
                      <w:rFonts w:ascii="Times New Roman" w:hAnsi="Times New Roman" w:cs="Times New Roman"/>
                      <w:color w:val="000000" w:themeColor="text1"/>
                      <w:szCs w:val="21"/>
                      <w:highlight w:val="none"/>
                      <w:lang w:bidi="ar"/>
                      <w14:textFill>
                        <w14:solidFill>
                          <w14:schemeClr w14:val="tx1"/>
                        </w14:solidFill>
                      </w14:textFill>
                    </w:rPr>
                    <w:t>两高</w:t>
                  </w:r>
                  <w:r>
                    <w:rPr>
                      <w:rFonts w:hint="eastAsia" w:ascii="Times New Roman" w:hAnsi="Times New Roman" w:cs="Times New Roman"/>
                      <w:color w:val="000000" w:themeColor="text1"/>
                      <w:szCs w:val="21"/>
                      <w:highlight w:val="none"/>
                      <w:lang w:bidi="ar"/>
                      <w14:textFill>
                        <w14:solidFill>
                          <w14:schemeClr w14:val="tx1"/>
                        </w14:solidFill>
                      </w14:textFill>
                    </w:rPr>
                    <w:t>”</w:t>
                  </w:r>
                  <w:r>
                    <w:rPr>
                      <w:rFonts w:ascii="Times New Roman" w:hAnsi="Times New Roman" w:cs="Times New Roman"/>
                      <w:color w:val="000000" w:themeColor="text1"/>
                      <w:szCs w:val="21"/>
                      <w:highlight w:val="none"/>
                      <w:lang w:bidi="ar"/>
                      <w14:textFill>
                        <w14:solidFill>
                          <w14:schemeClr w14:val="tx1"/>
                        </w14:solidFill>
                      </w14:textFill>
                    </w:rPr>
                    <w:t>行业。</w:t>
                  </w:r>
                </w:p>
              </w:tc>
              <w:tc>
                <w:tcPr>
                  <w:tcW w:w="345" w:type="pct"/>
                  <w:vAlign w:val="center"/>
                </w:tcPr>
                <w:p w14:paraId="7895F714">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4080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7A252A7A">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7EDB8F3D">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4813205B">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089" w:type="pct"/>
                  <w:vAlign w:val="center"/>
                </w:tcPr>
                <w:p w14:paraId="20CD0D04">
                  <w:pPr>
                    <w:pStyle w:val="38"/>
                    <w:spacing w:beforeLines="0" w:afterLines="0" w:line="240" w:lineRule="auto"/>
                    <w:ind w:firstLine="0" w:firstLineChars="0"/>
                    <w:jc w:val="both"/>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根据《202</w:t>
                  </w:r>
                  <w:r>
                    <w:rPr>
                      <w:rFonts w:hint="eastAsia" w:ascii="Times New Roman"/>
                      <w:color w:val="000000" w:themeColor="text1"/>
                      <w:szCs w:val="21"/>
                      <w:highlight w:val="none"/>
                      <w14:textFill>
                        <w14:solidFill>
                          <w14:schemeClr w14:val="tx1"/>
                        </w14:solidFill>
                      </w14:textFill>
                    </w:rPr>
                    <w:t>4</w:t>
                  </w:r>
                  <w:r>
                    <w:rPr>
                      <w:rFonts w:ascii="Times New Roman"/>
                      <w:color w:val="000000" w:themeColor="text1"/>
                      <w:szCs w:val="21"/>
                      <w:highlight w:val="none"/>
                      <w14:textFill>
                        <w14:solidFill>
                          <w14:schemeClr w14:val="tx1"/>
                        </w14:solidFill>
                      </w14:textFill>
                    </w:rPr>
                    <w:t>年重庆市生态环境状况公报》，九龙坡区环境空气属于达标区</w:t>
                  </w:r>
                  <w:r>
                    <w:rPr>
                      <w:rFonts w:hint="eastAsia" w:ascii="Times New Roman"/>
                      <w:color w:val="000000" w:themeColor="text1"/>
                      <w:szCs w:val="21"/>
                      <w:highlight w:val="none"/>
                      <w14:textFill>
                        <w14:solidFill>
                          <w14:schemeClr w14:val="tx1"/>
                        </w14:solidFill>
                      </w14:textFill>
                    </w:rPr>
                    <w:t>；</w:t>
                  </w:r>
                  <w:r>
                    <w:rPr>
                      <w:rFonts w:ascii="Times New Roman"/>
                      <w:color w:val="000000" w:themeColor="text1"/>
                      <w:szCs w:val="21"/>
                      <w:highlight w:val="none"/>
                      <w14:textFill>
                        <w14:solidFill>
                          <w14:schemeClr w14:val="tx1"/>
                        </w14:solidFill>
                      </w14:textFill>
                    </w:rPr>
                    <w:t>项目废水受纳区域地表水满足《地表水环境质量标准》（GB3838-2002）Ⅱ类水域水质标准</w:t>
                  </w:r>
                </w:p>
              </w:tc>
              <w:tc>
                <w:tcPr>
                  <w:tcW w:w="345" w:type="pct"/>
                  <w:vAlign w:val="center"/>
                </w:tcPr>
                <w:p w14:paraId="757910A4">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0D9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1722112F">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10F9F61E">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60639FA8">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089" w:type="pct"/>
                  <w:vAlign w:val="center"/>
                </w:tcPr>
                <w:p w14:paraId="68F0EA2A">
                  <w:pPr>
                    <w:pStyle w:val="38"/>
                    <w:spacing w:beforeLines="0" w:afterLines="0" w:line="240" w:lineRule="auto"/>
                    <w:ind w:firstLine="0" w:firstLineChars="0"/>
                    <w:jc w:val="both"/>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本项目位于九龙坡区，</w:t>
                  </w:r>
                  <w:r>
                    <w:rPr>
                      <w:rFonts w:hint="eastAsia" w:ascii="Times New Roman"/>
                      <w:color w:val="000000" w:themeColor="text1"/>
                      <w:szCs w:val="21"/>
                      <w:highlight w:val="none"/>
                      <w14:textFill>
                        <w14:solidFill>
                          <w14:schemeClr w14:val="tx1"/>
                        </w14:solidFill>
                      </w14:textFill>
                    </w:rPr>
                    <w:t>主要生产原料为塑粉，生产过程中会产生VOCs废气</w:t>
                  </w:r>
                  <w:r>
                    <w:rPr>
                      <w:rFonts w:ascii="Times New Roman"/>
                      <w:color w:val="000000" w:themeColor="text1"/>
                      <w:szCs w:val="21"/>
                      <w:highlight w:val="none"/>
                      <w14:textFill>
                        <w14:solidFill>
                          <w14:schemeClr w14:val="tx1"/>
                        </w14:solidFill>
                      </w14:textFill>
                    </w:rPr>
                    <w:t>，</w:t>
                  </w:r>
                  <w:r>
                    <w:rPr>
                      <w:rFonts w:hint="eastAsia" w:ascii="Times New Roman"/>
                      <w:color w:val="000000" w:themeColor="text1"/>
                      <w:szCs w:val="21"/>
                      <w:highlight w:val="none"/>
                      <w14:textFill>
                        <w14:solidFill>
                          <w14:schemeClr w14:val="tx1"/>
                        </w14:solidFill>
                      </w14:textFill>
                    </w:rPr>
                    <w:t>采用“干式过滤+</w:t>
                  </w:r>
                  <w:r>
                    <w:rPr>
                      <w:rFonts w:hint="eastAsia" w:ascii="Times New Roman"/>
                      <w:color w:val="000000" w:themeColor="text1"/>
                      <w:szCs w:val="21"/>
                      <w:highlight w:val="none"/>
                      <w:lang w:eastAsia="zh-CN"/>
                      <w14:textFill>
                        <w14:solidFill>
                          <w14:schemeClr w14:val="tx1"/>
                        </w14:solidFill>
                      </w14:textFill>
                    </w:rPr>
                    <w:t>两级</w:t>
                  </w:r>
                  <w:r>
                    <w:rPr>
                      <w:rFonts w:hint="eastAsia" w:ascii="Times New Roman"/>
                      <w:color w:val="000000" w:themeColor="text1"/>
                      <w:szCs w:val="21"/>
                      <w:highlight w:val="none"/>
                      <w14:textFill>
                        <w14:solidFill>
                          <w14:schemeClr w14:val="tx1"/>
                        </w14:solidFill>
                      </w14:textFill>
                    </w:rPr>
                    <w:t>活性炭”吸附处置后有组织排放；喷粉过程中</w:t>
                  </w:r>
                  <w:r>
                    <w:rPr>
                      <w:rFonts w:ascii="Times New Roman"/>
                      <w:color w:val="000000" w:themeColor="text1"/>
                      <w:szCs w:val="21"/>
                      <w:highlight w:val="none"/>
                      <w14:textFill>
                        <w14:solidFill>
                          <w14:schemeClr w14:val="tx1"/>
                        </w14:solidFill>
                      </w14:textFill>
                    </w:rPr>
                    <w:t>产生的废气粉尘收集后经</w:t>
                  </w:r>
                  <w:r>
                    <w:rPr>
                      <w:rFonts w:hint="eastAsia" w:ascii="Times New Roman"/>
                      <w:color w:val="000000" w:themeColor="text1"/>
                      <w:szCs w:val="21"/>
                      <w:highlight w:val="none"/>
                      <w14:textFill>
                        <w14:solidFill>
                          <w14:schemeClr w14:val="tx1"/>
                        </w14:solidFill>
                      </w14:textFill>
                    </w:rPr>
                    <w:t>除尘器</w:t>
                  </w:r>
                  <w:r>
                    <w:rPr>
                      <w:rFonts w:ascii="Times New Roman"/>
                      <w:color w:val="000000" w:themeColor="text1"/>
                      <w:szCs w:val="21"/>
                      <w:highlight w:val="none"/>
                      <w14:textFill>
                        <w14:solidFill>
                          <w14:schemeClr w14:val="tx1"/>
                        </w14:solidFill>
                      </w14:textFill>
                    </w:rPr>
                    <w:t>处理后通过排气筒排放</w:t>
                  </w:r>
                  <w:r>
                    <w:rPr>
                      <w:rFonts w:hint="eastAsia" w:ascii="Times New Roman"/>
                      <w:color w:val="000000" w:themeColor="text1"/>
                      <w:szCs w:val="21"/>
                      <w:highlight w:val="none"/>
                      <w14:textFill>
                        <w14:solidFill>
                          <w14:schemeClr w14:val="tx1"/>
                        </w14:solidFill>
                      </w14:textFill>
                    </w:rPr>
                    <w:t>；抛丸工序产生的颗粒物经布袋除尘器处置后由排气筒排放。</w:t>
                  </w:r>
                </w:p>
              </w:tc>
              <w:tc>
                <w:tcPr>
                  <w:tcW w:w="345" w:type="pct"/>
                  <w:vAlign w:val="center"/>
                </w:tcPr>
                <w:p w14:paraId="7D5429F1">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4BBB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64DF6C59">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6A4C6ECB">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11434122">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089" w:type="pct"/>
                  <w:vAlign w:val="center"/>
                </w:tcPr>
                <w:p w14:paraId="5C267198">
                  <w:pPr>
                    <w:pStyle w:val="38"/>
                    <w:spacing w:beforeLines="0" w:afterLines="0" w:line="240" w:lineRule="auto"/>
                    <w:ind w:firstLine="0" w:firstLineChars="0"/>
                    <w:jc w:val="both"/>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lang w:bidi="ar"/>
                      <w14:textFill>
                        <w14:solidFill>
                          <w14:schemeClr w14:val="tx1"/>
                        </w14:solidFill>
                      </w14:textFill>
                    </w:rPr>
                    <w:t>本项目生活污水依托</w:t>
                  </w:r>
                  <w:r>
                    <w:rPr>
                      <w:rFonts w:hint="eastAsia" w:ascii="Times New Roman"/>
                      <w:color w:val="000000" w:themeColor="text1"/>
                      <w:szCs w:val="21"/>
                      <w:highlight w:val="none"/>
                      <w:lang w:bidi="ar"/>
                      <w14:textFill>
                        <w14:solidFill>
                          <w14:schemeClr w14:val="tx1"/>
                        </w14:solidFill>
                      </w14:textFill>
                    </w:rPr>
                    <w:t>坤坤农业公司现有</w:t>
                  </w:r>
                  <w:r>
                    <w:rPr>
                      <w:rFonts w:ascii="Times New Roman"/>
                      <w:color w:val="000000" w:themeColor="text1"/>
                      <w:szCs w:val="21"/>
                      <w:highlight w:val="none"/>
                      <w:lang w:bidi="ar"/>
                      <w14:textFill>
                        <w14:solidFill>
                          <w14:schemeClr w14:val="tx1"/>
                        </w14:solidFill>
                      </w14:textFill>
                    </w:rPr>
                    <w:t>生化池处理后排入市政污水管网进入西彭污水处理厂</w:t>
                  </w:r>
                  <w:r>
                    <w:rPr>
                      <w:rFonts w:hint="eastAsia" w:ascii="Times New Roman"/>
                      <w:color w:val="000000" w:themeColor="text1"/>
                      <w:szCs w:val="21"/>
                      <w:highlight w:val="none"/>
                      <w:lang w:eastAsia="zh-CN" w:bidi="ar"/>
                      <w14:textFill>
                        <w14:solidFill>
                          <w14:schemeClr w14:val="tx1"/>
                        </w14:solidFill>
                      </w14:textFill>
                    </w:rPr>
                    <w:t>进一步</w:t>
                  </w:r>
                  <w:r>
                    <w:rPr>
                      <w:rFonts w:ascii="Times New Roman"/>
                      <w:color w:val="000000" w:themeColor="text1"/>
                      <w:szCs w:val="21"/>
                      <w:highlight w:val="none"/>
                      <w:lang w:bidi="ar"/>
                      <w14:textFill>
                        <w14:solidFill>
                          <w14:schemeClr w14:val="tx1"/>
                        </w14:solidFill>
                      </w14:textFill>
                    </w:rPr>
                    <w:t>处理。</w:t>
                  </w:r>
                </w:p>
              </w:tc>
              <w:tc>
                <w:tcPr>
                  <w:tcW w:w="345" w:type="pct"/>
                  <w:vAlign w:val="center"/>
                </w:tcPr>
                <w:p w14:paraId="49E0AF8E">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ACE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7D6F8F76">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3BDF9DF3">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0CBB4554">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1089" w:type="pct"/>
                  <w:vAlign w:val="center"/>
                </w:tcPr>
                <w:p w14:paraId="075F5706">
                  <w:pPr>
                    <w:pStyle w:val="38"/>
                    <w:spacing w:beforeLines="0" w:afterLines="0" w:line="240" w:lineRule="auto"/>
                    <w:ind w:firstLine="0" w:firstLineChars="0"/>
                    <w:jc w:val="both"/>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lang w:bidi="ar"/>
                      <w14:textFill>
                        <w14:solidFill>
                          <w14:schemeClr w14:val="tx1"/>
                        </w14:solidFill>
                      </w14:textFill>
                    </w:rPr>
                    <w:t>西彭工业园区配套建设有污水处理厂集中处理园区废水，本项目废水可实现接管排放。</w:t>
                  </w:r>
                </w:p>
              </w:tc>
              <w:tc>
                <w:tcPr>
                  <w:tcW w:w="345" w:type="pct"/>
                  <w:vAlign w:val="center"/>
                </w:tcPr>
                <w:p w14:paraId="6F9A3ACC">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5EDB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32ADD7D1">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523D3382">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10EDE01D">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089" w:type="pct"/>
                  <w:vAlign w:val="center"/>
                </w:tcPr>
                <w:p w14:paraId="10BB82DE">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lang w:bidi="ar"/>
                      <w14:textFill>
                        <w14:solidFill>
                          <w14:schemeClr w14:val="tx1"/>
                        </w14:solidFill>
                      </w14:textFill>
                    </w:rPr>
                    <w:t>项目不属于重点行业。</w:t>
                  </w:r>
                </w:p>
              </w:tc>
              <w:tc>
                <w:tcPr>
                  <w:tcW w:w="345" w:type="pct"/>
                  <w:vAlign w:val="center"/>
                </w:tcPr>
                <w:p w14:paraId="04983952">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7CA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2E9D3D81">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614D49B0">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6D10DE3E">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089" w:type="pct"/>
                  <w:vAlign w:val="center"/>
                </w:tcPr>
                <w:p w14:paraId="3B2AF3A6">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lang w:bidi="ar"/>
                      <w14:textFill>
                        <w14:solidFill>
                          <w14:schemeClr w14:val="tx1"/>
                        </w14:solidFill>
                      </w14:textFill>
                    </w:rPr>
                    <w:t>本项目固体废物污染环境防治实行减量化、资源化和无害化。企业拟建立健全工业固体废物产生、收集、贮存、运输、利用、处置全过程的污染环境防治责任制度，建立工业固体废物管理台账。</w:t>
                  </w:r>
                </w:p>
              </w:tc>
              <w:tc>
                <w:tcPr>
                  <w:tcW w:w="345" w:type="pct"/>
                  <w:vAlign w:val="center"/>
                </w:tcPr>
                <w:p w14:paraId="79D1FC58">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72E5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08904B13">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229CDC17">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76B41D11">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089" w:type="pct"/>
                  <w:vAlign w:val="center"/>
                </w:tcPr>
                <w:p w14:paraId="76CC16A6">
                  <w:pPr>
                    <w:pStyle w:val="38"/>
                    <w:spacing w:beforeLines="0" w:afterLines="0" w:line="240" w:lineRule="auto"/>
                    <w:ind w:firstLine="0" w:firstLineChars="0"/>
                    <w:jc w:val="both"/>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lang w:bidi="ar"/>
                      <w14:textFill>
                        <w14:solidFill>
                          <w14:schemeClr w14:val="tx1"/>
                        </w14:solidFill>
                      </w14:textFill>
                    </w:rPr>
                    <w:t>生活垃圾分类收集后交由环卫部门处理。</w:t>
                  </w:r>
                </w:p>
              </w:tc>
              <w:tc>
                <w:tcPr>
                  <w:tcW w:w="345" w:type="pct"/>
                  <w:vAlign w:val="center"/>
                </w:tcPr>
                <w:p w14:paraId="0E8DD9B7">
                  <w:pPr>
                    <w:snapToGri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DF5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7BE4A1CF">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restart"/>
                  <w:vAlign w:val="center"/>
                </w:tcPr>
                <w:p w14:paraId="0D208135">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环境风险防控</w:t>
                  </w:r>
                </w:p>
              </w:tc>
              <w:tc>
                <w:tcPr>
                  <w:tcW w:w="2782" w:type="pct"/>
                  <w:vAlign w:val="center"/>
                </w:tcPr>
                <w:p w14:paraId="33097D3C">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089" w:type="pct"/>
                  <w:vAlign w:val="center"/>
                </w:tcPr>
                <w:p w14:paraId="0E163C5E">
                  <w:pPr>
                    <w:pStyle w:val="38"/>
                    <w:spacing w:beforeLines="0" w:afterLines="0" w:line="240" w:lineRule="auto"/>
                    <w:ind w:firstLine="0" w:firstLineChars="0"/>
                    <w:jc w:val="both"/>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lang w:bidi="ar"/>
                      <w14:textFill>
                        <w14:solidFill>
                          <w14:schemeClr w14:val="tx1"/>
                        </w14:solidFill>
                      </w14:textFill>
                    </w:rPr>
                    <w:t>项目不属于重大突发环境事件风险企业，</w:t>
                  </w:r>
                  <w:r>
                    <w:rPr>
                      <w:rFonts w:ascii="Times New Roman"/>
                      <w:color w:val="000000" w:themeColor="text1"/>
                      <w:highlight w:val="none"/>
                      <w14:textFill>
                        <w14:solidFill>
                          <w14:schemeClr w14:val="tx1"/>
                        </w14:solidFill>
                      </w14:textFill>
                    </w:rPr>
                    <w:t>本次评价对本项目提出了相应的风险防范措施要求，企业风险可防可控</w:t>
                  </w:r>
                  <w:r>
                    <w:rPr>
                      <w:rFonts w:hint="eastAsia" w:ascii="Times New Roman"/>
                      <w:color w:val="000000" w:themeColor="text1"/>
                      <w:highlight w:val="none"/>
                      <w14:textFill>
                        <w14:solidFill>
                          <w14:schemeClr w14:val="tx1"/>
                        </w14:solidFill>
                      </w14:textFill>
                    </w:rPr>
                    <w:t>。</w:t>
                  </w:r>
                </w:p>
              </w:tc>
              <w:tc>
                <w:tcPr>
                  <w:tcW w:w="345" w:type="pct"/>
                  <w:vAlign w:val="center"/>
                </w:tcPr>
                <w:p w14:paraId="0616A643">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598E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2D76FB3A">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4890B4BD">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72729A3D">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第十七条 强化化工园区涉水突发环境事件四级环境风险防范体系建设。持续推进重点化工园区（化工集中区）建设有毒有害气体监测预警体系和水质生物毒性预警体系。</w:t>
                  </w:r>
                </w:p>
              </w:tc>
              <w:tc>
                <w:tcPr>
                  <w:tcW w:w="1089" w:type="pct"/>
                  <w:vAlign w:val="center"/>
                </w:tcPr>
                <w:p w14:paraId="3193FF5C">
                  <w:pPr>
                    <w:pStyle w:val="38"/>
                    <w:spacing w:beforeLines="0" w:afterLines="0" w:line="240" w:lineRule="auto"/>
                    <w:ind w:firstLine="0" w:firstLineChars="0"/>
                    <w:jc w:val="both"/>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本项目为</w:t>
                  </w:r>
                  <w:r>
                    <w:rPr>
                      <w:rFonts w:hint="eastAsia" w:ascii="Times New Roman"/>
                      <w:color w:val="000000" w:themeColor="text1"/>
                      <w:szCs w:val="21"/>
                      <w:highlight w:val="none"/>
                      <w14:textFill>
                        <w14:solidFill>
                          <w14:schemeClr w14:val="tx1"/>
                        </w14:solidFill>
                      </w14:textFill>
                    </w:rPr>
                    <w:t>摩托车零部件表面喷粉项目</w:t>
                  </w:r>
                  <w:r>
                    <w:rPr>
                      <w:rFonts w:ascii="Times New Roman"/>
                      <w:color w:val="000000" w:themeColor="text1"/>
                      <w:highlight w:val="none"/>
                      <w14:textFill>
                        <w14:solidFill>
                          <w14:schemeClr w14:val="tx1"/>
                        </w14:solidFill>
                      </w14:textFill>
                    </w:rPr>
                    <w:t>，非化工项目，且</w:t>
                  </w:r>
                  <w:r>
                    <w:rPr>
                      <w:rFonts w:ascii="Times New Roman"/>
                      <w:color w:val="000000" w:themeColor="text1"/>
                      <w:szCs w:val="21"/>
                      <w:highlight w:val="none"/>
                      <w14:textFill>
                        <w14:solidFill>
                          <w14:schemeClr w14:val="tx1"/>
                        </w14:solidFill>
                      </w14:textFill>
                    </w:rPr>
                    <w:t>不涉及重大环境安全隐患</w:t>
                  </w:r>
                  <w:r>
                    <w:rPr>
                      <w:rFonts w:hint="eastAsia" w:ascii="Times New Roman"/>
                      <w:color w:val="000000" w:themeColor="text1"/>
                      <w:szCs w:val="21"/>
                      <w:highlight w:val="none"/>
                      <w14:textFill>
                        <w14:solidFill>
                          <w14:schemeClr w14:val="tx1"/>
                        </w14:solidFill>
                      </w14:textFill>
                    </w:rPr>
                    <w:t>。</w:t>
                  </w:r>
                </w:p>
              </w:tc>
              <w:tc>
                <w:tcPr>
                  <w:tcW w:w="345" w:type="pct"/>
                  <w:vAlign w:val="center"/>
                </w:tcPr>
                <w:p w14:paraId="15B8472A">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4F3F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55AD252B">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restart"/>
                  <w:vAlign w:val="center"/>
                </w:tcPr>
                <w:p w14:paraId="6E77B557">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资源开发利用效率</w:t>
                  </w:r>
                </w:p>
              </w:tc>
              <w:tc>
                <w:tcPr>
                  <w:tcW w:w="2782" w:type="pct"/>
                  <w:vAlign w:val="center"/>
                </w:tcPr>
                <w:p w14:paraId="0174B8D4">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1089" w:type="pct"/>
                  <w:vAlign w:val="center"/>
                </w:tcPr>
                <w:p w14:paraId="75E357FB">
                  <w:pPr>
                    <w:pStyle w:val="38"/>
                    <w:spacing w:beforeLines="0" w:afterLines="0" w:line="240" w:lineRule="auto"/>
                    <w:ind w:firstLine="0" w:firstLineChars="0"/>
                    <w:jc w:val="both"/>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本项目实行能耗、水耗管控，从源头减少污染物排放</w:t>
                  </w:r>
                </w:p>
              </w:tc>
              <w:tc>
                <w:tcPr>
                  <w:tcW w:w="345" w:type="pct"/>
                  <w:vAlign w:val="center"/>
                </w:tcPr>
                <w:p w14:paraId="2DB33684">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A7E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45E43E6C">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603B8BA0">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67686385">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089" w:type="pct"/>
                  <w:vAlign w:val="center"/>
                </w:tcPr>
                <w:p w14:paraId="2ABEE2D3">
                  <w:pPr>
                    <w:pStyle w:val="38"/>
                    <w:spacing w:beforeLines="0" w:afterLines="0" w:line="240" w:lineRule="auto"/>
                    <w:ind w:firstLine="0" w:firstLineChars="0"/>
                    <w:jc w:val="both"/>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本项目不使用</w:t>
                  </w:r>
                  <w:r>
                    <w:rPr>
                      <w:rFonts w:ascii="Times New Roman"/>
                      <w:color w:val="000000" w:themeColor="text1"/>
                      <w:kern w:val="2"/>
                      <w:szCs w:val="18"/>
                      <w:highlight w:val="none"/>
                      <w14:textFill>
                        <w14:solidFill>
                          <w14:schemeClr w14:val="tx1"/>
                        </w14:solidFill>
                      </w14:textFill>
                    </w:rPr>
                    <w:t>高污染燃料</w:t>
                  </w:r>
                </w:p>
              </w:tc>
              <w:tc>
                <w:tcPr>
                  <w:tcW w:w="345" w:type="pct"/>
                  <w:vAlign w:val="center"/>
                </w:tcPr>
                <w:p w14:paraId="781075A4">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354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411B57F9">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510AC9DE">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25EF1E65">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第二十条 新建、扩建“两高”项目应采用先进适用的工艺技术和装备，单位产品物耗、能耗、水耗等达到清洁生产先进水平。</w:t>
                  </w:r>
                </w:p>
              </w:tc>
              <w:tc>
                <w:tcPr>
                  <w:tcW w:w="1089" w:type="pct"/>
                  <w:vAlign w:val="center"/>
                </w:tcPr>
                <w:p w14:paraId="616DCCE0">
                  <w:pPr>
                    <w:pStyle w:val="38"/>
                    <w:spacing w:beforeLines="0" w:afterLines="0" w:line="240" w:lineRule="auto"/>
                    <w:ind w:firstLine="0" w:firstLineChars="0"/>
                    <w:jc w:val="both"/>
                    <w:rPr>
                      <w:rFonts w:ascii="Times New Roman"/>
                      <w:color w:val="000000" w:themeColor="text1"/>
                      <w:highlight w:val="none"/>
                      <w14:textFill>
                        <w14:solidFill>
                          <w14:schemeClr w14:val="tx1"/>
                        </w14:solidFill>
                      </w14:textFill>
                    </w:rPr>
                  </w:pPr>
                  <w:r>
                    <w:rPr>
                      <w:rFonts w:ascii="Times New Roman"/>
                      <w:color w:val="000000" w:themeColor="text1"/>
                      <w:szCs w:val="21"/>
                      <w:highlight w:val="none"/>
                      <w:lang w:bidi="ar"/>
                      <w14:textFill>
                        <w14:solidFill>
                          <w14:schemeClr w14:val="tx1"/>
                        </w14:solidFill>
                      </w14:textFill>
                    </w:rPr>
                    <w:t>项目不属于“两高”项目，采用先进适用的工艺技术和装备，单位产品物耗、能耗、水耗等达到清洁生产先进水平。</w:t>
                  </w:r>
                </w:p>
              </w:tc>
              <w:tc>
                <w:tcPr>
                  <w:tcW w:w="345" w:type="pct"/>
                  <w:vAlign w:val="center"/>
                </w:tcPr>
                <w:p w14:paraId="4C599274">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A4A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733E5DA7">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3A9BD617">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0771051A">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089" w:type="pct"/>
                  <w:vAlign w:val="center"/>
                </w:tcPr>
                <w:p w14:paraId="15DD7AA2">
                  <w:pPr>
                    <w:pStyle w:val="38"/>
                    <w:spacing w:beforeLines="0" w:afterLines="0" w:line="240" w:lineRule="auto"/>
                    <w:ind w:firstLine="0" w:firstLineChars="0"/>
                    <w:jc w:val="both"/>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本项目不涉及工业用水，仅员工生活用水，用水量较少。</w:t>
                  </w:r>
                </w:p>
              </w:tc>
              <w:tc>
                <w:tcPr>
                  <w:tcW w:w="345" w:type="pct"/>
                  <w:vAlign w:val="center"/>
                </w:tcPr>
                <w:p w14:paraId="6CB65790">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63A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vAlign w:val="center"/>
                </w:tcPr>
                <w:p w14:paraId="7B3E8A6C">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295157A8">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p>
              </w:tc>
              <w:tc>
                <w:tcPr>
                  <w:tcW w:w="2782" w:type="pct"/>
                  <w:vAlign w:val="center"/>
                </w:tcPr>
                <w:p w14:paraId="309C9CC7">
                  <w:pPr>
                    <w:pStyle w:val="40"/>
                    <w:spacing w:beforeLines="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089" w:type="pct"/>
                  <w:vAlign w:val="center"/>
                </w:tcPr>
                <w:p w14:paraId="0337427B">
                  <w:pPr>
                    <w:pStyle w:val="38"/>
                    <w:spacing w:beforeLines="0" w:afterLines="0" w:line="240" w:lineRule="auto"/>
                    <w:ind w:firstLine="0" w:firstLineChars="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不涉及</w:t>
                  </w:r>
                </w:p>
              </w:tc>
              <w:tc>
                <w:tcPr>
                  <w:tcW w:w="345" w:type="pct"/>
                  <w:vAlign w:val="center"/>
                </w:tcPr>
                <w:p w14:paraId="79FE2765">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230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restart"/>
                  <w:vAlign w:val="center"/>
                </w:tcPr>
                <w:p w14:paraId="25FC10BF">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九龙坡区总体管控要求</w:t>
                  </w:r>
                </w:p>
              </w:tc>
              <w:tc>
                <w:tcPr>
                  <w:tcW w:w="347" w:type="pct"/>
                  <w:vMerge w:val="restart"/>
                  <w:vAlign w:val="center"/>
                </w:tcPr>
                <w:p w14:paraId="521B26FC">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空间布局约束</w:t>
                  </w:r>
                </w:p>
              </w:tc>
              <w:tc>
                <w:tcPr>
                  <w:tcW w:w="2782" w:type="pct"/>
                  <w:vAlign w:val="center"/>
                </w:tcPr>
                <w:p w14:paraId="76B362D7">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一条确保饮用水源取水口水质安全，饮用水源地所在岸线不得建设与供水设施和保护水源无关的项目，禁止新增船舶码头，规范渔业船舶管理，不得停靠餐饮趸船，取缔现有餐饮趸船；饮用水源保护区内可实施有利于改善取水水质或取水口改造的项目</w:t>
                  </w:r>
                </w:p>
              </w:tc>
              <w:tc>
                <w:tcPr>
                  <w:tcW w:w="1089" w:type="pct"/>
                  <w:vAlign w:val="center"/>
                </w:tcPr>
                <w:p w14:paraId="5AE3D561">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highlight w:val="none"/>
                      <w:lang w:bidi="en-US"/>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lang w:bidi="en-US"/>
                      <w14:textFill>
                        <w14:solidFill>
                          <w14:schemeClr w14:val="tx1"/>
                        </w14:solidFill>
                      </w14:textFill>
                    </w:rPr>
                    <w:t>不涉及</w:t>
                  </w:r>
                  <w:r>
                    <w:rPr>
                      <w:rFonts w:ascii="Times New Roman" w:hAnsi="Times New Roman" w:cs="Times New Roman"/>
                      <w:color w:val="000000" w:themeColor="text1"/>
                      <w:szCs w:val="21"/>
                      <w:highlight w:val="none"/>
                      <w14:textFill>
                        <w14:solidFill>
                          <w14:schemeClr w14:val="tx1"/>
                        </w14:solidFill>
                      </w14:textFill>
                    </w:rPr>
                    <w:t>饮用水源保护区</w:t>
                  </w:r>
                </w:p>
              </w:tc>
              <w:tc>
                <w:tcPr>
                  <w:tcW w:w="345" w:type="pct"/>
                  <w:vAlign w:val="center"/>
                </w:tcPr>
                <w:p w14:paraId="717DCD11">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B6D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2B43E79C">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67190810">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46574E17">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二条区内“四山”（缙云山山脉、中梁山山脉）管制区按照生态红线和四山管制区相应的管控要求进行管理，对非法建构筑物分类制定退出方案，分批次拆除违法建筑，对破坏林地、耕地实施修复，编制修复计划，推进修复工作，至2020年“四山”地区现有天然林面积不减少，人工林面积逐年增加</w:t>
                  </w:r>
                </w:p>
              </w:tc>
              <w:tc>
                <w:tcPr>
                  <w:tcW w:w="1089" w:type="pct"/>
                  <w:vAlign w:val="center"/>
                </w:tcPr>
                <w:p w14:paraId="1E5BA0FF">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w:t>
                  </w:r>
                  <w:r>
                    <w:rPr>
                      <w:rFonts w:ascii="Times New Roman" w:hAnsi="Times New Roman" w:cs="Times New Roman"/>
                      <w:color w:val="000000" w:themeColor="text1"/>
                      <w:highlight w:val="none"/>
                      <w:lang w:bidi="en-US"/>
                      <w14:textFill>
                        <w14:solidFill>
                          <w14:schemeClr w14:val="tx1"/>
                        </w14:solidFill>
                      </w14:textFill>
                    </w:rPr>
                    <w:t>不涉及</w:t>
                  </w:r>
                  <w:r>
                    <w:rPr>
                      <w:rFonts w:ascii="Times New Roman" w:hAnsi="Times New Roman" w:cs="Times New Roman"/>
                      <w:color w:val="000000" w:themeColor="text1"/>
                      <w:szCs w:val="21"/>
                      <w:highlight w:val="none"/>
                      <w14:textFill>
                        <w14:solidFill>
                          <w14:schemeClr w14:val="tx1"/>
                        </w14:solidFill>
                      </w14:textFill>
                    </w:rPr>
                    <w:t>“四山”管制区</w:t>
                  </w:r>
                </w:p>
              </w:tc>
              <w:tc>
                <w:tcPr>
                  <w:tcW w:w="345" w:type="pct"/>
                  <w:vAlign w:val="center"/>
                </w:tcPr>
                <w:p w14:paraId="3C3C2BE8">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1EA6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571F7355">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6C98619D">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2CE5A6CB">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三条长江上游珍稀特有鱼类国家级自然保护区、白市驿县级自然保护区、白市驿城市花卉市级森林公园、白塔坪市级森林公园、中梁云岭森林公园（原尖刀山市级森林公园）、重庆彩云湖国家湿地公园生态红线范围内严禁不符合主体功能定位的各类开发活动，严禁任意改变用途，严格禁止任何单位和个人擅自占用和改变用地性质，鼓励按照规划开展维护、修复和提升生态功能的活动。区内一般生态空间原则上按限制开发区域的要求进行管理，严格控制新增建设占用生态保护红线外的生态空间</w:t>
                  </w:r>
                </w:p>
              </w:tc>
              <w:tc>
                <w:tcPr>
                  <w:tcW w:w="1089" w:type="pct"/>
                  <w:vAlign w:val="center"/>
                </w:tcPr>
                <w:p w14:paraId="013C7CD0">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w:t>
                  </w:r>
                  <w:r>
                    <w:rPr>
                      <w:rFonts w:ascii="Times New Roman" w:hAnsi="Times New Roman" w:cs="Times New Roman"/>
                      <w:color w:val="000000" w:themeColor="text1"/>
                      <w:highlight w:val="none"/>
                      <w:lang w:bidi="en-US"/>
                      <w14:textFill>
                        <w14:solidFill>
                          <w14:schemeClr w14:val="tx1"/>
                        </w14:solidFill>
                      </w14:textFill>
                    </w:rPr>
                    <w:t>不涉及</w:t>
                  </w:r>
                  <w:r>
                    <w:rPr>
                      <w:rFonts w:ascii="Times New Roman" w:hAnsi="Times New Roman" w:cs="Times New Roman"/>
                      <w:color w:val="000000" w:themeColor="text1"/>
                      <w:szCs w:val="21"/>
                      <w:highlight w:val="none"/>
                      <w14:textFill>
                        <w14:solidFill>
                          <w14:schemeClr w14:val="tx1"/>
                        </w14:solidFill>
                      </w14:textFill>
                    </w:rPr>
                    <w:t>上述区域</w:t>
                  </w:r>
                </w:p>
              </w:tc>
              <w:tc>
                <w:tcPr>
                  <w:tcW w:w="345" w:type="pct"/>
                  <w:vAlign w:val="center"/>
                </w:tcPr>
                <w:p w14:paraId="088CDA7C">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18"/>
                      <w:highlight w:val="none"/>
                      <w14:textFill>
                        <w14:solidFill>
                          <w14:schemeClr w14:val="tx1"/>
                        </w14:solidFill>
                      </w14:textFill>
                    </w:rPr>
                    <w:t>符合</w:t>
                  </w:r>
                </w:p>
              </w:tc>
            </w:tr>
            <w:tr w14:paraId="7909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71AC1B63">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72A3A221">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0A8FC9A6">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四条长江50年一遇洪水位向陆域一侧1公里沿岸地区，禁止引入排放重金属（铬、镉、汞、砷、铅五类重金属）、剧毒物质和持久性有机污染物的工业项目、单纯电镀行业、危险废物处置设施项目、存在严重环境安全风险的产业项目和其它不符合国家产业政策的项目，以及超出环境资源承载力的项目</w:t>
                  </w:r>
                </w:p>
              </w:tc>
              <w:tc>
                <w:tcPr>
                  <w:tcW w:w="1089" w:type="pct"/>
                  <w:vAlign w:val="center"/>
                </w:tcPr>
                <w:p w14:paraId="493789F2">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w:t>
                  </w:r>
                  <w:r>
                    <w:rPr>
                      <w:rFonts w:ascii="Times New Roman" w:hAnsi="Times New Roman" w:cs="Times New Roman"/>
                      <w:color w:val="000000" w:themeColor="text1"/>
                      <w:highlight w:val="none"/>
                      <w:lang w:bidi="en-US"/>
                      <w14:textFill>
                        <w14:solidFill>
                          <w14:schemeClr w14:val="tx1"/>
                        </w14:solidFill>
                      </w14:textFill>
                    </w:rPr>
                    <w:t>不涉及</w:t>
                  </w:r>
                  <w:r>
                    <w:rPr>
                      <w:rFonts w:ascii="Times New Roman" w:hAnsi="Times New Roman" w:cs="Times New Roman"/>
                      <w:color w:val="000000" w:themeColor="text1"/>
                      <w:szCs w:val="21"/>
                      <w:highlight w:val="none"/>
                      <w14:textFill>
                        <w14:solidFill>
                          <w14:schemeClr w14:val="tx1"/>
                        </w14:solidFill>
                      </w14:textFill>
                    </w:rPr>
                    <w:t>上述区域</w:t>
                  </w:r>
                </w:p>
              </w:tc>
              <w:tc>
                <w:tcPr>
                  <w:tcW w:w="345" w:type="pct"/>
                  <w:vAlign w:val="center"/>
                </w:tcPr>
                <w:p w14:paraId="72B3DBEF">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18"/>
                      <w:highlight w:val="none"/>
                      <w14:textFill>
                        <w14:solidFill>
                          <w14:schemeClr w14:val="tx1"/>
                        </w14:solidFill>
                      </w14:textFill>
                    </w:rPr>
                    <w:t>符合</w:t>
                  </w:r>
                </w:p>
              </w:tc>
            </w:tr>
            <w:tr w14:paraId="32EC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73716F6E">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61CCCEDD">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0928D087">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第五条梁滩河河道保护线外侧城镇规划建设用地内尚未建设的区域控制不少于30米的绿化缓冲带，绿化缓冲带内禁止进行工业、畜禽养殖业等可能导致水环境恶化的经营性活动</w:t>
                  </w:r>
                </w:p>
              </w:tc>
              <w:tc>
                <w:tcPr>
                  <w:tcW w:w="1089" w:type="pct"/>
                  <w:vAlign w:val="center"/>
                </w:tcPr>
                <w:p w14:paraId="7DD46F28">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w:t>
                  </w:r>
                  <w:r>
                    <w:rPr>
                      <w:rFonts w:ascii="Times New Roman" w:hAnsi="Times New Roman" w:cs="Times New Roman"/>
                      <w:color w:val="000000" w:themeColor="text1"/>
                      <w:highlight w:val="none"/>
                      <w:lang w:bidi="en-US"/>
                      <w14:textFill>
                        <w14:solidFill>
                          <w14:schemeClr w14:val="tx1"/>
                        </w14:solidFill>
                      </w14:textFill>
                    </w:rPr>
                    <w:t>不涉及</w:t>
                  </w:r>
                  <w:r>
                    <w:rPr>
                      <w:rFonts w:ascii="Times New Roman" w:hAnsi="Times New Roman" w:cs="Times New Roman"/>
                      <w:color w:val="000000" w:themeColor="text1"/>
                      <w:szCs w:val="21"/>
                      <w:highlight w:val="none"/>
                      <w14:textFill>
                        <w14:solidFill>
                          <w14:schemeClr w14:val="tx1"/>
                        </w14:solidFill>
                      </w14:textFill>
                    </w:rPr>
                    <w:t>上述区域</w:t>
                  </w:r>
                </w:p>
              </w:tc>
              <w:tc>
                <w:tcPr>
                  <w:tcW w:w="345" w:type="pct"/>
                  <w:vAlign w:val="center"/>
                </w:tcPr>
                <w:p w14:paraId="59B94080">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18"/>
                      <w:highlight w:val="none"/>
                      <w14:textFill>
                        <w14:solidFill>
                          <w14:schemeClr w14:val="tx1"/>
                        </w14:solidFill>
                      </w14:textFill>
                    </w:rPr>
                    <w:t>符合</w:t>
                  </w:r>
                </w:p>
              </w:tc>
            </w:tr>
            <w:tr w14:paraId="6B5C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435" w:type="pct"/>
                  <w:vMerge w:val="continue"/>
                  <w:vAlign w:val="center"/>
                </w:tcPr>
                <w:p w14:paraId="2DB14281">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04510F88">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34CD7E84">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第六条逐步弱化高新技术产业开发区东区生产制造功能，推动工业“退二进三”，不再发展传统工业（企业总部与研发中心列入高技术服务业）；有序推进批发市场和物流仓储（除快递物流外）向高新西区转移</w:t>
                  </w:r>
                </w:p>
              </w:tc>
              <w:tc>
                <w:tcPr>
                  <w:tcW w:w="1089" w:type="pct"/>
                  <w:vAlign w:val="center"/>
                </w:tcPr>
                <w:p w14:paraId="4A7B6AF0">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w:t>
                  </w:r>
                  <w:r>
                    <w:rPr>
                      <w:rFonts w:ascii="Times New Roman" w:hAnsi="Times New Roman" w:cs="Times New Roman"/>
                      <w:color w:val="000000" w:themeColor="text1"/>
                      <w:highlight w:val="none"/>
                      <w:lang w:bidi="en-US"/>
                      <w14:textFill>
                        <w14:solidFill>
                          <w14:schemeClr w14:val="tx1"/>
                        </w14:solidFill>
                      </w14:textFill>
                    </w:rPr>
                    <w:t>不涉及</w:t>
                  </w:r>
                </w:p>
              </w:tc>
              <w:tc>
                <w:tcPr>
                  <w:tcW w:w="345" w:type="pct"/>
                  <w:vAlign w:val="center"/>
                </w:tcPr>
                <w:p w14:paraId="7BC262FC">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5E12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4E830328">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restart"/>
                  <w:vAlign w:val="center"/>
                </w:tcPr>
                <w:p w14:paraId="131CEDE0">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污染物排放管控</w:t>
                  </w:r>
                </w:p>
              </w:tc>
              <w:tc>
                <w:tcPr>
                  <w:tcW w:w="2782" w:type="pct"/>
                  <w:vAlign w:val="center"/>
                </w:tcPr>
                <w:p w14:paraId="57DE63C5">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第七条通过改造提升、集约布局、关停并转等方式对“散乱污”企业分类治理。对布局不合理、装备水平低、环保设施差的小型污染企业进行全面排查，制订综合整治方案，集中整治镇村产业集聚区</w:t>
                  </w:r>
                </w:p>
              </w:tc>
              <w:tc>
                <w:tcPr>
                  <w:tcW w:w="1089" w:type="pct"/>
                  <w:vAlign w:val="center"/>
                </w:tcPr>
                <w:p w14:paraId="09A65BA7">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本项目不涉及</w:t>
                  </w:r>
                </w:p>
              </w:tc>
              <w:tc>
                <w:tcPr>
                  <w:tcW w:w="345" w:type="pct"/>
                  <w:vAlign w:val="center"/>
                </w:tcPr>
                <w:p w14:paraId="4E16DC66">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15B0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788419D2">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7EDF956E">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62749ECF">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八条区内二氧化硫、氮氧化物、颗粒物、挥发性有机物严格执行大气污染物特别排放限值，全面开展涉VOCs排放的“散乱污”企业排查工作，建立管理台账，实施分类处置。列入淘汰类的，依法依规予以取缔，做到“两断三清”，即断水、断电、清除原料、清除产品、清除设备；列入搬迁改造、升级改造类的，按照发展规模化、现代化产业的原则，制定改造提升方案，落实时间表和责任人；对“散乱污”企业集群，要制定总体整改方案，统一标准要求，并向社会公开，同步推进区域环境综合整治和企业升级改造</w:t>
                  </w:r>
                </w:p>
              </w:tc>
              <w:tc>
                <w:tcPr>
                  <w:tcW w:w="1089" w:type="pct"/>
                  <w:vAlign w:val="center"/>
                </w:tcPr>
                <w:p w14:paraId="2EFD6329">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本项目位于九龙坡区，</w:t>
                  </w:r>
                  <w:r>
                    <w:rPr>
                      <w:rFonts w:hint="eastAsia" w:ascii="Times New Roman" w:hAnsi="Times New Roman" w:cs="Times New Roman"/>
                      <w:color w:val="000000" w:themeColor="text1"/>
                      <w:szCs w:val="21"/>
                      <w:highlight w:val="none"/>
                      <w14:textFill>
                        <w14:solidFill>
                          <w14:schemeClr w14:val="tx1"/>
                        </w14:solidFill>
                      </w14:textFill>
                    </w:rPr>
                    <w:t>主要生产原料为塑粉，生产过程中会产生VOCs废气</w:t>
                  </w:r>
                  <w:r>
                    <w:rPr>
                      <w:rFonts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14:textFill>
                        <w14:solidFill>
                          <w14:schemeClr w14:val="tx1"/>
                        </w14:solidFill>
                      </w14:textFill>
                    </w:rPr>
                    <w:t>采用“干式过滤+</w:t>
                  </w:r>
                  <w:r>
                    <w:rPr>
                      <w:rFonts w:hint="eastAsia" w:ascii="Times New Roman" w:hAnsi="Times New Roman" w:cs="Times New Roman"/>
                      <w:color w:val="000000" w:themeColor="text1"/>
                      <w:szCs w:val="21"/>
                      <w:highlight w:val="none"/>
                      <w:lang w:eastAsia="zh-CN"/>
                      <w14:textFill>
                        <w14:solidFill>
                          <w14:schemeClr w14:val="tx1"/>
                        </w14:solidFill>
                      </w14:textFill>
                    </w:rPr>
                    <w:t>两级</w:t>
                  </w:r>
                  <w:r>
                    <w:rPr>
                      <w:rFonts w:hint="eastAsia" w:ascii="Times New Roman" w:hAnsi="Times New Roman" w:cs="Times New Roman"/>
                      <w:color w:val="000000" w:themeColor="text1"/>
                      <w:szCs w:val="21"/>
                      <w:highlight w:val="none"/>
                      <w14:textFill>
                        <w14:solidFill>
                          <w14:schemeClr w14:val="tx1"/>
                        </w14:solidFill>
                      </w14:textFill>
                    </w:rPr>
                    <w:t>活性炭”吸附处置后有组织排放；喷粉过程中</w:t>
                  </w:r>
                  <w:r>
                    <w:rPr>
                      <w:rFonts w:ascii="Times New Roman" w:hAnsi="Times New Roman" w:cs="Times New Roman"/>
                      <w:color w:val="000000" w:themeColor="text1"/>
                      <w:szCs w:val="21"/>
                      <w:highlight w:val="none"/>
                      <w14:textFill>
                        <w14:solidFill>
                          <w14:schemeClr w14:val="tx1"/>
                        </w14:solidFill>
                      </w14:textFill>
                    </w:rPr>
                    <w:t>产生的废气粉尘收集后经</w:t>
                  </w:r>
                  <w:r>
                    <w:rPr>
                      <w:rFonts w:hint="eastAsia" w:ascii="Times New Roman" w:cs="Times New Roman"/>
                      <w:color w:val="000000" w:themeColor="text1"/>
                      <w:szCs w:val="21"/>
                      <w:highlight w:val="none"/>
                      <w14:textFill>
                        <w14:solidFill>
                          <w14:schemeClr w14:val="tx1"/>
                        </w14:solidFill>
                      </w14:textFill>
                    </w:rPr>
                    <w:t>滤筒除尘器</w:t>
                  </w:r>
                  <w:r>
                    <w:rPr>
                      <w:rFonts w:ascii="Times New Roman" w:hAnsi="Times New Roman" w:cs="Times New Roman"/>
                      <w:color w:val="000000" w:themeColor="text1"/>
                      <w:szCs w:val="21"/>
                      <w:highlight w:val="none"/>
                      <w14:textFill>
                        <w14:solidFill>
                          <w14:schemeClr w14:val="tx1"/>
                        </w14:solidFill>
                      </w14:textFill>
                    </w:rPr>
                    <w:t>处理后通过排气筒排放</w:t>
                  </w:r>
                  <w:r>
                    <w:rPr>
                      <w:rFonts w:hint="eastAsia" w:ascii="Times New Roman" w:cs="Times New Roman"/>
                      <w:color w:val="000000" w:themeColor="text1"/>
                      <w:szCs w:val="21"/>
                      <w:highlight w:val="none"/>
                      <w14:textFill>
                        <w14:solidFill>
                          <w14:schemeClr w14:val="tx1"/>
                        </w14:solidFill>
                      </w14:textFill>
                    </w:rPr>
                    <w:t>；抛丸工序产生的颗粒物经布袋除尘器处置后由排气筒排放。</w:t>
                  </w:r>
                </w:p>
              </w:tc>
              <w:tc>
                <w:tcPr>
                  <w:tcW w:w="345" w:type="pct"/>
                  <w:vAlign w:val="center"/>
                </w:tcPr>
                <w:p w14:paraId="49D1EE51">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5EE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2C23564F">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62B2E432">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03E947A8">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九条城市污水处理厂全面达到一级A排放标准，城市污水集中处理率达到95%左右，对所有执行二级及以下标准的城镇污水处理设施实施提标改造。完善区内排水管网建设和配套污水处理厂建设，强化污水处理设施运维管理，确保设施正常运行，出水达标排放</w:t>
                  </w:r>
                </w:p>
              </w:tc>
              <w:tc>
                <w:tcPr>
                  <w:tcW w:w="1089" w:type="pct"/>
                  <w:vAlign w:val="center"/>
                </w:tcPr>
                <w:p w14:paraId="276EA451">
                  <w:pPr>
                    <w:snapToGrid w:val="0"/>
                    <w:rPr>
                      <w:rFonts w:ascii="Times New Roman" w:hAnsi="Times New Roman" w:cs="Times New Roman"/>
                      <w:color w:val="000000" w:themeColor="text1"/>
                      <w:highlight w:val="none"/>
                      <w:lang w:bidi="en-US"/>
                      <w14:textFill>
                        <w14:solidFill>
                          <w14:schemeClr w14:val="tx1"/>
                        </w14:solidFill>
                      </w14:textFill>
                    </w:rPr>
                  </w:pPr>
                  <w:r>
                    <w:rPr>
                      <w:rFonts w:ascii="Times New Roman" w:hAnsi="Times New Roman" w:cs="Times New Roman"/>
                      <w:color w:val="000000" w:themeColor="text1"/>
                      <w:highlight w:val="none"/>
                      <w:lang w:bidi="en-US"/>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生活污水依托</w:t>
                  </w:r>
                  <w:r>
                    <w:rPr>
                      <w:rFonts w:hint="eastAsia" w:ascii="Times New Roman" w:hAnsi="Times New Roman" w:cs="Times New Roman"/>
                      <w:color w:val="000000" w:themeColor="text1"/>
                      <w:szCs w:val="21"/>
                      <w:highlight w:val="none"/>
                      <w14:textFill>
                        <w14:solidFill>
                          <w14:schemeClr w14:val="tx1"/>
                        </w14:solidFill>
                      </w14:textFill>
                    </w:rPr>
                    <w:t>坤坤农业公司</w:t>
                  </w:r>
                  <w:r>
                    <w:rPr>
                      <w:rFonts w:ascii="Times New Roman" w:hAnsi="Times New Roman" w:cs="Times New Roman"/>
                      <w:color w:val="000000" w:themeColor="text1"/>
                      <w:szCs w:val="21"/>
                      <w:highlight w:val="none"/>
                      <w14:textFill>
                        <w14:solidFill>
                          <w14:schemeClr w14:val="tx1"/>
                        </w14:solidFill>
                      </w14:textFill>
                    </w:rPr>
                    <w:t>已建生化池处理后排入园区管网，进入西彭工业园区污水处理厂处理后排入桥头河再汇入长江</w:t>
                  </w:r>
                </w:p>
              </w:tc>
              <w:tc>
                <w:tcPr>
                  <w:tcW w:w="345" w:type="pct"/>
                  <w:vAlign w:val="center"/>
                </w:tcPr>
                <w:p w14:paraId="5AA27850">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56B6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48DC11AC">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3D9EDE68">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12C71D57">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十条持续推进梁滩河综合整治，排入梁滩河的污水执行污水特别排放限值，完善限养区养殖场污染治理配套设施设备，推广、指导畜禽养殖废弃物综合利用，推进畜禽养殖废弃物减量化、资源化和无害化。发展生态循环农业，开展现代生态农业创新试点</w:t>
                  </w:r>
                </w:p>
              </w:tc>
              <w:tc>
                <w:tcPr>
                  <w:tcW w:w="1089" w:type="pct"/>
                  <w:vAlign w:val="center"/>
                </w:tcPr>
                <w:p w14:paraId="7BBD591C">
                  <w:pPr>
                    <w:snapToGrid w:val="0"/>
                    <w:jc w:val="center"/>
                    <w:rPr>
                      <w:rFonts w:ascii="Times New Roman" w:hAnsi="Times New Roman" w:cs="Times New Roman"/>
                      <w:color w:val="000000" w:themeColor="text1"/>
                      <w:highlight w:val="none"/>
                      <w:lang w:bidi="en-US"/>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w:t>
                  </w:r>
                </w:p>
              </w:tc>
              <w:tc>
                <w:tcPr>
                  <w:tcW w:w="345" w:type="pct"/>
                  <w:vAlign w:val="center"/>
                </w:tcPr>
                <w:p w14:paraId="2A108474">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7AE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24A69584">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25C2A892">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37C9A4AF">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第十一条严禁引入高水耗、高物耗、高能耗项目，水的重复利用率低的行业。严格执行高污染燃料禁燃区管理要求</w:t>
                  </w:r>
                </w:p>
              </w:tc>
              <w:tc>
                <w:tcPr>
                  <w:tcW w:w="1089" w:type="pct"/>
                  <w:vAlign w:val="center"/>
                </w:tcPr>
                <w:p w14:paraId="4DBF9787">
                  <w:pPr>
                    <w:snapToGrid w:val="0"/>
                    <w:rPr>
                      <w:rFonts w:ascii="Times New Roman" w:hAnsi="Times New Roman" w:cs="Times New Roman"/>
                      <w:color w:val="000000" w:themeColor="text1"/>
                      <w:highlight w:val="none"/>
                      <w:lang w:bidi="en-US"/>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本项目不属于高水耗、高物耗、高能耗项目</w:t>
                  </w:r>
                </w:p>
              </w:tc>
              <w:tc>
                <w:tcPr>
                  <w:tcW w:w="345" w:type="pct"/>
                  <w:vAlign w:val="center"/>
                </w:tcPr>
                <w:p w14:paraId="4A24FA99">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5C0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4EE1E5AF">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4B354802">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561861F9">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第十二条制定柴油货车、高排放车辆限行方案，依法依规加快淘汰老旧柴油货车。每年新增或更新的公交车、出租车全部使用清洁能源车辆</w:t>
                  </w:r>
                </w:p>
              </w:tc>
              <w:tc>
                <w:tcPr>
                  <w:tcW w:w="1089" w:type="pct"/>
                  <w:vAlign w:val="center"/>
                </w:tcPr>
                <w:p w14:paraId="007360DB">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w:t>
                  </w:r>
                </w:p>
              </w:tc>
              <w:tc>
                <w:tcPr>
                  <w:tcW w:w="345" w:type="pct"/>
                  <w:vAlign w:val="center"/>
                </w:tcPr>
                <w:p w14:paraId="65576B67">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491B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435" w:type="pct"/>
                  <w:vMerge w:val="continue"/>
                  <w:vAlign w:val="center"/>
                </w:tcPr>
                <w:p w14:paraId="1922BA1D">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restart"/>
                  <w:vAlign w:val="center"/>
                </w:tcPr>
                <w:p w14:paraId="644AAA39">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环境风险防控</w:t>
                  </w:r>
                </w:p>
              </w:tc>
              <w:tc>
                <w:tcPr>
                  <w:tcW w:w="2782" w:type="pct"/>
                  <w:vAlign w:val="center"/>
                </w:tcPr>
                <w:p w14:paraId="1F7135AF">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第十三条严禁在长江干流1公里范围内新建危化品码头，长江干流沿岸1公里范围内现有化工企业、危化企业、重点风险源全部</w:t>
                  </w:r>
                  <w:r>
                    <w:rPr>
                      <w:rFonts w:hint="eastAsia"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清零</w:t>
                  </w:r>
                  <w:r>
                    <w:rPr>
                      <w:rFonts w:hint="eastAsia" w:ascii="Times New Roman" w:hAnsi="Times New Roman" w:cs="Times New Roman"/>
                      <w:color w:val="000000" w:themeColor="text1"/>
                      <w:szCs w:val="21"/>
                      <w:highlight w:val="none"/>
                      <w14:textFill>
                        <w14:solidFill>
                          <w14:schemeClr w14:val="tx1"/>
                        </w14:solidFill>
                      </w14:textFill>
                    </w:rPr>
                    <w:t>”</w:t>
                  </w:r>
                </w:p>
              </w:tc>
              <w:tc>
                <w:tcPr>
                  <w:tcW w:w="1089" w:type="pct"/>
                  <w:vAlign w:val="center"/>
                </w:tcPr>
                <w:p w14:paraId="55254068">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lang w:bidi="en-US"/>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hint="eastAsia" w:ascii="Times New Roman" w:hAnsi="Times New Roman" w:cs="Times New Roman"/>
                      <w:color w:val="000000" w:themeColor="text1"/>
                      <w:highlight w:val="none"/>
                      <w:lang w:bidi="en-US"/>
                      <w14:textFill>
                        <w14:solidFill>
                          <w14:schemeClr w14:val="tx1"/>
                        </w14:solidFill>
                      </w14:textFill>
                    </w:rPr>
                    <w:t>不属于所述企业。</w:t>
                  </w:r>
                </w:p>
              </w:tc>
              <w:tc>
                <w:tcPr>
                  <w:tcW w:w="345" w:type="pct"/>
                  <w:vAlign w:val="center"/>
                </w:tcPr>
                <w:p w14:paraId="1124BAB6">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DFB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5" w:type="pct"/>
                  <w:vMerge w:val="continue"/>
                  <w:vAlign w:val="center"/>
                </w:tcPr>
                <w:p w14:paraId="44A10B88">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Merge w:val="continue"/>
                  <w:vAlign w:val="center"/>
                </w:tcPr>
                <w:p w14:paraId="71443FB6">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2782" w:type="pct"/>
                  <w:vAlign w:val="center"/>
                </w:tcPr>
                <w:p w14:paraId="624D2B1E">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第十四条工业园区污水处理厂应设置相应规模的事故池，防止事故废水直接进入江河</w:t>
                  </w:r>
                </w:p>
              </w:tc>
              <w:tc>
                <w:tcPr>
                  <w:tcW w:w="1089" w:type="pct"/>
                  <w:vAlign w:val="center"/>
                </w:tcPr>
                <w:p w14:paraId="457BFD6F">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w:t>
                  </w:r>
                </w:p>
              </w:tc>
              <w:tc>
                <w:tcPr>
                  <w:tcW w:w="345" w:type="pct"/>
                  <w:vAlign w:val="center"/>
                </w:tcPr>
                <w:p w14:paraId="40B65581">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7952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35" w:type="pct"/>
                  <w:vMerge w:val="continue"/>
                  <w:vAlign w:val="center"/>
                </w:tcPr>
                <w:p w14:paraId="129389B4">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Align w:val="center"/>
                </w:tcPr>
                <w:p w14:paraId="41168B0B">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资源开发利用效率</w:t>
                  </w:r>
                </w:p>
              </w:tc>
              <w:tc>
                <w:tcPr>
                  <w:tcW w:w="2782" w:type="pct"/>
                  <w:vAlign w:val="center"/>
                </w:tcPr>
                <w:p w14:paraId="18E0F7DF">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第十五条新建和改造的工业项目的水资源消耗水平应优于《重庆市工业项目环境准入规定》中的准入值及行业平均值，企业水耗应达到先进定额标准。新建和改造的能耗水平应优于《重庆市工业项目环境准入规定》中的准入值及行业平均值，高耗能企业能耗应达到先进定额标准</w:t>
                  </w:r>
                </w:p>
              </w:tc>
              <w:tc>
                <w:tcPr>
                  <w:tcW w:w="1089" w:type="pct"/>
                  <w:vAlign w:val="center"/>
                </w:tcPr>
                <w:p w14:paraId="0991D572">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本项目不属于高水耗、高物耗、高能耗项目</w:t>
                  </w:r>
                </w:p>
              </w:tc>
              <w:tc>
                <w:tcPr>
                  <w:tcW w:w="345" w:type="pct"/>
                  <w:vAlign w:val="center"/>
                </w:tcPr>
                <w:p w14:paraId="3AB62911">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1D68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35" w:type="pct"/>
                  <w:vMerge w:val="restart"/>
                  <w:vAlign w:val="center"/>
                </w:tcPr>
                <w:p w14:paraId="63DE3817">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九龙坡区工业城镇重点管控单元-九龙西城 </w:t>
                  </w:r>
                </w:p>
                <w:p w14:paraId="5F1ABAF9">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片区管控要求（ZH50010720002）</w:t>
                  </w:r>
                </w:p>
              </w:tc>
              <w:tc>
                <w:tcPr>
                  <w:tcW w:w="347" w:type="pct"/>
                  <w:vAlign w:val="center"/>
                </w:tcPr>
                <w:p w14:paraId="1F83BC86">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空间布局约束</w:t>
                  </w:r>
                </w:p>
              </w:tc>
              <w:tc>
                <w:tcPr>
                  <w:tcW w:w="2782" w:type="pct"/>
                  <w:vAlign w:val="center"/>
                </w:tcPr>
                <w:p w14:paraId="1BE420E5">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 xml:space="preserve">1.紧邻现状及规划居住用地、中小学用地等的工业用地后续引入项目时应考虑以污染较轻的项目为主，禁止新建涉及喷漆、酸洗、熔炼等异味较大的生产工艺项目。 </w:t>
                  </w:r>
                </w:p>
                <w:p w14:paraId="19CEBE38">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 xml:space="preserve">2.推动九龙西城新能源、装备制造、新材料等产业往下游延伸；西彭工业园区禁止新建、扩建木质家具制造、报废汽车拆解、平板玻璃制造工业项目。 </w:t>
                  </w:r>
                </w:p>
                <w:p w14:paraId="2B6439B2">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3.重庆奇爽实业（集团）有限公司、红蜻蜓（重庆）植物油脂有限公司、重庆小可食品有限公司、重庆豆奇食品有限公司不再扩大用地规模、不新增污染物排放。</w:t>
                  </w:r>
                </w:p>
              </w:tc>
              <w:tc>
                <w:tcPr>
                  <w:tcW w:w="1089" w:type="pct"/>
                  <w:vAlign w:val="center"/>
                </w:tcPr>
                <w:p w14:paraId="3F0622DA">
                  <w:pPr>
                    <w:snapToGrid w:val="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21"/>
                      <w:highlight w:val="none"/>
                      <w14:textFill>
                        <w14:solidFill>
                          <w14:schemeClr w14:val="tx1"/>
                        </w14:solidFill>
                      </w14:textFill>
                    </w:rPr>
                    <w:t>周边无居住用地，不涉及</w:t>
                  </w:r>
                  <w:r>
                    <w:rPr>
                      <w:rFonts w:ascii="Times New Roman" w:hAnsi="Times New Roman" w:cs="Times New Roman"/>
                      <w:color w:val="000000" w:themeColor="text1"/>
                      <w:highlight w:val="none"/>
                      <w14:textFill>
                        <w14:solidFill>
                          <w14:schemeClr w14:val="tx1"/>
                        </w14:solidFill>
                      </w14:textFill>
                    </w:rPr>
                    <w:t>喷漆、酸洗、熔炼等生产工艺；不属于木质家具制造、报废汽车拆解、平板玻璃制造工业项目；</w:t>
                  </w:r>
                </w:p>
              </w:tc>
              <w:tc>
                <w:tcPr>
                  <w:tcW w:w="345" w:type="pct"/>
                  <w:vAlign w:val="center"/>
                </w:tcPr>
                <w:p w14:paraId="6973E015">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1E52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35" w:type="pct"/>
                  <w:vMerge w:val="continue"/>
                  <w:vAlign w:val="center"/>
                </w:tcPr>
                <w:p w14:paraId="4A091A69">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Align w:val="center"/>
                </w:tcPr>
                <w:p w14:paraId="5A47019D">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污染物排放管控</w:t>
                  </w:r>
                </w:p>
              </w:tc>
              <w:tc>
                <w:tcPr>
                  <w:tcW w:w="2782" w:type="pct"/>
                  <w:vAlign w:val="center"/>
                </w:tcPr>
                <w:p w14:paraId="7115CB35">
                  <w:pPr>
                    <w:pStyle w:val="41"/>
                    <w:numPr>
                      <w:ilvl w:val="0"/>
                      <w:numId w:val="2"/>
                    </w:numPr>
                    <w:jc w:val="both"/>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推动重点行业持续提升低（无）VOCs含量、低反应活性的原辅材料替代比例，推进重点监管企业VOCs综合整治，加强重点排污企业污染治理设施和在线监控建设和运维。 </w:t>
                  </w:r>
                </w:p>
                <w:p w14:paraId="6C21B506">
                  <w:pPr>
                    <w:pStyle w:val="41"/>
                    <w:numPr>
                      <w:ilvl w:val="0"/>
                      <w:numId w:val="2"/>
                    </w:numPr>
                    <w:jc w:val="both"/>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推进西彭工业园区污水处理厂提标扩建工程。 新改建铜罐驿沿江片区、西彭镇和陶家镇等区域污水管网，改造管网错混接点；推进铜罐驿污水处理厂配套管网建设工作。</w:t>
                  </w:r>
                </w:p>
                <w:p w14:paraId="642AA249">
                  <w:pPr>
                    <w:pStyle w:val="41"/>
                    <w:jc w:val="both"/>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 </w:t>
                  </w:r>
                </w:p>
                <w:p w14:paraId="52A0B524">
                  <w:pPr>
                    <w:pStyle w:val="41"/>
                    <w:jc w:val="both"/>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4.加强施工扬尘监管，逐步推进建筑面积2万平方米以上的工地安装在线监控系统。 </w:t>
                  </w:r>
                </w:p>
              </w:tc>
              <w:tc>
                <w:tcPr>
                  <w:tcW w:w="1089" w:type="pct"/>
                  <w:vAlign w:val="center"/>
                </w:tcPr>
                <w:p w14:paraId="7A52121F">
                  <w:pPr>
                    <w:pStyle w:val="41"/>
                    <w:jc w:val="both"/>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本项目位于重庆西彭工业园区西彭组团D标准分区，项目原料</w:t>
                  </w:r>
                  <w:r>
                    <w:rPr>
                      <w:rFonts w:hint="eastAsia" w:ascii="Times New Roman" w:hAnsi="Times New Roman" w:cs="Times New Roman"/>
                      <w:color w:val="000000" w:themeColor="text1"/>
                      <w:szCs w:val="21"/>
                      <w:highlight w:val="none"/>
                      <w14:textFill>
                        <w14:solidFill>
                          <w14:schemeClr w14:val="tx1"/>
                        </w14:solidFill>
                      </w14:textFill>
                    </w:rPr>
                    <w:t>为塑粉，生产过程中会产生少量</w:t>
                  </w:r>
                  <w:r>
                    <w:rPr>
                      <w:rFonts w:ascii="Times New Roman" w:hAnsi="Times New Roman" w:cs="Times New Roman"/>
                      <w:color w:val="000000" w:themeColor="text1"/>
                      <w:szCs w:val="21"/>
                      <w:highlight w:val="none"/>
                      <w14:textFill>
                        <w14:solidFill>
                          <w14:schemeClr w14:val="tx1"/>
                        </w14:solidFill>
                      </w14:textFill>
                    </w:rPr>
                    <w:t>VOCs，</w:t>
                  </w:r>
                  <w:r>
                    <w:rPr>
                      <w:rFonts w:hint="eastAsia" w:ascii="Times New Roman" w:hAnsi="Times New Roman" w:cs="Times New Roman"/>
                      <w:color w:val="000000" w:themeColor="text1"/>
                      <w:szCs w:val="21"/>
                      <w:highlight w:val="none"/>
                      <w14:textFill>
                        <w14:solidFill>
                          <w14:schemeClr w14:val="tx1"/>
                        </w14:solidFill>
                      </w14:textFill>
                    </w:rPr>
                    <w:t>采取“干式过滤+</w:t>
                  </w:r>
                  <w:r>
                    <w:rPr>
                      <w:rFonts w:hint="eastAsia" w:ascii="Times New Roman" w:hAnsi="Times New Roman" w:cs="Times New Roman"/>
                      <w:color w:val="000000" w:themeColor="text1"/>
                      <w:szCs w:val="21"/>
                      <w:highlight w:val="none"/>
                      <w:lang w:eastAsia="zh-CN"/>
                      <w14:textFill>
                        <w14:solidFill>
                          <w14:schemeClr w14:val="tx1"/>
                        </w14:solidFill>
                      </w14:textFill>
                    </w:rPr>
                    <w:t>两级</w:t>
                  </w:r>
                  <w:r>
                    <w:rPr>
                      <w:rFonts w:hint="eastAsia" w:ascii="Times New Roman" w:hAnsi="Times New Roman" w:cs="Times New Roman"/>
                      <w:color w:val="000000" w:themeColor="text1"/>
                      <w:szCs w:val="21"/>
                      <w:highlight w:val="none"/>
                      <w14:textFill>
                        <w14:solidFill>
                          <w14:schemeClr w14:val="tx1"/>
                        </w14:solidFill>
                      </w14:textFill>
                    </w:rPr>
                    <w:t>活性炭”装置处置后有组织排放；</w:t>
                  </w:r>
                  <w:r>
                    <w:rPr>
                      <w:rFonts w:ascii="Times New Roman" w:hAnsi="Times New Roman" w:cs="Times New Roman"/>
                      <w:color w:val="000000" w:themeColor="text1"/>
                      <w:szCs w:val="21"/>
                      <w:highlight w:val="none"/>
                      <w14:textFill>
                        <w14:solidFill>
                          <w14:schemeClr w14:val="tx1"/>
                        </w14:solidFill>
                      </w14:textFill>
                    </w:rPr>
                    <w:t>污水依托</w:t>
                  </w:r>
                  <w:r>
                    <w:rPr>
                      <w:rFonts w:hint="eastAsia" w:ascii="Times New Roman" w:hAnsi="Times New Roman" w:cs="Times New Roman"/>
                      <w:color w:val="000000" w:themeColor="text1"/>
                      <w:szCs w:val="21"/>
                      <w:highlight w:val="none"/>
                      <w14:textFill>
                        <w14:solidFill>
                          <w14:schemeClr w14:val="tx1"/>
                        </w14:solidFill>
                      </w14:textFill>
                    </w:rPr>
                    <w:t>坤坤农业公司</w:t>
                  </w:r>
                  <w:r>
                    <w:rPr>
                      <w:rFonts w:ascii="Times New Roman" w:hAnsi="Times New Roman" w:cs="Times New Roman"/>
                      <w:color w:val="000000" w:themeColor="text1"/>
                      <w:szCs w:val="21"/>
                      <w:highlight w:val="none"/>
                      <w14:textFill>
                        <w14:solidFill>
                          <w14:schemeClr w14:val="tx1"/>
                        </w14:solidFill>
                      </w14:textFill>
                    </w:rPr>
                    <w:t>已建生化池处理达标后排入园区管网，进入西彭工业园区污水处理厂处理。</w:t>
                  </w:r>
                </w:p>
              </w:tc>
              <w:tc>
                <w:tcPr>
                  <w:tcW w:w="345" w:type="pct"/>
                  <w:vAlign w:val="center"/>
                </w:tcPr>
                <w:p w14:paraId="398E2C9E">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44A3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35" w:type="pct"/>
                  <w:vMerge w:val="continue"/>
                  <w:vAlign w:val="center"/>
                </w:tcPr>
                <w:p w14:paraId="5DDAD455">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Align w:val="center"/>
                </w:tcPr>
                <w:p w14:paraId="2F10A31C">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环境风险防控</w:t>
                  </w:r>
                </w:p>
              </w:tc>
              <w:tc>
                <w:tcPr>
                  <w:tcW w:w="2782" w:type="pct"/>
                  <w:vAlign w:val="center"/>
                </w:tcPr>
                <w:p w14:paraId="2C4E4808">
                  <w:pPr>
                    <w:numPr>
                      <w:ilvl w:val="0"/>
                      <w:numId w:val="3"/>
                    </w:num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西彭组团和铜罐驿组团沿江1km范围内规划仓储用地禁止新引入从事危险化学品储存、运输的仓储物流项目。 </w:t>
                  </w:r>
                </w:p>
                <w:p w14:paraId="522E3319">
                  <w:pPr>
                    <w:numPr>
                      <w:ilvl w:val="0"/>
                      <w:numId w:val="3"/>
                    </w:num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禁止新建、扩建化工项目。 </w:t>
                  </w:r>
                </w:p>
                <w:p w14:paraId="516B17E7">
                  <w:pPr>
                    <w:numPr>
                      <w:ilvl w:val="0"/>
                      <w:numId w:val="3"/>
                    </w:num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推进铜罐驿组团金竹沟闸坝的修建。 </w:t>
                  </w:r>
                </w:p>
                <w:p w14:paraId="1480E03F">
                  <w:pPr>
                    <w:numPr>
                      <w:ilvl w:val="0"/>
                      <w:numId w:val="3"/>
                    </w:num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西彭工业园区应与下游饮用水水源取水口运营单位建立水源地突发环境事件应急联动机制。 </w:t>
                  </w:r>
                </w:p>
                <w:p w14:paraId="2F2796DF">
                  <w:pPr>
                    <w:numPr>
                      <w:ilvl w:val="0"/>
                      <w:numId w:val="3"/>
                    </w:num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禁止新建、扩建排放废水含有五类重金属（铬、镉、汞、砷、铅）、剧毒物质和持久性有机污染物的工业项目。 </w:t>
                  </w:r>
                </w:p>
              </w:tc>
              <w:tc>
                <w:tcPr>
                  <w:tcW w:w="1089" w:type="pct"/>
                  <w:vAlign w:val="center"/>
                </w:tcPr>
                <w:p w14:paraId="1CD3B584">
                  <w:pP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本项目位于重庆西彭工业园区西彭组团D标准分区，不涉及新建危化品储存、运输的仓储物流项目，不属于化工项目，不属于排放重金属、剧毒物质和持久性有机污染物的工业项目。</w:t>
                  </w:r>
                </w:p>
              </w:tc>
              <w:tc>
                <w:tcPr>
                  <w:tcW w:w="345" w:type="pct"/>
                  <w:vAlign w:val="center"/>
                </w:tcPr>
                <w:p w14:paraId="00E74DE4">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FA8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5" w:type="pct"/>
                  <w:vMerge w:val="continue"/>
                  <w:vAlign w:val="center"/>
                </w:tcPr>
                <w:p w14:paraId="5D2895C4">
                  <w:pPr>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47" w:type="pct"/>
                  <w:vAlign w:val="center"/>
                </w:tcPr>
                <w:p w14:paraId="79066474">
                  <w:pPr>
                    <w:snapToGrid w:val="0"/>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资源开发效率要求</w:t>
                  </w:r>
                </w:p>
              </w:tc>
              <w:tc>
                <w:tcPr>
                  <w:tcW w:w="2782" w:type="pct"/>
                  <w:vAlign w:val="center"/>
                </w:tcPr>
                <w:p w14:paraId="0548B7B2">
                  <w:pPr>
                    <w:pStyle w:val="41"/>
                    <w:numPr>
                      <w:ilvl w:val="0"/>
                      <w:numId w:val="4"/>
                    </w:numPr>
                    <w:jc w:val="both"/>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禁止新建、扩建燃用煤、重油等高污染燃料的工业项目，重庆和友实业股份有限公司不再新增燃煤总量。 </w:t>
                  </w:r>
                </w:p>
                <w:p w14:paraId="51BBDD63">
                  <w:pPr>
                    <w:pStyle w:val="41"/>
                    <w:numPr>
                      <w:ilvl w:val="0"/>
                      <w:numId w:val="4"/>
                    </w:numPr>
                    <w:jc w:val="both"/>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新建和改、扩建的工业项目清洁生产水平应达到国内先进水平。 </w:t>
                  </w:r>
                </w:p>
                <w:p w14:paraId="2F2901DF">
                  <w:pPr>
                    <w:pStyle w:val="41"/>
                    <w:numPr>
                      <w:ilvl w:val="0"/>
                      <w:numId w:val="4"/>
                    </w:numPr>
                    <w:jc w:val="both"/>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提高有色金属冶炼及压延加工业、化学原料及化学制品制造业和汽车制造业等工业企业的节能水平，降低区域的能耗强度。加强重点行业能效管理，升级工艺技术，提高用能设备能效水平。 </w:t>
                  </w:r>
                </w:p>
                <w:p w14:paraId="533998DC">
                  <w:pPr>
                    <w:pStyle w:val="41"/>
                    <w:numPr>
                      <w:ilvl w:val="0"/>
                      <w:numId w:val="4"/>
                    </w:numPr>
                    <w:jc w:val="both"/>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 xml:space="preserve">加强工业节水改造，限制高耗水行业发展，加强重点监控用水单位监管。加强城镇节水，开展公共建筑节水改造、城镇供水管网漏损治理工程。 </w:t>
                  </w:r>
                </w:p>
              </w:tc>
              <w:tc>
                <w:tcPr>
                  <w:tcW w:w="1089" w:type="pct"/>
                  <w:vAlign w:val="center"/>
                </w:tcPr>
                <w:p w14:paraId="63AA0962">
                  <w:pPr>
                    <w:pStyle w:val="41"/>
                    <w:jc w:val="both"/>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项目不属于燃用高污染燃料的工业项目，项目清洁生产水平达国内先进水平，本项目水资源消耗水平低，符合相关规定要求</w:t>
                  </w:r>
                </w:p>
              </w:tc>
              <w:tc>
                <w:tcPr>
                  <w:tcW w:w="345" w:type="pct"/>
                  <w:vAlign w:val="center"/>
                </w:tcPr>
                <w:p w14:paraId="0D36F029">
                  <w:pPr>
                    <w:pStyle w:val="41"/>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bl>
          <w:p w14:paraId="3F5B3365">
            <w:pPr>
              <w:spacing w:line="360" w:lineRule="auto"/>
              <w:ind w:firstLine="480" w:firstLineChars="200"/>
              <w:jc w:val="left"/>
              <w:rPr>
                <w:color w:val="000000" w:themeColor="text1"/>
                <w:sz w:val="24"/>
                <w:szCs w:val="36"/>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根据表1.</w:t>
            </w:r>
            <w:r>
              <w:rPr>
                <w:rFonts w:hint="eastAsia" w:ascii="Times New Roman" w:hAnsi="Times New Roman" w:cs="Times New Roman"/>
                <w:color w:val="000000" w:themeColor="text1"/>
                <w:sz w:val="24"/>
                <w:highlight w:val="none"/>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-1分析可知，本项目符合“三线一单”的管控要求。</w:t>
            </w:r>
          </w:p>
        </w:tc>
      </w:tr>
    </w:tbl>
    <w:p w14:paraId="3C7CE400">
      <w:pPr>
        <w:pStyle w:val="32"/>
        <w:rPr>
          <w:rFonts w:hint="eastAsia"/>
          <w:color w:val="000000" w:themeColor="text1"/>
          <w:highlight w:val="none"/>
          <w14:textFill>
            <w14:solidFill>
              <w14:schemeClr w14:val="tx1"/>
            </w14:solidFill>
          </w14:textFill>
        </w:rPr>
        <w:sectPr>
          <w:pgSz w:w="16838" w:h="11906" w:orient="landscape"/>
          <w:pgMar w:top="1514" w:right="1440" w:bottom="1344" w:left="1440" w:header="851" w:footer="992" w:gutter="0"/>
          <w:pgNumType w:fmt="numberInDash" w:start="1"/>
          <w:cols w:space="0" w:num="1"/>
          <w:docGrid w:type="lines" w:linePitch="312" w:charSpace="0"/>
        </w:sectPr>
      </w:pPr>
    </w:p>
    <w:p w14:paraId="1E43AB85">
      <w:pPr>
        <w:pStyle w:val="6"/>
        <w:rPr>
          <w:color w:val="000000" w:themeColor="text1"/>
          <w:highlight w:val="none"/>
          <w14:textFill>
            <w14:solidFill>
              <w14:schemeClr w14:val="tx1"/>
            </w14:solidFill>
          </w14:textFill>
        </w:rPr>
      </w:pPr>
    </w:p>
    <w:tbl>
      <w:tblPr>
        <w:tblStyle w:val="27"/>
        <w:tblW w:w="50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79"/>
        <w:gridCol w:w="8187"/>
      </w:tblGrid>
      <w:tr w14:paraId="591E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82" w:type="pct"/>
            <w:vAlign w:val="center"/>
          </w:tcPr>
          <w:p w14:paraId="2517C6CA">
            <w:pPr>
              <w:spacing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其他符合性分析</w:t>
            </w:r>
          </w:p>
        </w:tc>
        <w:tc>
          <w:tcPr>
            <w:tcW w:w="4417" w:type="pct"/>
            <w:tcBorders>
              <w:bottom w:val="single" w:color="auto" w:sz="4" w:space="0"/>
            </w:tcBorders>
            <w:vAlign w:val="center"/>
          </w:tcPr>
          <w:p w14:paraId="1C31F313">
            <w:pPr>
              <w:spacing w:before="24" w:beforeLines="8" w:after="24" w:afterLines="8"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1.2.2、产业政策符合性分析</w:t>
            </w:r>
          </w:p>
          <w:p w14:paraId="4346E284">
            <w:pPr>
              <w:spacing w:before="24" w:beforeLines="8" w:after="24" w:afterLines="8" w:line="360"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1）与《产业结构调整指导目录（2024年本）》符合性</w:t>
            </w:r>
          </w:p>
          <w:p w14:paraId="116CA7CA">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主要从事摩托车钢圈表面抛丸、喷粉、固化加工，不属于《产业结构调整指导目录（2024年本）》中的鼓励类、限制类和淘汰类建设项目，根据《促进产业结构调整暂行规定》，不属于鼓励类、限制类和淘汰类，且符合国家有关法律、法规和政策规定的，视为允许类。因此，本项目的建设符合国家产业政策。</w:t>
            </w:r>
          </w:p>
          <w:p w14:paraId="106DAEF3">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本项目已取得九龙坡区发展和改革委员会下发的“重庆市企业投资项目备案证”（项目编码：</w:t>
            </w:r>
            <w:r>
              <w:rPr>
                <w:rFonts w:ascii="Times New Roman" w:hAnsi="Times New Roman" w:cs="Times New Roman"/>
                <w:color w:val="000000" w:themeColor="text1"/>
                <w:sz w:val="24"/>
                <w:szCs w:val="36"/>
                <w:highlight w:val="none"/>
                <w:u w:val="single"/>
                <w14:textFill>
                  <w14:solidFill>
                    <w14:schemeClr w14:val="tx1"/>
                  </w14:solidFill>
                </w14:textFill>
              </w:rPr>
              <w:t>2</w:t>
            </w:r>
            <w:r>
              <w:rPr>
                <w:rFonts w:hint="eastAsia" w:ascii="Times New Roman" w:hAnsi="Times New Roman" w:cs="Times New Roman"/>
                <w:color w:val="000000" w:themeColor="text1"/>
                <w:sz w:val="24"/>
                <w:szCs w:val="36"/>
                <w:highlight w:val="none"/>
                <w:u w:val="single"/>
                <w14:textFill>
                  <w14:solidFill>
                    <w14:schemeClr w14:val="tx1"/>
                  </w14:solidFill>
                </w14:textFill>
              </w:rPr>
              <w:t>507</w:t>
            </w:r>
            <w:r>
              <w:rPr>
                <w:rFonts w:ascii="Times New Roman" w:hAnsi="Times New Roman" w:cs="Times New Roman"/>
                <w:color w:val="000000" w:themeColor="text1"/>
                <w:sz w:val="24"/>
                <w:szCs w:val="36"/>
                <w:highlight w:val="none"/>
                <w:u w:val="single"/>
                <w14:textFill>
                  <w14:solidFill>
                    <w14:schemeClr w14:val="tx1"/>
                  </w14:solidFill>
                </w14:textFill>
              </w:rPr>
              <w:t>-500107-04-05-6</w:t>
            </w:r>
            <w:r>
              <w:rPr>
                <w:rFonts w:hint="eastAsia" w:ascii="Times New Roman" w:hAnsi="Times New Roman" w:cs="Times New Roman"/>
                <w:color w:val="000000" w:themeColor="text1"/>
                <w:sz w:val="24"/>
                <w:szCs w:val="36"/>
                <w:highlight w:val="none"/>
                <w:u w:val="single"/>
                <w14:textFill>
                  <w14:solidFill>
                    <w14:schemeClr w14:val="tx1"/>
                  </w14:solidFill>
                </w14:textFill>
              </w:rPr>
              <w:t>36085</w:t>
            </w:r>
            <w:r>
              <w:rPr>
                <w:rFonts w:hint="eastAsia" w:ascii="Times New Roman" w:hAnsi="Times New Roman" w:eastAsia="宋体"/>
                <w:color w:val="000000" w:themeColor="text1"/>
                <w:sz w:val="24"/>
                <w:highlight w:val="none"/>
                <w14:textFill>
                  <w14:solidFill>
                    <w14:schemeClr w14:val="tx1"/>
                  </w14:solidFill>
                </w14:textFill>
              </w:rPr>
              <w:t>）。</w:t>
            </w:r>
          </w:p>
          <w:p w14:paraId="5ADD6D74">
            <w:pPr>
              <w:spacing w:before="24" w:beforeLines="8" w:after="24" w:afterLines="8"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1.2.3与相关生态环境保护法律法规政策、生态环境保护规划等的符合性分析</w:t>
            </w:r>
          </w:p>
          <w:p w14:paraId="7BBCD86C">
            <w:pPr>
              <w:spacing w:line="360" w:lineRule="auto"/>
              <w:ind w:firstLine="482" w:firstLineChars="200"/>
              <w:rPr>
                <w:rFonts w:ascii="Times New Roman" w:hAnsi="Times New Roman" w:cs="Times New Roman"/>
                <w:b/>
                <w:color w:val="000000" w:themeColor="text1"/>
                <w:sz w:val="24"/>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1）与《重庆市产业投资准入工作手册》（渝发改投资[2022]1436号）符合性分析</w:t>
            </w:r>
          </w:p>
          <w:p w14:paraId="16C7ACE9">
            <w:pPr>
              <w:pStyle w:val="42"/>
              <w:ind w:firstLine="0" w:firstLineChars="0"/>
              <w:jc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表1.</w:t>
            </w:r>
            <w:r>
              <w:rPr>
                <w:rFonts w:hint="eastAsia" w:ascii="Times New Roman" w:hAnsi="Times New Roman" w:cs="Times New Roman"/>
                <w:b/>
                <w:color w:val="000000" w:themeColor="text1"/>
                <w:szCs w:val="21"/>
                <w:highlight w:val="none"/>
                <w14:textFill>
                  <w14:solidFill>
                    <w14:schemeClr w14:val="tx1"/>
                  </w14:solidFill>
                </w14:textFill>
              </w:rPr>
              <w:t>2</w:t>
            </w:r>
            <w:r>
              <w:rPr>
                <w:rFonts w:ascii="Times New Roman" w:hAnsi="Times New Roman" w:cs="Times New Roman"/>
                <w:b/>
                <w:color w:val="000000" w:themeColor="text1"/>
                <w:szCs w:val="21"/>
                <w:highlight w:val="none"/>
                <w14:textFill>
                  <w14:solidFill>
                    <w14:schemeClr w14:val="tx1"/>
                  </w14:solidFill>
                </w14:textFill>
              </w:rPr>
              <w:t>-2  与重庆市产业投资准入工作手册符合性分析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3669"/>
              <w:gridCol w:w="2893"/>
              <w:gridCol w:w="803"/>
            </w:tblGrid>
            <w:tr w14:paraId="7671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5411BEC">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序号</w:t>
                  </w:r>
                </w:p>
              </w:tc>
              <w:tc>
                <w:tcPr>
                  <w:tcW w:w="2275" w:type="pct"/>
                  <w:vAlign w:val="center"/>
                </w:tcPr>
                <w:p w14:paraId="2DD8E5D5">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36"/>
                      <w:highlight w:val="none"/>
                      <w14:textFill>
                        <w14:solidFill>
                          <w14:schemeClr w14:val="tx1"/>
                        </w14:solidFill>
                      </w14:textFill>
                    </w:rPr>
                    <w:t>渝发改投资[2022]1436号中</w:t>
                  </w:r>
                  <w:r>
                    <w:rPr>
                      <w:rFonts w:ascii="Times New Roman" w:hAnsi="Times New Roman" w:cs="Times New Roman"/>
                      <w:color w:val="000000" w:themeColor="text1"/>
                      <w:sz w:val="21"/>
                      <w:highlight w:val="none"/>
                      <w14:textFill>
                        <w14:solidFill>
                          <w14:schemeClr w14:val="tx1"/>
                        </w14:solidFill>
                      </w14:textFill>
                    </w:rPr>
                    <w:t>相关规定</w:t>
                  </w:r>
                </w:p>
              </w:tc>
              <w:tc>
                <w:tcPr>
                  <w:tcW w:w="1794" w:type="pct"/>
                  <w:vAlign w:val="center"/>
                </w:tcPr>
                <w:p w14:paraId="74F5DF96">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项目情况</w:t>
                  </w:r>
                </w:p>
              </w:tc>
              <w:tc>
                <w:tcPr>
                  <w:tcW w:w="498" w:type="pct"/>
                  <w:vAlign w:val="center"/>
                </w:tcPr>
                <w:p w14:paraId="178F7B13">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符合性</w:t>
                  </w:r>
                </w:p>
              </w:tc>
            </w:tr>
            <w:tr w14:paraId="6474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73782D75">
                  <w:pPr>
                    <w:pStyle w:val="42"/>
                    <w:spacing w:line="240" w:lineRule="auto"/>
                    <w:ind w:firstLine="0" w:firstLineChars="0"/>
                    <w:jc w:val="center"/>
                    <w:rPr>
                      <w:rFonts w:ascii="Times New Roman" w:hAnsi="Times New Roman" w:cs="Times New Roman"/>
                      <w:b/>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highlight w:val="none"/>
                      <w14:textFill>
                        <w14:solidFill>
                          <w14:schemeClr w14:val="tx1"/>
                        </w14:solidFill>
                      </w14:textFill>
                    </w:rPr>
                    <w:t>（</w:t>
                  </w:r>
                  <w:r>
                    <w:rPr>
                      <w:rFonts w:ascii="Times New Roman" w:hAnsi="Times New Roman" w:cs="Times New Roman"/>
                      <w:b/>
                      <w:color w:val="000000" w:themeColor="text1"/>
                      <w:sz w:val="21"/>
                      <w:szCs w:val="21"/>
                      <w:highlight w:val="none"/>
                      <w14:textFill>
                        <w14:solidFill>
                          <w14:schemeClr w14:val="tx1"/>
                        </w14:solidFill>
                      </w14:textFill>
                    </w:rPr>
                    <w:t>一</w:t>
                  </w:r>
                  <w:r>
                    <w:rPr>
                      <w:rFonts w:ascii="Times New Roman" w:hAnsi="Times New Roman" w:cs="Times New Roman"/>
                      <w:b/>
                      <w:color w:val="000000" w:themeColor="text1"/>
                      <w:sz w:val="21"/>
                      <w:highlight w:val="none"/>
                      <w14:textFill>
                        <w14:solidFill>
                          <w14:schemeClr w14:val="tx1"/>
                        </w14:solidFill>
                      </w14:textFill>
                    </w:rPr>
                    <w:t>）全市范围内不予准入的产业</w:t>
                  </w:r>
                </w:p>
              </w:tc>
            </w:tr>
            <w:tr w14:paraId="317F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6F54D8EB">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w:t>
                  </w:r>
                </w:p>
              </w:tc>
              <w:tc>
                <w:tcPr>
                  <w:tcW w:w="2275" w:type="pct"/>
                  <w:vAlign w:val="center"/>
                </w:tcPr>
                <w:p w14:paraId="251298B9">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国家产业结构调整指导目录中的淘汰类项目</w:t>
                  </w:r>
                </w:p>
              </w:tc>
              <w:tc>
                <w:tcPr>
                  <w:tcW w:w="1794" w:type="pct"/>
                  <w:vAlign w:val="center"/>
                </w:tcPr>
                <w:p w14:paraId="5579B3AB">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w:t>
                  </w:r>
                  <w:r>
                    <w:rPr>
                      <w:rFonts w:ascii="Times New Roman" w:hAnsi="Times New Roman" w:cs="Times New Roman"/>
                      <w:color w:val="000000" w:themeColor="text1"/>
                      <w:sz w:val="21"/>
                      <w:highlight w:val="none"/>
                      <w14:textFill>
                        <w14:solidFill>
                          <w14:schemeClr w14:val="tx1"/>
                        </w14:solidFill>
                      </w14:textFill>
                    </w:rPr>
                    <w:t>不属于淘汰类项目</w:t>
                  </w:r>
                </w:p>
              </w:tc>
              <w:tc>
                <w:tcPr>
                  <w:tcW w:w="498" w:type="pct"/>
                  <w:vAlign w:val="center"/>
                </w:tcPr>
                <w:p w14:paraId="38EE8562">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697B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E11D393">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2</w:t>
                  </w:r>
                </w:p>
              </w:tc>
              <w:tc>
                <w:tcPr>
                  <w:tcW w:w="2275" w:type="pct"/>
                  <w:vAlign w:val="center"/>
                </w:tcPr>
                <w:p w14:paraId="5CEE6C5E">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天然林商业性采伐</w:t>
                  </w:r>
                </w:p>
              </w:tc>
              <w:tc>
                <w:tcPr>
                  <w:tcW w:w="1794" w:type="pct"/>
                  <w:vAlign w:val="center"/>
                </w:tcPr>
                <w:p w14:paraId="41C0344E">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本项目不涉及</w:t>
                  </w:r>
                  <w:r>
                    <w:rPr>
                      <w:rFonts w:ascii="Times New Roman" w:hAnsi="Times New Roman" w:cs="Times New Roman"/>
                      <w:color w:val="000000" w:themeColor="text1"/>
                      <w:sz w:val="21"/>
                      <w:highlight w:val="none"/>
                      <w14:textFill>
                        <w14:solidFill>
                          <w14:schemeClr w14:val="tx1"/>
                        </w14:solidFill>
                      </w14:textFill>
                    </w:rPr>
                    <w:t>天然林采伐</w:t>
                  </w:r>
                </w:p>
              </w:tc>
              <w:tc>
                <w:tcPr>
                  <w:tcW w:w="498" w:type="pct"/>
                  <w:vAlign w:val="center"/>
                </w:tcPr>
                <w:p w14:paraId="05A36C3B">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1B92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4CE9860C">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3</w:t>
                  </w:r>
                </w:p>
              </w:tc>
              <w:tc>
                <w:tcPr>
                  <w:tcW w:w="2275" w:type="pct"/>
                  <w:vAlign w:val="center"/>
                </w:tcPr>
                <w:p w14:paraId="35C86535">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法律法规和相关政策明令不予准入的其他项目</w:t>
                  </w:r>
                </w:p>
              </w:tc>
              <w:tc>
                <w:tcPr>
                  <w:tcW w:w="1794" w:type="pct"/>
                  <w:vAlign w:val="center"/>
                </w:tcPr>
                <w:p w14:paraId="63DF7CD7">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本项目不属于</w:t>
                  </w:r>
                  <w:r>
                    <w:rPr>
                      <w:rFonts w:ascii="Times New Roman" w:hAnsi="Times New Roman" w:cs="Times New Roman"/>
                      <w:color w:val="000000" w:themeColor="text1"/>
                      <w:sz w:val="21"/>
                      <w:highlight w:val="none"/>
                      <w14:textFill>
                        <w14:solidFill>
                          <w14:schemeClr w14:val="tx1"/>
                        </w14:solidFill>
                      </w14:textFill>
                    </w:rPr>
                    <w:t>法律法规和相关政策明令不予准入的项目</w:t>
                  </w:r>
                </w:p>
              </w:tc>
              <w:tc>
                <w:tcPr>
                  <w:tcW w:w="498" w:type="pct"/>
                  <w:vAlign w:val="center"/>
                </w:tcPr>
                <w:p w14:paraId="0FC5351A">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25FE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6B408A18">
                  <w:pPr>
                    <w:pStyle w:val="42"/>
                    <w:spacing w:line="240" w:lineRule="auto"/>
                    <w:ind w:firstLine="0" w:firstLineChars="0"/>
                    <w:jc w:val="center"/>
                    <w:rPr>
                      <w:rFonts w:ascii="Times New Roman" w:hAnsi="Times New Roman" w:cs="Times New Roman"/>
                      <w:b/>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highlight w:val="none"/>
                      <w14:textFill>
                        <w14:solidFill>
                          <w14:schemeClr w14:val="tx1"/>
                        </w14:solidFill>
                      </w14:textFill>
                    </w:rPr>
                    <w:t>（</w:t>
                  </w:r>
                  <w:r>
                    <w:rPr>
                      <w:rFonts w:ascii="Times New Roman" w:hAnsi="Times New Roman" w:cs="Times New Roman"/>
                      <w:b/>
                      <w:color w:val="000000" w:themeColor="text1"/>
                      <w:sz w:val="21"/>
                      <w:szCs w:val="21"/>
                      <w:highlight w:val="none"/>
                      <w14:textFill>
                        <w14:solidFill>
                          <w14:schemeClr w14:val="tx1"/>
                        </w14:solidFill>
                      </w14:textFill>
                    </w:rPr>
                    <w:t>二</w:t>
                  </w:r>
                  <w:r>
                    <w:rPr>
                      <w:rFonts w:ascii="Times New Roman" w:hAnsi="Times New Roman" w:cs="Times New Roman"/>
                      <w:b/>
                      <w:color w:val="000000" w:themeColor="text1"/>
                      <w:sz w:val="21"/>
                      <w:highlight w:val="none"/>
                      <w14:textFill>
                        <w14:solidFill>
                          <w14:schemeClr w14:val="tx1"/>
                        </w14:solidFill>
                      </w14:textFill>
                    </w:rPr>
                    <w:t>）重点区域不予准入的产业</w:t>
                  </w:r>
                </w:p>
              </w:tc>
            </w:tr>
            <w:tr w14:paraId="502B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36B2145D">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w:t>
                  </w:r>
                </w:p>
              </w:tc>
              <w:tc>
                <w:tcPr>
                  <w:tcW w:w="2275" w:type="pct"/>
                  <w:vAlign w:val="center"/>
                </w:tcPr>
                <w:p w14:paraId="68C40801">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0"/>
                      <w:highlight w:val="none"/>
                      <w:shd w:val="clear" w:color="auto" w:fill="FFFFFF"/>
                      <w14:textFill>
                        <w14:solidFill>
                          <w14:schemeClr w14:val="tx1"/>
                        </w14:solidFill>
                      </w14:textFill>
                    </w:rPr>
                    <w:t>外环绕城高速公路以内长江、嘉陵江水域采砂</w:t>
                  </w:r>
                </w:p>
              </w:tc>
              <w:tc>
                <w:tcPr>
                  <w:tcW w:w="1794" w:type="pct"/>
                  <w:vAlign w:val="center"/>
                </w:tcPr>
                <w:p w14:paraId="4373EE7F">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本项目位于重庆西彭工业园区西彭组团D标准分区，不属于</w:t>
                  </w:r>
                  <w:r>
                    <w:rPr>
                      <w:rFonts w:ascii="Times New Roman" w:hAnsi="Times New Roman" w:cs="Times New Roman"/>
                      <w:color w:val="000000" w:themeColor="text1"/>
                      <w:sz w:val="21"/>
                      <w:szCs w:val="20"/>
                      <w:highlight w:val="none"/>
                      <w:shd w:val="clear" w:color="auto" w:fill="FFFFFF"/>
                      <w14:textFill>
                        <w14:solidFill>
                          <w14:schemeClr w14:val="tx1"/>
                        </w14:solidFill>
                      </w14:textFill>
                    </w:rPr>
                    <w:t>采砂项目</w:t>
                  </w:r>
                </w:p>
              </w:tc>
              <w:tc>
                <w:tcPr>
                  <w:tcW w:w="498" w:type="pct"/>
                  <w:vAlign w:val="center"/>
                </w:tcPr>
                <w:p w14:paraId="519159B3">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363F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CBFB5A7">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2</w:t>
                  </w:r>
                </w:p>
              </w:tc>
              <w:tc>
                <w:tcPr>
                  <w:tcW w:w="2275" w:type="pct"/>
                  <w:vAlign w:val="center"/>
                </w:tcPr>
                <w:p w14:paraId="01A87827">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0"/>
                      <w:highlight w:val="none"/>
                      <w:shd w:val="clear" w:color="auto" w:fill="FFFFFF"/>
                      <w14:textFill>
                        <w14:solidFill>
                          <w14:schemeClr w14:val="tx1"/>
                        </w14:solidFill>
                      </w14:textFill>
                    </w:rPr>
                    <w:t>二十五度以上陡坡地开垦种植农作物</w:t>
                  </w:r>
                </w:p>
              </w:tc>
              <w:tc>
                <w:tcPr>
                  <w:tcW w:w="1794" w:type="pct"/>
                  <w:vAlign w:val="center"/>
                </w:tcPr>
                <w:p w14:paraId="3716114A">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不属于</w:t>
                  </w:r>
                  <w:r>
                    <w:rPr>
                      <w:rFonts w:ascii="Times New Roman" w:hAnsi="Times New Roman" w:cs="Times New Roman"/>
                      <w:color w:val="000000" w:themeColor="text1"/>
                      <w:sz w:val="21"/>
                      <w:szCs w:val="20"/>
                      <w:highlight w:val="none"/>
                      <w:shd w:val="clear" w:color="auto" w:fill="FFFFFF"/>
                      <w14:textFill>
                        <w14:solidFill>
                          <w14:schemeClr w14:val="tx1"/>
                        </w14:solidFill>
                      </w14:textFill>
                    </w:rPr>
                    <w:t>开垦种植农作物</w:t>
                  </w:r>
                </w:p>
              </w:tc>
              <w:tc>
                <w:tcPr>
                  <w:tcW w:w="498" w:type="pct"/>
                  <w:vAlign w:val="center"/>
                </w:tcPr>
                <w:p w14:paraId="64A2024C">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625E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2C22E05C">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3</w:t>
                  </w:r>
                </w:p>
              </w:tc>
              <w:tc>
                <w:tcPr>
                  <w:tcW w:w="2275" w:type="pct"/>
                  <w:vAlign w:val="center"/>
                </w:tcPr>
                <w:p w14:paraId="5105F746">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0"/>
                      <w:highlight w:val="none"/>
                      <w:shd w:val="clear" w:color="auto" w:fill="FFFFFF"/>
                      <w14:textFill>
                        <w14:solidFill>
                          <w14:schemeClr w14:val="tx1"/>
                        </w14:solidFill>
                      </w14:textFill>
                    </w:rPr>
                    <w:t>在自然保护区核心区、缓冲区的岸线和河段范围内投资建设旅游和生产经营项目</w:t>
                  </w:r>
                </w:p>
              </w:tc>
              <w:tc>
                <w:tcPr>
                  <w:tcW w:w="1794" w:type="pct"/>
                  <w:vAlign w:val="center"/>
                </w:tcPr>
                <w:p w14:paraId="6CEC07B4">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本项目位于重庆西彭工业园区西彭组团D标准分区，不在该范围内，且不属于</w:t>
                  </w:r>
                  <w:r>
                    <w:rPr>
                      <w:rFonts w:ascii="Times New Roman" w:hAnsi="Times New Roman" w:cs="Times New Roman"/>
                      <w:color w:val="000000" w:themeColor="text1"/>
                      <w:sz w:val="21"/>
                      <w:szCs w:val="20"/>
                      <w:highlight w:val="none"/>
                      <w:shd w:val="clear" w:color="auto" w:fill="FFFFFF"/>
                      <w14:textFill>
                        <w14:solidFill>
                          <w14:schemeClr w14:val="tx1"/>
                        </w14:solidFill>
                      </w14:textFill>
                    </w:rPr>
                    <w:t>旅游和生产经营项目</w:t>
                  </w:r>
                </w:p>
              </w:tc>
              <w:tc>
                <w:tcPr>
                  <w:tcW w:w="498" w:type="pct"/>
                  <w:vAlign w:val="center"/>
                </w:tcPr>
                <w:p w14:paraId="35F064F9">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4334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5EE9323A">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4</w:t>
                  </w:r>
                </w:p>
              </w:tc>
              <w:tc>
                <w:tcPr>
                  <w:tcW w:w="2275" w:type="pct"/>
                  <w:vAlign w:val="center"/>
                </w:tcPr>
                <w:p w14:paraId="3338C6E5">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0"/>
                      <w:highlight w:val="none"/>
                      <w:shd w:val="clear" w:color="auto" w:fill="FFFFFF"/>
                      <w14:textFill>
                        <w14:solidFill>
                          <w14:schemeClr w14:val="tx1"/>
                        </w14:solidFill>
                      </w14:textFill>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794" w:type="pct"/>
                  <w:vAlign w:val="center"/>
                </w:tcPr>
                <w:p w14:paraId="24330148">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本项目位于重庆西彭工业园区西彭组团D标准分区，不涉及</w:t>
                  </w:r>
                  <w:r>
                    <w:rPr>
                      <w:rFonts w:ascii="Times New Roman" w:hAnsi="Times New Roman" w:cs="Times New Roman"/>
                      <w:color w:val="000000" w:themeColor="text1"/>
                      <w:sz w:val="21"/>
                      <w:szCs w:val="20"/>
                      <w:highlight w:val="none"/>
                      <w:shd w:val="clear" w:color="auto" w:fill="FFFFFF"/>
                      <w14:textFill>
                        <w14:solidFill>
                          <w14:schemeClr w14:val="tx1"/>
                        </w14:solidFill>
                      </w14:textFill>
                    </w:rPr>
                    <w:t>饮用水水源保护区</w:t>
                  </w:r>
                </w:p>
              </w:tc>
              <w:tc>
                <w:tcPr>
                  <w:tcW w:w="498" w:type="pct"/>
                  <w:vAlign w:val="center"/>
                </w:tcPr>
                <w:p w14:paraId="53C4E293">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7074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62D3A87A">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5</w:t>
                  </w:r>
                </w:p>
              </w:tc>
              <w:tc>
                <w:tcPr>
                  <w:tcW w:w="2275" w:type="pct"/>
                  <w:vAlign w:val="center"/>
                </w:tcPr>
                <w:p w14:paraId="6CF34641">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0"/>
                      <w:highlight w:val="none"/>
                      <w:shd w:val="clear" w:color="auto" w:fill="FFFFFF"/>
                      <w14:textFill>
                        <w14:solidFill>
                          <w14:schemeClr w14:val="tx1"/>
                        </w14:solidFill>
                      </w14:textFill>
                    </w:rPr>
                    <w:t>长江干流岸线3公里范围内和重要支流岸线1公里范围内新建、改建、扩建尾矿库、冶炼渣库和磷石膏库（以提升安全、生态环境保护水平为目的的改建除外）</w:t>
                  </w:r>
                </w:p>
              </w:tc>
              <w:tc>
                <w:tcPr>
                  <w:tcW w:w="1794" w:type="pct"/>
                  <w:vAlign w:val="center"/>
                </w:tcPr>
                <w:p w14:paraId="4BDB2812">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本项目位于重庆西彭工业园区西彭组团D标准分区，不属于</w:t>
                  </w:r>
                  <w:r>
                    <w:rPr>
                      <w:rFonts w:ascii="Times New Roman" w:hAnsi="Times New Roman" w:cs="Times New Roman"/>
                      <w:color w:val="000000" w:themeColor="text1"/>
                      <w:sz w:val="21"/>
                      <w:szCs w:val="20"/>
                      <w:highlight w:val="none"/>
                      <w:shd w:val="clear" w:color="auto" w:fill="FFFFFF"/>
                      <w14:textFill>
                        <w14:solidFill>
                          <w14:schemeClr w14:val="tx1"/>
                        </w14:solidFill>
                      </w14:textFill>
                    </w:rPr>
                    <w:t>尾矿库、冶炼渣库和磷石膏库</w:t>
                  </w:r>
                </w:p>
              </w:tc>
              <w:tc>
                <w:tcPr>
                  <w:tcW w:w="498" w:type="pct"/>
                  <w:vAlign w:val="center"/>
                </w:tcPr>
                <w:p w14:paraId="319D0924">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6C47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3E521E6F">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6</w:t>
                  </w:r>
                </w:p>
              </w:tc>
              <w:tc>
                <w:tcPr>
                  <w:tcW w:w="2275" w:type="pct"/>
                  <w:vAlign w:val="center"/>
                </w:tcPr>
                <w:p w14:paraId="6F666B27">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0"/>
                      <w:highlight w:val="none"/>
                      <w:shd w:val="clear" w:color="auto" w:fill="FFFFFF"/>
                      <w14:textFill>
                        <w14:solidFill>
                          <w14:schemeClr w14:val="tx1"/>
                        </w14:solidFill>
                      </w14:textFill>
                    </w:rPr>
                    <w:t>在风景名胜区核心景区的岸线和河段范围内投资建设与风景名胜资源保护无关的项目</w:t>
                  </w:r>
                </w:p>
              </w:tc>
              <w:tc>
                <w:tcPr>
                  <w:tcW w:w="1794" w:type="pct"/>
                  <w:vAlign w:val="center"/>
                </w:tcPr>
                <w:p w14:paraId="4729A769">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本项目位于重庆西彭工业园区西彭组团D标准分区，不涉及</w:t>
                  </w:r>
                  <w:r>
                    <w:rPr>
                      <w:rFonts w:ascii="Times New Roman" w:hAnsi="Times New Roman" w:cs="Times New Roman"/>
                      <w:color w:val="000000" w:themeColor="text1"/>
                      <w:sz w:val="21"/>
                      <w:szCs w:val="20"/>
                      <w:highlight w:val="none"/>
                      <w:shd w:val="clear" w:color="auto" w:fill="FFFFFF"/>
                      <w14:textFill>
                        <w14:solidFill>
                          <w14:schemeClr w14:val="tx1"/>
                        </w14:solidFill>
                      </w14:textFill>
                    </w:rPr>
                    <w:t>风景名胜区</w:t>
                  </w:r>
                </w:p>
              </w:tc>
              <w:tc>
                <w:tcPr>
                  <w:tcW w:w="498" w:type="pct"/>
                  <w:vAlign w:val="center"/>
                </w:tcPr>
                <w:p w14:paraId="240844E2">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7BDD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69B210D">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7</w:t>
                  </w:r>
                </w:p>
              </w:tc>
              <w:tc>
                <w:tcPr>
                  <w:tcW w:w="2275" w:type="pct"/>
                  <w:vAlign w:val="center"/>
                </w:tcPr>
                <w:p w14:paraId="084FAB25">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0"/>
                      <w:highlight w:val="none"/>
                      <w:shd w:val="clear" w:color="auto" w:fill="FFFFFF"/>
                      <w14:textFill>
                        <w14:solidFill>
                          <w14:schemeClr w14:val="tx1"/>
                        </w14:solidFill>
                      </w14:textFill>
                    </w:rPr>
                    <w:t>在国家湿地公园的岸线和河段范围内挖沙、采矿，以及任何不符合主体功能定位的投资建设项目</w:t>
                  </w:r>
                </w:p>
              </w:tc>
              <w:tc>
                <w:tcPr>
                  <w:tcW w:w="1794" w:type="pct"/>
                  <w:vAlign w:val="center"/>
                </w:tcPr>
                <w:p w14:paraId="73655F7D">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本项目位于重庆西彭工业园区西彭组团D标准分区，不涉及国家湿地公园的岸线和河段范围</w:t>
                  </w:r>
                </w:p>
              </w:tc>
              <w:tc>
                <w:tcPr>
                  <w:tcW w:w="498" w:type="pct"/>
                  <w:vAlign w:val="center"/>
                </w:tcPr>
                <w:p w14:paraId="130D2F55">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174A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7A7E1D51">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8</w:t>
                  </w:r>
                </w:p>
              </w:tc>
              <w:tc>
                <w:tcPr>
                  <w:tcW w:w="2275" w:type="pct"/>
                  <w:vAlign w:val="center"/>
                </w:tcPr>
                <w:p w14:paraId="53379D58">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0"/>
                      <w:highlight w:val="none"/>
                      <w:shd w:val="clear" w:color="auto" w:fill="FFFFFF"/>
                      <w14:textFill>
                        <w14:solidFill>
                          <w14:schemeClr w14:val="tx1"/>
                        </w14:solidFill>
                      </w14:textFill>
                    </w:rPr>
                    <w:t>在《长江岸线保护和开发利用总体规划》划定的岸线保护区和保留区内投资建设除事关公共安全及公众利益的防洪护岸、河道治理、供水、生态环境保护、航道整治、国家重要基础设施以外的项目</w:t>
                  </w:r>
                </w:p>
              </w:tc>
              <w:tc>
                <w:tcPr>
                  <w:tcW w:w="1794" w:type="pct"/>
                  <w:vAlign w:val="center"/>
                </w:tcPr>
                <w:p w14:paraId="179C089F">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本项目位于重庆西彭工业园区西彭组团D标准分区，不涉及</w:t>
                  </w:r>
                  <w:r>
                    <w:rPr>
                      <w:rFonts w:ascii="Times New Roman" w:hAnsi="Times New Roman" w:cs="Times New Roman"/>
                      <w:color w:val="000000" w:themeColor="text1"/>
                      <w:sz w:val="21"/>
                      <w:szCs w:val="20"/>
                      <w:highlight w:val="none"/>
                      <w:shd w:val="clear" w:color="auto" w:fill="FFFFFF"/>
                      <w14:textFill>
                        <w14:solidFill>
                          <w14:schemeClr w14:val="tx1"/>
                        </w14:solidFill>
                      </w14:textFill>
                    </w:rPr>
                    <w:t>长江岸线保护区和保留区</w:t>
                  </w:r>
                </w:p>
              </w:tc>
              <w:tc>
                <w:tcPr>
                  <w:tcW w:w="498" w:type="pct"/>
                  <w:vAlign w:val="center"/>
                </w:tcPr>
                <w:p w14:paraId="58037275">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21B7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2EFDB611">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9</w:t>
                  </w:r>
                </w:p>
              </w:tc>
              <w:tc>
                <w:tcPr>
                  <w:tcW w:w="2275" w:type="pct"/>
                  <w:vAlign w:val="center"/>
                </w:tcPr>
                <w:p w14:paraId="563E8882">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0"/>
                      <w:highlight w:val="none"/>
                      <w:shd w:val="clear" w:color="auto" w:fill="FFFFFF"/>
                      <w14:textFill>
                        <w14:solidFill>
                          <w14:schemeClr w14:val="tx1"/>
                        </w14:solidFill>
                      </w14:textFill>
                    </w:rPr>
                    <w:t>在《全国重要江河湖泊水功能区划》划定的河段及湖泊保护区、保留区内投资建设不利于水资源及自然生态保护的项目</w:t>
                  </w:r>
                </w:p>
              </w:tc>
              <w:tc>
                <w:tcPr>
                  <w:tcW w:w="1794" w:type="pct"/>
                  <w:vAlign w:val="center"/>
                </w:tcPr>
                <w:p w14:paraId="3807D75E">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本项目位于重庆西彭工业园区西彭组团D标准分区，不涉及</w:t>
                  </w:r>
                  <w:r>
                    <w:rPr>
                      <w:rFonts w:ascii="Times New Roman" w:hAnsi="Times New Roman" w:cs="Times New Roman"/>
                      <w:color w:val="000000" w:themeColor="text1"/>
                      <w:sz w:val="21"/>
                      <w:szCs w:val="20"/>
                      <w:highlight w:val="none"/>
                      <w:shd w:val="clear" w:color="auto" w:fill="FFFFFF"/>
                      <w14:textFill>
                        <w14:solidFill>
                          <w14:schemeClr w14:val="tx1"/>
                        </w14:solidFill>
                      </w14:textFill>
                    </w:rPr>
                    <w:t>《全国重要江河湖泊水功能区划》划定的河段及湖泊保护区、保留区</w:t>
                  </w:r>
                </w:p>
              </w:tc>
              <w:tc>
                <w:tcPr>
                  <w:tcW w:w="498" w:type="pct"/>
                  <w:vAlign w:val="center"/>
                </w:tcPr>
                <w:p w14:paraId="1FDDF975">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54DE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20AE2C1B">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highlight w:val="none"/>
                      <w14:textFill>
                        <w14:solidFill>
                          <w14:schemeClr w14:val="tx1"/>
                        </w14:solidFill>
                      </w14:textFill>
                    </w:rPr>
                    <w:t>（</w:t>
                  </w:r>
                  <w:r>
                    <w:rPr>
                      <w:rFonts w:ascii="Times New Roman" w:hAnsi="Times New Roman" w:cs="Times New Roman"/>
                      <w:b/>
                      <w:color w:val="000000" w:themeColor="text1"/>
                      <w:sz w:val="21"/>
                      <w:szCs w:val="21"/>
                      <w:highlight w:val="none"/>
                      <w14:textFill>
                        <w14:solidFill>
                          <w14:schemeClr w14:val="tx1"/>
                        </w14:solidFill>
                      </w14:textFill>
                    </w:rPr>
                    <w:t>三</w:t>
                  </w:r>
                  <w:r>
                    <w:rPr>
                      <w:rFonts w:ascii="Times New Roman" w:hAnsi="Times New Roman" w:cs="Times New Roman"/>
                      <w:b/>
                      <w:color w:val="000000" w:themeColor="text1"/>
                      <w:sz w:val="21"/>
                      <w:highlight w:val="none"/>
                      <w14:textFill>
                        <w14:solidFill>
                          <w14:schemeClr w14:val="tx1"/>
                        </w14:solidFill>
                      </w14:textFill>
                    </w:rPr>
                    <w:t>）全市范围内限制准入的产业</w:t>
                  </w:r>
                </w:p>
              </w:tc>
            </w:tr>
            <w:tr w14:paraId="0572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22235E8">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w:t>
                  </w:r>
                </w:p>
              </w:tc>
              <w:tc>
                <w:tcPr>
                  <w:tcW w:w="2275" w:type="pct"/>
                  <w:vAlign w:val="center"/>
                </w:tcPr>
                <w:p w14:paraId="757AC51E">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新建、扩建不符合国家产能置换要求的严重过剩产能行业的项目。新建、扩建不符合要求的高耗能高排放项目</w:t>
                  </w:r>
                </w:p>
              </w:tc>
              <w:tc>
                <w:tcPr>
                  <w:tcW w:w="1794" w:type="pct"/>
                  <w:vAlign w:val="center"/>
                </w:tcPr>
                <w:p w14:paraId="01E906D1">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本项目为</w:t>
                  </w:r>
                  <w:r>
                    <w:rPr>
                      <w:rFonts w:hint="eastAsia" w:ascii="Times New Roman" w:hAnsi="Times New Roman" w:cs="Times New Roman"/>
                      <w:color w:val="000000" w:themeColor="text1"/>
                      <w:sz w:val="21"/>
                      <w:szCs w:val="21"/>
                      <w:highlight w:val="none"/>
                      <w14:textFill>
                        <w14:solidFill>
                          <w14:schemeClr w14:val="tx1"/>
                        </w14:solidFill>
                      </w14:textFill>
                    </w:rPr>
                    <w:t>摩托车零部件</w:t>
                  </w:r>
                  <w:r>
                    <w:rPr>
                      <w:rFonts w:ascii="Times New Roman" w:hAnsi="Times New Roman" w:cs="Times New Roman"/>
                      <w:color w:val="000000" w:themeColor="text1"/>
                      <w:sz w:val="21"/>
                      <w:szCs w:val="21"/>
                      <w:highlight w:val="none"/>
                      <w14:textFill>
                        <w14:solidFill>
                          <w14:schemeClr w14:val="tx1"/>
                        </w14:solidFill>
                      </w14:textFill>
                    </w:rPr>
                    <w:t>加工项目，不属于严重</w:t>
                  </w:r>
                  <w:r>
                    <w:rPr>
                      <w:rFonts w:ascii="Times New Roman" w:hAnsi="Times New Roman" w:cs="Times New Roman"/>
                      <w:color w:val="000000" w:themeColor="text1"/>
                      <w:sz w:val="21"/>
                      <w:highlight w:val="none"/>
                      <w14:textFill>
                        <w14:solidFill>
                          <w14:schemeClr w14:val="tx1"/>
                        </w14:solidFill>
                      </w14:textFill>
                    </w:rPr>
                    <w:t>过剩产能行业和高耗能高排放项目</w:t>
                  </w:r>
                </w:p>
              </w:tc>
              <w:tc>
                <w:tcPr>
                  <w:tcW w:w="498" w:type="pct"/>
                  <w:vAlign w:val="center"/>
                </w:tcPr>
                <w:p w14:paraId="63B72E28">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5633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7371668">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2</w:t>
                  </w:r>
                </w:p>
              </w:tc>
              <w:tc>
                <w:tcPr>
                  <w:tcW w:w="2275" w:type="pct"/>
                  <w:vAlign w:val="center"/>
                </w:tcPr>
                <w:p w14:paraId="37633EB7">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新建、扩建不符合国家石化、现代煤化工等产业布局规划的项目</w:t>
                  </w:r>
                </w:p>
              </w:tc>
              <w:tc>
                <w:tcPr>
                  <w:tcW w:w="1794" w:type="pct"/>
                  <w:vAlign w:val="center"/>
                </w:tcPr>
                <w:p w14:paraId="7569CF63">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本项目不属于</w:t>
                  </w:r>
                  <w:r>
                    <w:rPr>
                      <w:rFonts w:ascii="Times New Roman" w:hAnsi="Times New Roman" w:cs="Times New Roman"/>
                      <w:color w:val="000000" w:themeColor="text1"/>
                      <w:sz w:val="21"/>
                      <w:highlight w:val="none"/>
                      <w14:textFill>
                        <w14:solidFill>
                          <w14:schemeClr w14:val="tx1"/>
                        </w14:solidFill>
                      </w14:textFill>
                    </w:rPr>
                    <w:t>国家石化、现代煤化工等项目</w:t>
                  </w:r>
                </w:p>
              </w:tc>
              <w:tc>
                <w:tcPr>
                  <w:tcW w:w="498" w:type="pct"/>
                  <w:vAlign w:val="center"/>
                </w:tcPr>
                <w:p w14:paraId="77461228">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4137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FB00177">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3</w:t>
                  </w:r>
                </w:p>
              </w:tc>
              <w:tc>
                <w:tcPr>
                  <w:tcW w:w="2275" w:type="pct"/>
                  <w:vAlign w:val="center"/>
                </w:tcPr>
                <w:p w14:paraId="6E34E388">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在合规园区外新建、扩建钢铁、石化、化工、焦化、建材、有色、制浆造纸等高污染项目</w:t>
                  </w:r>
                </w:p>
              </w:tc>
              <w:tc>
                <w:tcPr>
                  <w:tcW w:w="1794" w:type="pct"/>
                  <w:vAlign w:val="center"/>
                </w:tcPr>
                <w:p w14:paraId="7E09C62C">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本项目位于重庆西彭工业园区西彭组团D标准分区，不属于</w:t>
                  </w:r>
                  <w:r>
                    <w:rPr>
                      <w:rFonts w:ascii="Times New Roman" w:hAnsi="Times New Roman" w:cs="Times New Roman"/>
                      <w:color w:val="000000" w:themeColor="text1"/>
                      <w:sz w:val="21"/>
                      <w:highlight w:val="none"/>
                      <w14:textFill>
                        <w14:solidFill>
                          <w14:schemeClr w14:val="tx1"/>
                        </w14:solidFill>
                      </w14:textFill>
                    </w:rPr>
                    <w:t>钢铁、石化、化工、焦化、建材、有色、制浆造纸等高污染项目</w:t>
                  </w:r>
                </w:p>
              </w:tc>
              <w:tc>
                <w:tcPr>
                  <w:tcW w:w="498" w:type="pct"/>
                  <w:vAlign w:val="center"/>
                </w:tcPr>
                <w:p w14:paraId="58048A3B">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2701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9208E88">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4</w:t>
                  </w:r>
                </w:p>
              </w:tc>
              <w:tc>
                <w:tcPr>
                  <w:tcW w:w="2275" w:type="pct"/>
                  <w:vAlign w:val="center"/>
                </w:tcPr>
                <w:p w14:paraId="1108AF62">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《汽车产业投资管理规定》（国家发展和改革委员会令第22号）明确禁止建设的汽车投资项目</w:t>
                  </w:r>
                </w:p>
              </w:tc>
              <w:tc>
                <w:tcPr>
                  <w:tcW w:w="1794" w:type="pct"/>
                  <w:vAlign w:val="center"/>
                </w:tcPr>
                <w:p w14:paraId="153CEA04">
                  <w:pPr>
                    <w:pStyle w:val="42"/>
                    <w:spacing w:line="240" w:lineRule="auto"/>
                    <w:ind w:firstLine="0" w:firstLineChars="0"/>
                    <w:jc w:val="left"/>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不本项目属于</w:t>
                  </w:r>
                  <w:r>
                    <w:rPr>
                      <w:rFonts w:ascii="Times New Roman" w:hAnsi="Times New Roman" w:cs="Times New Roman"/>
                      <w:color w:val="000000" w:themeColor="text1"/>
                      <w:sz w:val="21"/>
                      <w:highlight w:val="none"/>
                      <w14:textFill>
                        <w14:solidFill>
                          <w14:schemeClr w14:val="tx1"/>
                        </w14:solidFill>
                      </w14:textFill>
                    </w:rPr>
                    <w:t>汽车投资项目</w:t>
                  </w:r>
                </w:p>
              </w:tc>
              <w:tc>
                <w:tcPr>
                  <w:tcW w:w="498" w:type="pct"/>
                  <w:vAlign w:val="center"/>
                </w:tcPr>
                <w:p w14:paraId="5CEA63C2">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7F73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101B3959">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highlight w:val="none"/>
                      <w14:textFill>
                        <w14:solidFill>
                          <w14:schemeClr w14:val="tx1"/>
                        </w14:solidFill>
                      </w14:textFill>
                    </w:rPr>
                    <w:t>（</w:t>
                  </w:r>
                  <w:r>
                    <w:rPr>
                      <w:rFonts w:ascii="Times New Roman" w:hAnsi="Times New Roman" w:cs="Times New Roman"/>
                      <w:b/>
                      <w:color w:val="000000" w:themeColor="text1"/>
                      <w:sz w:val="21"/>
                      <w:szCs w:val="21"/>
                      <w:highlight w:val="none"/>
                      <w14:textFill>
                        <w14:solidFill>
                          <w14:schemeClr w14:val="tx1"/>
                        </w14:solidFill>
                      </w14:textFill>
                    </w:rPr>
                    <w:t>四</w:t>
                  </w:r>
                  <w:r>
                    <w:rPr>
                      <w:rFonts w:ascii="Times New Roman" w:hAnsi="Times New Roman" w:cs="Times New Roman"/>
                      <w:b/>
                      <w:color w:val="000000" w:themeColor="text1"/>
                      <w:sz w:val="21"/>
                      <w:highlight w:val="none"/>
                      <w14:textFill>
                        <w14:solidFill>
                          <w14:schemeClr w14:val="tx1"/>
                        </w14:solidFill>
                      </w14:textFill>
                    </w:rPr>
                    <w:t>）重点区域范围内限制准入的产业</w:t>
                  </w:r>
                </w:p>
              </w:tc>
            </w:tr>
            <w:tr w14:paraId="4AEB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8CA6196">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1</w:t>
                  </w:r>
                </w:p>
              </w:tc>
              <w:tc>
                <w:tcPr>
                  <w:tcW w:w="2275" w:type="pct"/>
                  <w:vAlign w:val="center"/>
                </w:tcPr>
                <w:p w14:paraId="270E7768">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长江干支流、重要湖泊岸线1公里范围内新建、扩建化工园区和化工项目，长江、嘉陵江、乌江岸线1公里范围内布局新建纸浆制造、印染等存在环境风险的项目</w:t>
                  </w:r>
                </w:p>
              </w:tc>
              <w:tc>
                <w:tcPr>
                  <w:tcW w:w="1794" w:type="pct"/>
                  <w:vAlign w:val="center"/>
                </w:tcPr>
                <w:p w14:paraId="7107A84B">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本项目位于重庆西彭工业园区西彭组团D标准分区，不属于化工、纸浆制造、印染等项目</w:t>
                  </w:r>
                </w:p>
              </w:tc>
              <w:tc>
                <w:tcPr>
                  <w:tcW w:w="498" w:type="pct"/>
                  <w:vAlign w:val="center"/>
                </w:tcPr>
                <w:p w14:paraId="4DD04B71">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r w14:paraId="7538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3771F24B">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2</w:t>
                  </w:r>
                </w:p>
              </w:tc>
              <w:tc>
                <w:tcPr>
                  <w:tcW w:w="2275" w:type="pct"/>
                  <w:vAlign w:val="center"/>
                </w:tcPr>
                <w:p w14:paraId="2968E8F6">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在水产种质资源保护区的岸线和河段范围内新建围湖造田等投资建设项目</w:t>
                  </w:r>
                </w:p>
              </w:tc>
              <w:tc>
                <w:tcPr>
                  <w:tcW w:w="1794" w:type="pct"/>
                  <w:vAlign w:val="center"/>
                </w:tcPr>
                <w:p w14:paraId="38BDE44F">
                  <w:pPr>
                    <w:pStyle w:val="42"/>
                    <w:spacing w:line="240" w:lineRule="auto"/>
                    <w:ind w:firstLine="0" w:firstLineChars="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本项目位于重庆西彭工业园区西彭组团D标准分区，不属于</w:t>
                  </w:r>
                  <w:r>
                    <w:rPr>
                      <w:rFonts w:ascii="Times New Roman" w:hAnsi="Times New Roman" w:cs="Times New Roman"/>
                      <w:color w:val="000000" w:themeColor="text1"/>
                      <w:sz w:val="21"/>
                      <w:highlight w:val="none"/>
                      <w14:textFill>
                        <w14:solidFill>
                          <w14:schemeClr w14:val="tx1"/>
                        </w14:solidFill>
                      </w14:textFill>
                    </w:rPr>
                    <w:t>围湖造田等投资建设项目</w:t>
                  </w:r>
                </w:p>
              </w:tc>
              <w:tc>
                <w:tcPr>
                  <w:tcW w:w="498" w:type="pct"/>
                  <w:vAlign w:val="center"/>
                </w:tcPr>
                <w:p w14:paraId="67EC745A">
                  <w:pPr>
                    <w:pStyle w:val="42"/>
                    <w:spacing w:line="240" w:lineRule="auto"/>
                    <w:ind w:firstLine="0" w:firstLineChars="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符合</w:t>
                  </w:r>
                </w:p>
              </w:tc>
            </w:tr>
          </w:tbl>
          <w:p w14:paraId="15EF26D8">
            <w:pPr>
              <w:spacing w:line="360" w:lineRule="auto"/>
              <w:ind w:firstLine="480" w:firstLineChars="200"/>
              <w:rPr>
                <w:rFonts w:ascii="Times New Roman" w:hAnsi="Times New Roman" w:cs="Times New Roman"/>
                <w:color w:val="000000" w:themeColor="text1"/>
                <w:sz w:val="24"/>
                <w:szCs w:val="21"/>
                <w:highlight w:val="none"/>
                <w14:textFill>
                  <w14:solidFill>
                    <w14:schemeClr w14:val="tx1"/>
                  </w14:solidFill>
                </w14:textFill>
              </w:rPr>
            </w:pPr>
            <w:r>
              <w:rPr>
                <w:rFonts w:ascii="Times New Roman" w:hAnsi="Times New Roman" w:cs="Times New Roman"/>
                <w:color w:val="000000" w:themeColor="text1"/>
                <w:sz w:val="24"/>
                <w:szCs w:val="21"/>
                <w:highlight w:val="none"/>
                <w14:textFill>
                  <w14:solidFill>
                    <w14:schemeClr w14:val="tx1"/>
                  </w14:solidFill>
                </w14:textFill>
              </w:rPr>
              <w:t>由表1.2-2分析可知，本项目不属于重庆市不予准入、限制准入产业，符合《重庆市发展和改革委员会关于印发重庆市产业投资准入工作手册的通知》（</w:t>
            </w:r>
            <w:r>
              <w:rPr>
                <w:rFonts w:ascii="Times New Roman" w:hAnsi="Times New Roman" w:cs="Times New Roman"/>
                <w:color w:val="000000" w:themeColor="text1"/>
                <w:sz w:val="24"/>
                <w:szCs w:val="36"/>
                <w:highlight w:val="none"/>
                <w14:textFill>
                  <w14:solidFill>
                    <w14:schemeClr w14:val="tx1"/>
                  </w14:solidFill>
                </w14:textFill>
              </w:rPr>
              <w:t>渝发改投资[2022]1436号</w:t>
            </w:r>
            <w:r>
              <w:rPr>
                <w:rFonts w:ascii="Times New Roman" w:hAnsi="Times New Roman" w:cs="Times New Roman"/>
                <w:color w:val="000000" w:themeColor="text1"/>
                <w:sz w:val="24"/>
                <w:szCs w:val="21"/>
                <w:highlight w:val="none"/>
                <w14:textFill>
                  <w14:solidFill>
                    <w14:schemeClr w14:val="tx1"/>
                  </w14:solidFill>
                </w14:textFill>
              </w:rPr>
              <w:t>）产业投资政策要求。</w:t>
            </w:r>
          </w:p>
          <w:p w14:paraId="12B1F693">
            <w:pPr>
              <w:spacing w:line="360" w:lineRule="auto"/>
              <w:ind w:firstLine="482" w:firstLineChars="200"/>
              <w:rPr>
                <w:rFonts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14:textFill>
                  <w14:solidFill>
                    <w14:schemeClr w14:val="tx1"/>
                  </w14:solidFill>
                </w14:textFill>
              </w:rPr>
              <w:t>2）</w:t>
            </w:r>
            <w:r>
              <w:rPr>
                <w:rFonts w:ascii="Times New Roman" w:hAnsi="Times New Roman" w:cs="Times New Roman"/>
                <w:b/>
                <w:color w:val="000000" w:themeColor="text1"/>
                <w:sz w:val="24"/>
                <w:highlight w:val="none"/>
                <w14:textFill>
                  <w14:solidFill>
                    <w14:schemeClr w14:val="tx1"/>
                  </w14:solidFill>
                </w14:textFill>
              </w:rPr>
              <w:t>与《长江经济带发展负面清单指南（试行，2022年版）》符合性分析</w:t>
            </w:r>
          </w:p>
          <w:p w14:paraId="504D3187">
            <w:pPr>
              <w:spacing w:line="360" w:lineRule="auto"/>
              <w:jc w:val="center"/>
              <w:rPr>
                <w:rFonts w:ascii="Times New Roman" w:hAnsi="Times New Roman" w:cs="Times New Roman"/>
                <w:b/>
                <w:color w:val="000000" w:themeColor="text1"/>
                <w:sz w:val="24"/>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表1.</w:t>
            </w:r>
            <w:r>
              <w:rPr>
                <w:rFonts w:hint="eastAsia" w:ascii="Times New Roman" w:hAnsi="Times New Roman" w:cs="Times New Roman"/>
                <w:b/>
                <w:color w:val="000000" w:themeColor="text1"/>
                <w:sz w:val="24"/>
                <w:highlight w:val="none"/>
                <w14:textFill>
                  <w14:solidFill>
                    <w14:schemeClr w14:val="tx1"/>
                  </w14:solidFill>
                </w14:textFill>
              </w:rPr>
              <w:t>2</w:t>
            </w:r>
            <w:r>
              <w:rPr>
                <w:rFonts w:ascii="Times New Roman" w:hAnsi="Times New Roman" w:cs="Times New Roman"/>
                <w:b/>
                <w:color w:val="000000" w:themeColor="text1"/>
                <w:sz w:val="24"/>
                <w:highlight w:val="none"/>
                <w14:textFill>
                  <w14:solidFill>
                    <w14:schemeClr w14:val="tx1"/>
                  </w14:solidFill>
                </w14:textFill>
              </w:rPr>
              <w:t>-</w:t>
            </w:r>
            <w:r>
              <w:rPr>
                <w:rFonts w:hint="eastAsia" w:ascii="Times New Roman" w:hAnsi="Times New Roman" w:cs="Times New Roman"/>
                <w:b/>
                <w:color w:val="000000" w:themeColor="text1"/>
                <w:sz w:val="24"/>
                <w:highlight w:val="none"/>
                <w14:textFill>
                  <w14:solidFill>
                    <w14:schemeClr w14:val="tx1"/>
                  </w14:solidFill>
                </w14:textFill>
              </w:rPr>
              <w:t>3</w:t>
            </w:r>
            <w:r>
              <w:rPr>
                <w:rFonts w:ascii="Times New Roman" w:hAnsi="Times New Roman" w:cs="Times New Roman"/>
                <w:b/>
                <w:color w:val="000000" w:themeColor="text1"/>
                <w:sz w:val="24"/>
                <w:highlight w:val="none"/>
                <w14:textFill>
                  <w14:solidFill>
                    <w14:schemeClr w14:val="tx1"/>
                  </w14:solidFill>
                </w14:textFill>
              </w:rPr>
              <w:t>与《长江经济带发展负面清单指南（试行，2022年版）》符合性分析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4298"/>
              <w:gridCol w:w="2501"/>
              <w:gridCol w:w="805"/>
            </w:tblGrid>
            <w:tr w14:paraId="685E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5" w:type="pct"/>
                  <w:vAlign w:val="center"/>
                </w:tcPr>
                <w:p w14:paraId="3C71F6DD">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序号</w:t>
                  </w:r>
                </w:p>
              </w:tc>
              <w:tc>
                <w:tcPr>
                  <w:tcW w:w="2665" w:type="pct"/>
                  <w:vAlign w:val="center"/>
                </w:tcPr>
                <w:p w14:paraId="7B18488F">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负面清单指南要求</w:t>
                  </w:r>
                </w:p>
              </w:tc>
              <w:tc>
                <w:tcPr>
                  <w:tcW w:w="1551" w:type="pct"/>
                  <w:vAlign w:val="center"/>
                </w:tcPr>
                <w:p w14:paraId="6DA492B4">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项目情况</w:t>
                  </w:r>
                </w:p>
              </w:tc>
              <w:tc>
                <w:tcPr>
                  <w:tcW w:w="499" w:type="pct"/>
                  <w:vAlign w:val="center"/>
                </w:tcPr>
                <w:p w14:paraId="5D9CEDDD">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符合性</w:t>
                  </w:r>
                </w:p>
              </w:tc>
            </w:tr>
            <w:tr w14:paraId="2A36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7C6A82CB">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w:t>
                  </w:r>
                </w:p>
              </w:tc>
              <w:tc>
                <w:tcPr>
                  <w:tcW w:w="2665" w:type="pct"/>
                  <w:vAlign w:val="center"/>
                </w:tcPr>
                <w:p w14:paraId="1D289CA9">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1551" w:type="pct"/>
                  <w:vAlign w:val="center"/>
                </w:tcPr>
                <w:p w14:paraId="3A0EBD10">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本项目不属于码头项目和过长江通道项目</w:t>
                  </w:r>
                </w:p>
              </w:tc>
              <w:tc>
                <w:tcPr>
                  <w:tcW w:w="499" w:type="pct"/>
                  <w:vAlign w:val="center"/>
                </w:tcPr>
                <w:p w14:paraId="6277D518">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2D2B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168C8D89">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w:t>
                  </w:r>
                </w:p>
              </w:tc>
              <w:tc>
                <w:tcPr>
                  <w:tcW w:w="2665" w:type="pct"/>
                  <w:vAlign w:val="center"/>
                </w:tcPr>
                <w:p w14:paraId="291E79F1">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禁止在自然保护区</w:t>
                  </w:r>
                  <w:r>
                    <w:rPr>
                      <w:rFonts w:ascii="Times New Roman" w:hAnsi="Times New Roman" w:cs="Times New Roman"/>
                      <w:color w:val="000000" w:themeColor="text1"/>
                      <w:highlight w:val="none"/>
                      <w14:textFill>
                        <w14:solidFill>
                          <w14:schemeClr w14:val="tx1"/>
                        </w14:solidFill>
                      </w14:textFill>
                    </w:rPr>
                    <w:t>核心区</w:t>
                  </w:r>
                  <w:r>
                    <w:rPr>
                      <w:rFonts w:ascii="Times New Roman" w:hAnsi="Times New Roman" w:cs="Times New Roman"/>
                      <w:color w:val="000000" w:themeColor="text1"/>
                      <w:szCs w:val="21"/>
                      <w:highlight w:val="none"/>
                      <w14:textFill>
                        <w14:solidFill>
                          <w14:schemeClr w14:val="tx1"/>
                        </w14:solidFill>
                      </w14:textFill>
                    </w:rPr>
                    <w:t>、缓冲区的岸线和河段范围内投资建设旅游和生产经营项目。禁止在风景名胜区核心景区的岸线和河段范围内投资建设与风景名胜资源保护无关的项目</w:t>
                  </w:r>
                </w:p>
              </w:tc>
              <w:tc>
                <w:tcPr>
                  <w:tcW w:w="1551" w:type="pct"/>
                  <w:vAlign w:val="center"/>
                </w:tcPr>
                <w:p w14:paraId="1138DCBC">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不在</w:t>
                  </w:r>
                  <w:r>
                    <w:rPr>
                      <w:rFonts w:ascii="Times New Roman" w:hAnsi="Times New Roman" w:cs="Times New Roman"/>
                      <w:color w:val="000000" w:themeColor="text1"/>
                      <w:szCs w:val="21"/>
                      <w:highlight w:val="none"/>
                      <w14:textFill>
                        <w14:solidFill>
                          <w14:schemeClr w14:val="tx1"/>
                        </w14:solidFill>
                      </w14:textFill>
                    </w:rPr>
                    <w:t>自然保护区、风景名胜区等范围内</w:t>
                  </w:r>
                </w:p>
              </w:tc>
              <w:tc>
                <w:tcPr>
                  <w:tcW w:w="499" w:type="pct"/>
                  <w:vAlign w:val="center"/>
                </w:tcPr>
                <w:p w14:paraId="4D78C507">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1F4F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7A167F2C">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3</w:t>
                  </w:r>
                </w:p>
              </w:tc>
              <w:tc>
                <w:tcPr>
                  <w:tcW w:w="2665" w:type="pct"/>
                  <w:vAlign w:val="center"/>
                </w:tcPr>
                <w:p w14:paraId="4C19B438">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551" w:type="pct"/>
                  <w:vAlign w:val="center"/>
                </w:tcPr>
                <w:p w14:paraId="11239E4A">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不涉及饮用水水源保护区岸线及河段</w:t>
                  </w:r>
                </w:p>
              </w:tc>
              <w:tc>
                <w:tcPr>
                  <w:tcW w:w="499" w:type="pct"/>
                  <w:vAlign w:val="center"/>
                </w:tcPr>
                <w:p w14:paraId="1E7C3D79">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2039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37D0D3FA">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4</w:t>
                  </w:r>
                </w:p>
              </w:tc>
              <w:tc>
                <w:tcPr>
                  <w:tcW w:w="2665" w:type="pct"/>
                  <w:vAlign w:val="center"/>
                </w:tcPr>
                <w:p w14:paraId="6160E0E1">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551" w:type="pct"/>
                  <w:vAlign w:val="center"/>
                </w:tcPr>
                <w:p w14:paraId="5CA00761">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不涉及</w:t>
                  </w:r>
                  <w:r>
                    <w:rPr>
                      <w:rFonts w:ascii="Times New Roman" w:hAnsi="Times New Roman" w:cs="Times New Roman"/>
                      <w:color w:val="000000" w:themeColor="text1"/>
                      <w:szCs w:val="21"/>
                      <w:highlight w:val="none"/>
                      <w14:textFill>
                        <w14:solidFill>
                          <w14:schemeClr w14:val="tx1"/>
                        </w14:solidFill>
                      </w14:textFill>
                    </w:rPr>
                    <w:t>水产种质资源保护区岸线和河段；不涉及国家湿地公园岸线和河段</w:t>
                  </w:r>
                </w:p>
              </w:tc>
              <w:tc>
                <w:tcPr>
                  <w:tcW w:w="499" w:type="pct"/>
                  <w:vAlign w:val="center"/>
                </w:tcPr>
                <w:p w14:paraId="024806CF">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13F1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66C3BE7F">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5</w:t>
                  </w:r>
                </w:p>
              </w:tc>
              <w:tc>
                <w:tcPr>
                  <w:tcW w:w="2665" w:type="pct"/>
                  <w:vAlign w:val="center"/>
                </w:tcPr>
                <w:p w14:paraId="7E6FFBE7">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551" w:type="pct"/>
                  <w:vAlign w:val="center"/>
                </w:tcPr>
                <w:p w14:paraId="291FD118">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不涉及</w:t>
                  </w:r>
                  <w:r>
                    <w:rPr>
                      <w:rFonts w:ascii="Times New Roman" w:hAnsi="Times New Roman" w:cs="Times New Roman"/>
                      <w:color w:val="000000" w:themeColor="text1"/>
                      <w:szCs w:val="21"/>
                      <w:highlight w:val="none"/>
                      <w14:textFill>
                        <w14:solidFill>
                          <w14:schemeClr w14:val="tx1"/>
                        </w14:solidFill>
                      </w14:textFill>
                    </w:rPr>
                    <w:t>长江流域河湖岸线</w:t>
                  </w:r>
                </w:p>
              </w:tc>
              <w:tc>
                <w:tcPr>
                  <w:tcW w:w="499" w:type="pct"/>
                  <w:vAlign w:val="center"/>
                </w:tcPr>
                <w:p w14:paraId="44A54914">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1A9A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2F660FF4">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6</w:t>
                  </w:r>
                </w:p>
              </w:tc>
              <w:tc>
                <w:tcPr>
                  <w:tcW w:w="2665" w:type="pct"/>
                  <w:vAlign w:val="center"/>
                </w:tcPr>
                <w:p w14:paraId="797ED48F">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禁止未经许可在长江干支流及湖泊新设、改设或扩大排污口</w:t>
                  </w:r>
                </w:p>
              </w:tc>
              <w:tc>
                <w:tcPr>
                  <w:tcW w:w="1551" w:type="pct"/>
                  <w:vAlign w:val="center"/>
                </w:tcPr>
                <w:p w14:paraId="11AD78C0">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本项目废水为间接排放，不涉及</w:t>
                  </w:r>
                  <w:r>
                    <w:rPr>
                      <w:rFonts w:ascii="Times New Roman" w:hAnsi="Times New Roman" w:cs="Times New Roman"/>
                      <w:color w:val="000000" w:themeColor="text1"/>
                      <w:szCs w:val="21"/>
                      <w:highlight w:val="none"/>
                      <w14:textFill>
                        <w14:solidFill>
                          <w14:schemeClr w14:val="tx1"/>
                        </w14:solidFill>
                      </w14:textFill>
                    </w:rPr>
                    <w:t>排污口设置</w:t>
                  </w:r>
                </w:p>
              </w:tc>
              <w:tc>
                <w:tcPr>
                  <w:tcW w:w="499" w:type="pct"/>
                  <w:vAlign w:val="center"/>
                </w:tcPr>
                <w:p w14:paraId="46FE0889">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6E5C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2A65EA19">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7</w:t>
                  </w:r>
                </w:p>
              </w:tc>
              <w:tc>
                <w:tcPr>
                  <w:tcW w:w="2665" w:type="pct"/>
                  <w:vAlign w:val="center"/>
                </w:tcPr>
                <w:p w14:paraId="22D28A37">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w:t>
                  </w:r>
                  <w:r>
                    <w:rPr>
                      <w:rFonts w:ascii="Times New Roman" w:hAnsi="Times New Roman" w:cs="Times New Roman"/>
                      <w:color w:val="000000" w:themeColor="text1"/>
                      <w:szCs w:val="21"/>
                      <w:highlight w:val="none"/>
                      <w14:textFill>
                        <w14:solidFill>
                          <w14:schemeClr w14:val="tx1"/>
                        </w14:solidFill>
                      </w14:textFill>
                    </w:rPr>
                    <w:t>一江一口两湖七河</w:t>
                  </w:r>
                  <w:r>
                    <w:rPr>
                      <w:rFonts w:ascii="Times New Roman" w:hAnsi="Times New Roman" w:cs="Times New Roman"/>
                      <w:color w:val="000000" w:themeColor="text1"/>
                      <w:highlight w:val="none"/>
                      <w14:textFill>
                        <w14:solidFill>
                          <w14:schemeClr w14:val="tx1"/>
                        </w14:solidFill>
                      </w14:textFill>
                    </w:rPr>
                    <w:t>”和</w:t>
                  </w:r>
                  <w:r>
                    <w:rPr>
                      <w:rFonts w:ascii="Times New Roman" w:hAnsi="Times New Roman" w:cs="Times New Roman"/>
                      <w:color w:val="000000" w:themeColor="text1"/>
                      <w:szCs w:val="21"/>
                      <w:highlight w:val="none"/>
                      <w14:textFill>
                        <w14:solidFill>
                          <w14:schemeClr w14:val="tx1"/>
                        </w14:solidFill>
                      </w14:textFill>
                    </w:rPr>
                    <w:t>332个水生生物保护区开展生产性捕捞</w:t>
                  </w:r>
                </w:p>
              </w:tc>
              <w:tc>
                <w:tcPr>
                  <w:tcW w:w="1551" w:type="pct"/>
                  <w:vAlign w:val="center"/>
                </w:tcPr>
                <w:p w14:paraId="020D1E40">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本项目不涉及</w:t>
                  </w:r>
                </w:p>
              </w:tc>
              <w:tc>
                <w:tcPr>
                  <w:tcW w:w="499" w:type="pct"/>
                  <w:vAlign w:val="center"/>
                </w:tcPr>
                <w:p w14:paraId="4C4E2E8D">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22CD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77FE3915">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8</w:t>
                  </w:r>
                </w:p>
              </w:tc>
              <w:tc>
                <w:tcPr>
                  <w:tcW w:w="2665" w:type="pct"/>
                  <w:vAlign w:val="center"/>
                </w:tcPr>
                <w:p w14:paraId="6EE0E1B9">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551" w:type="pct"/>
                  <w:vAlign w:val="center"/>
                </w:tcPr>
                <w:p w14:paraId="4440633A">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18"/>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不属于化工项目、也不属于</w:t>
                  </w:r>
                  <w:r>
                    <w:rPr>
                      <w:rFonts w:ascii="Times New Roman" w:hAnsi="Times New Roman" w:cs="Times New Roman"/>
                      <w:color w:val="000000" w:themeColor="text1"/>
                      <w:szCs w:val="21"/>
                      <w:highlight w:val="none"/>
                      <w14:textFill>
                        <w14:solidFill>
                          <w14:schemeClr w14:val="tx1"/>
                        </w14:solidFill>
                      </w14:textFill>
                    </w:rPr>
                    <w:t>尾矿库、冶炼渣库和磷石膏库项目</w:t>
                  </w:r>
                </w:p>
              </w:tc>
              <w:tc>
                <w:tcPr>
                  <w:tcW w:w="499" w:type="pct"/>
                  <w:vAlign w:val="center"/>
                </w:tcPr>
                <w:p w14:paraId="752B8CFF">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55ED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2E72C9C9">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9</w:t>
                  </w:r>
                </w:p>
              </w:tc>
              <w:tc>
                <w:tcPr>
                  <w:tcW w:w="2665" w:type="pct"/>
                  <w:vAlign w:val="center"/>
                </w:tcPr>
                <w:p w14:paraId="04B3EAE8">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禁止在合规园区外新建、扩建钢铁、石化、化工、焦化、建材、有色、制浆造纸等高污染项目</w:t>
                  </w:r>
                </w:p>
              </w:tc>
              <w:tc>
                <w:tcPr>
                  <w:tcW w:w="1551" w:type="pct"/>
                  <w:vAlign w:val="center"/>
                </w:tcPr>
                <w:p w14:paraId="05477351">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18"/>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不属于</w:t>
                  </w:r>
                  <w:r>
                    <w:rPr>
                      <w:rFonts w:ascii="Times New Roman" w:hAnsi="Times New Roman" w:cs="Times New Roman"/>
                      <w:color w:val="000000" w:themeColor="text1"/>
                      <w:szCs w:val="21"/>
                      <w:highlight w:val="none"/>
                      <w14:textFill>
                        <w14:solidFill>
                          <w14:schemeClr w14:val="tx1"/>
                        </w14:solidFill>
                      </w14:textFill>
                    </w:rPr>
                    <w:t>钢铁、石化、化工、焦化、建材、有色、制浆造纸等高污染项目</w:t>
                  </w:r>
                </w:p>
              </w:tc>
              <w:tc>
                <w:tcPr>
                  <w:tcW w:w="499" w:type="pct"/>
                  <w:vAlign w:val="center"/>
                </w:tcPr>
                <w:p w14:paraId="211FA446">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131B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1EF53AF4">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10</w:t>
                  </w:r>
                </w:p>
              </w:tc>
              <w:tc>
                <w:tcPr>
                  <w:tcW w:w="2665" w:type="pct"/>
                  <w:vAlign w:val="center"/>
                </w:tcPr>
                <w:p w14:paraId="40E36A59">
                  <w:p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禁止新建、扩建不符合国家石化、现代煤化工等产业布局规划的项目</w:t>
                  </w:r>
                </w:p>
              </w:tc>
              <w:tc>
                <w:tcPr>
                  <w:tcW w:w="1551" w:type="pct"/>
                  <w:vAlign w:val="center"/>
                </w:tcPr>
                <w:p w14:paraId="6F73ABA6">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本项目不属于</w:t>
                  </w:r>
                  <w:r>
                    <w:rPr>
                      <w:rFonts w:ascii="Times New Roman" w:hAnsi="Times New Roman" w:cs="Times New Roman"/>
                      <w:color w:val="000000" w:themeColor="text1"/>
                      <w:szCs w:val="21"/>
                      <w:highlight w:val="none"/>
                      <w14:textFill>
                        <w14:solidFill>
                          <w14:schemeClr w14:val="tx1"/>
                        </w14:solidFill>
                      </w14:textFill>
                    </w:rPr>
                    <w:t>石化、现代煤化工等项目</w:t>
                  </w:r>
                </w:p>
              </w:tc>
              <w:tc>
                <w:tcPr>
                  <w:tcW w:w="499" w:type="pct"/>
                  <w:vAlign w:val="center"/>
                </w:tcPr>
                <w:p w14:paraId="438CFEE8">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1A7B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14:paraId="31F9B4B1">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11</w:t>
                  </w:r>
                </w:p>
              </w:tc>
              <w:tc>
                <w:tcPr>
                  <w:tcW w:w="2665" w:type="pct"/>
                  <w:vAlign w:val="center"/>
                </w:tcPr>
                <w:p w14:paraId="5395B168">
                  <w:p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551" w:type="pct"/>
                  <w:vAlign w:val="center"/>
                </w:tcPr>
                <w:p w14:paraId="30C3CB15">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本项目不属于</w:t>
                  </w:r>
                  <w:r>
                    <w:rPr>
                      <w:rFonts w:ascii="Times New Roman" w:hAnsi="Times New Roman" w:cs="Times New Roman"/>
                      <w:color w:val="000000" w:themeColor="text1"/>
                      <w:szCs w:val="21"/>
                      <w:highlight w:val="none"/>
                      <w14:textFill>
                        <w14:solidFill>
                          <w14:schemeClr w14:val="tx1"/>
                        </w14:solidFill>
                      </w14:textFill>
                    </w:rPr>
                    <w:t>落后产能项目、严重过剩产能行业及高耗能高排放项目</w:t>
                  </w:r>
                </w:p>
              </w:tc>
              <w:tc>
                <w:tcPr>
                  <w:tcW w:w="499" w:type="pct"/>
                  <w:vAlign w:val="center"/>
                </w:tcPr>
                <w:p w14:paraId="6252B879">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bl>
          <w:p w14:paraId="1CF199D8">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根据表1.</w:t>
            </w:r>
            <w:r>
              <w:rPr>
                <w:rFonts w:hint="eastAsia" w:ascii="Times New Roman" w:hAnsi="Times New Roman" w:cs="Times New Roman"/>
                <w:color w:val="000000" w:themeColor="text1"/>
                <w:sz w:val="24"/>
                <w:highlight w:val="none"/>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3</w:t>
            </w:r>
            <w:r>
              <w:rPr>
                <w:rFonts w:ascii="Times New Roman" w:hAnsi="Times New Roman" w:cs="Times New Roman"/>
                <w:color w:val="000000" w:themeColor="text1"/>
                <w:sz w:val="24"/>
                <w:highlight w:val="none"/>
                <w14:textFill>
                  <w14:solidFill>
                    <w14:schemeClr w14:val="tx1"/>
                  </w14:solidFill>
                </w14:textFill>
              </w:rPr>
              <w:t>分析可知，本项目不属于长江经济带发展负面清单中指出的禁止建设类项目，符合《长江经济带发展负面清单指南（试行，2022年版）》中的要求。</w:t>
            </w:r>
          </w:p>
          <w:p w14:paraId="7BA7A3B8">
            <w:pPr>
              <w:spacing w:line="360" w:lineRule="auto"/>
              <w:ind w:firstLine="482" w:firstLineChars="200"/>
              <w:rPr>
                <w:rFonts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14:textFill>
                  <w14:solidFill>
                    <w14:schemeClr w14:val="tx1"/>
                  </w14:solidFill>
                </w14:textFill>
              </w:rPr>
              <w:t>3）</w:t>
            </w:r>
            <w:r>
              <w:rPr>
                <w:rFonts w:ascii="Times New Roman" w:hAnsi="Times New Roman" w:cs="Times New Roman"/>
                <w:b/>
                <w:color w:val="000000" w:themeColor="text1"/>
                <w:sz w:val="24"/>
                <w:highlight w:val="none"/>
                <w14:textFill>
                  <w14:solidFill>
                    <w14:schemeClr w14:val="tx1"/>
                  </w14:solidFill>
                </w14:textFill>
              </w:rPr>
              <w:t>与《四川省、重庆市长江经济带发展负面清单实施细则（试行，2022年版）》的符合性分析</w:t>
            </w:r>
          </w:p>
          <w:p w14:paraId="6940C925">
            <w:pPr>
              <w:spacing w:line="360" w:lineRule="auto"/>
              <w:jc w:val="center"/>
              <w:rPr>
                <w:rFonts w:ascii="Times New Roman" w:hAnsi="Times New Roman" w:cs="Times New Roman"/>
                <w:b/>
                <w:color w:val="000000" w:themeColor="text1"/>
                <w:sz w:val="24"/>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表1.</w:t>
            </w:r>
            <w:r>
              <w:rPr>
                <w:rFonts w:hint="eastAsia" w:ascii="Times New Roman" w:hAnsi="Times New Roman" w:cs="Times New Roman"/>
                <w:b/>
                <w:color w:val="000000" w:themeColor="text1"/>
                <w:sz w:val="24"/>
                <w:highlight w:val="none"/>
                <w14:textFill>
                  <w14:solidFill>
                    <w14:schemeClr w14:val="tx1"/>
                  </w14:solidFill>
                </w14:textFill>
              </w:rPr>
              <w:t>2</w:t>
            </w:r>
            <w:r>
              <w:rPr>
                <w:rFonts w:ascii="Times New Roman" w:hAnsi="Times New Roman" w:cs="Times New Roman"/>
                <w:b/>
                <w:color w:val="000000" w:themeColor="text1"/>
                <w:sz w:val="24"/>
                <w:highlight w:val="none"/>
                <w14:textFill>
                  <w14:solidFill>
                    <w14:schemeClr w14:val="tx1"/>
                  </w14:solidFill>
                </w14:textFill>
              </w:rPr>
              <w:t>-</w:t>
            </w:r>
            <w:r>
              <w:rPr>
                <w:rFonts w:hint="eastAsia" w:ascii="Times New Roman" w:hAnsi="Times New Roman" w:cs="Times New Roman"/>
                <w:b/>
                <w:color w:val="000000" w:themeColor="text1"/>
                <w:sz w:val="24"/>
                <w:highlight w:val="none"/>
                <w14:textFill>
                  <w14:solidFill>
                    <w14:schemeClr w14:val="tx1"/>
                  </w14:solidFill>
                </w14:textFill>
              </w:rPr>
              <w:t>4</w:t>
            </w:r>
            <w:r>
              <w:rPr>
                <w:rFonts w:ascii="Times New Roman" w:hAnsi="Times New Roman" w:cs="Times New Roman"/>
                <w:b/>
                <w:color w:val="000000" w:themeColor="text1"/>
                <w:sz w:val="24"/>
                <w:highlight w:val="none"/>
                <w14:textFill>
                  <w14:solidFill>
                    <w14:schemeClr w14:val="tx1"/>
                  </w14:solidFill>
                </w14:textFill>
              </w:rPr>
              <w:t xml:space="preserve">  与《四川省、重庆市长江经济带发展负面清单实施细则（试行，2022年版）》符合性分析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4191"/>
              <w:gridCol w:w="2361"/>
              <w:gridCol w:w="814"/>
            </w:tblGrid>
            <w:tr w14:paraId="4142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757181A8">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序号</w:t>
                  </w:r>
                </w:p>
              </w:tc>
              <w:tc>
                <w:tcPr>
                  <w:tcW w:w="2599" w:type="pct"/>
                  <w:vAlign w:val="center"/>
                </w:tcPr>
                <w:p w14:paraId="1E87F57B">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管控要求</w:t>
                  </w:r>
                </w:p>
              </w:tc>
              <w:tc>
                <w:tcPr>
                  <w:tcW w:w="1464" w:type="pct"/>
                  <w:vAlign w:val="center"/>
                </w:tcPr>
                <w:p w14:paraId="60E13571">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项目情况</w:t>
                  </w:r>
                </w:p>
              </w:tc>
              <w:tc>
                <w:tcPr>
                  <w:tcW w:w="505" w:type="pct"/>
                  <w:vAlign w:val="center"/>
                </w:tcPr>
                <w:p w14:paraId="3ACC0E03">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符合性</w:t>
                  </w:r>
                </w:p>
              </w:tc>
            </w:tr>
            <w:tr w14:paraId="76B8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99264E1">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w:t>
                  </w:r>
                </w:p>
              </w:tc>
              <w:tc>
                <w:tcPr>
                  <w:tcW w:w="2599" w:type="pct"/>
                  <w:vAlign w:val="center"/>
                </w:tcPr>
                <w:p w14:paraId="7034C834">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禁止新建、改建和扩建不符合全国港口布局规划，以及《重庆港总体规划（2035年）》等省级港口布局规划及市级港口总体规划的码头项目</w:t>
                  </w:r>
                </w:p>
              </w:tc>
              <w:tc>
                <w:tcPr>
                  <w:tcW w:w="1464" w:type="pct"/>
                  <w:vAlign w:val="center"/>
                </w:tcPr>
                <w:p w14:paraId="33F16322">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本项目不属于码头项目</w:t>
                  </w:r>
                </w:p>
              </w:tc>
              <w:tc>
                <w:tcPr>
                  <w:tcW w:w="505" w:type="pct"/>
                  <w:vAlign w:val="center"/>
                </w:tcPr>
                <w:p w14:paraId="4E74ED16">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8AD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6A553AA">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w:t>
                  </w:r>
                </w:p>
              </w:tc>
              <w:tc>
                <w:tcPr>
                  <w:tcW w:w="2599" w:type="pct"/>
                  <w:vAlign w:val="center"/>
                </w:tcPr>
                <w:p w14:paraId="5F875C2D">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禁止新建、改建和扩建不符合《长江干线过江通道布局规划（2020-2035年）》的过长江通道项目（含桥梁、隧道），国家发展改革委同意过长江通道线位调整的除外</w:t>
                  </w:r>
                </w:p>
              </w:tc>
              <w:tc>
                <w:tcPr>
                  <w:tcW w:w="1464" w:type="pct"/>
                  <w:vAlign w:val="center"/>
                </w:tcPr>
                <w:p w14:paraId="66E805C2">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本项目不属于过长江通道项目</w:t>
                  </w:r>
                </w:p>
              </w:tc>
              <w:tc>
                <w:tcPr>
                  <w:tcW w:w="505" w:type="pct"/>
                  <w:vAlign w:val="center"/>
                </w:tcPr>
                <w:p w14:paraId="6E31D464">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1CE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4CD64F3">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3</w:t>
                  </w:r>
                </w:p>
              </w:tc>
              <w:tc>
                <w:tcPr>
                  <w:tcW w:w="2599" w:type="pct"/>
                  <w:vAlign w:val="center"/>
                </w:tcPr>
                <w:p w14:paraId="26A67461">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禁止在自然保护区核心区、缓冲区的岸线和河段范围内投资建设旅游和生产经营项目。自然保护区的内部未分区的，依照核心区和缓冲区的规定管控</w:t>
                  </w:r>
                </w:p>
              </w:tc>
              <w:tc>
                <w:tcPr>
                  <w:tcW w:w="1464" w:type="pct"/>
                  <w:vAlign w:val="center"/>
                </w:tcPr>
                <w:p w14:paraId="5ACB6642">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不涉及自然保护区</w:t>
                  </w:r>
                </w:p>
              </w:tc>
              <w:tc>
                <w:tcPr>
                  <w:tcW w:w="505" w:type="pct"/>
                  <w:vAlign w:val="center"/>
                </w:tcPr>
                <w:p w14:paraId="481ED495">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C7F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E99462E">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4</w:t>
                  </w:r>
                </w:p>
              </w:tc>
              <w:tc>
                <w:tcPr>
                  <w:tcW w:w="2599" w:type="pct"/>
                  <w:vAlign w:val="center"/>
                </w:tcPr>
                <w:p w14:paraId="19262669">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禁止违反风景名胜区规划，在风景名胜区内设立各类开发区。禁止在风景名胜区核心景区的岸线和河段范围内建设宾馆、招待所、培训中心、疗养院以及与风景名胜资源保护无关的项目</w:t>
                  </w:r>
                </w:p>
              </w:tc>
              <w:tc>
                <w:tcPr>
                  <w:tcW w:w="1464" w:type="pct"/>
                  <w:vAlign w:val="center"/>
                </w:tcPr>
                <w:p w14:paraId="679C397F">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不涉及风景名胜区</w:t>
                  </w:r>
                </w:p>
              </w:tc>
              <w:tc>
                <w:tcPr>
                  <w:tcW w:w="505" w:type="pct"/>
                  <w:vAlign w:val="center"/>
                </w:tcPr>
                <w:p w14:paraId="6F56B58B">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35BB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75066CB3">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5</w:t>
                  </w:r>
                </w:p>
              </w:tc>
              <w:tc>
                <w:tcPr>
                  <w:tcW w:w="2599" w:type="pct"/>
                  <w:vAlign w:val="center"/>
                </w:tcPr>
                <w:p w14:paraId="12851108">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禁止在饮用水水源准保护区的岸线和河段范围内新建、扩建对水体污染严重的建设项目，禁止改建增加排污量的建设项目</w:t>
                  </w:r>
                </w:p>
              </w:tc>
              <w:tc>
                <w:tcPr>
                  <w:tcW w:w="1464" w:type="pct"/>
                  <w:vMerge w:val="restart"/>
                  <w:vAlign w:val="center"/>
                </w:tcPr>
                <w:p w14:paraId="15EB1914">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不涉及饮用水水源保护区岸线和河段</w:t>
                  </w:r>
                </w:p>
              </w:tc>
              <w:tc>
                <w:tcPr>
                  <w:tcW w:w="505" w:type="pct"/>
                  <w:vAlign w:val="center"/>
                </w:tcPr>
                <w:p w14:paraId="772DDE71">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37C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7756FBFF">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6</w:t>
                  </w:r>
                </w:p>
              </w:tc>
              <w:tc>
                <w:tcPr>
                  <w:tcW w:w="2599" w:type="pct"/>
                  <w:vAlign w:val="center"/>
                </w:tcPr>
                <w:p w14:paraId="5F0E5F9E">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饮用水水源二级保护区的岸线和河段范围内，除遵守准保护区规定外，禁止新建、改建、扩建排放污染物的投资建设项目；禁止从事对水体有污染的水产养殖等活动</w:t>
                  </w:r>
                </w:p>
              </w:tc>
              <w:tc>
                <w:tcPr>
                  <w:tcW w:w="1464" w:type="pct"/>
                  <w:vMerge w:val="continue"/>
                  <w:vAlign w:val="center"/>
                </w:tcPr>
                <w:p w14:paraId="45772583">
                  <w:pPr>
                    <w:rPr>
                      <w:rFonts w:ascii="Times New Roman" w:hAnsi="Times New Roman" w:cs="Times New Roman"/>
                      <w:color w:val="000000" w:themeColor="text1"/>
                      <w:highlight w:val="none"/>
                      <w14:textFill>
                        <w14:solidFill>
                          <w14:schemeClr w14:val="tx1"/>
                        </w14:solidFill>
                      </w14:textFill>
                    </w:rPr>
                  </w:pPr>
                </w:p>
              </w:tc>
              <w:tc>
                <w:tcPr>
                  <w:tcW w:w="505" w:type="pct"/>
                  <w:vAlign w:val="center"/>
                </w:tcPr>
                <w:p w14:paraId="06E6E8C3">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6A6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E49209A">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7</w:t>
                  </w:r>
                </w:p>
              </w:tc>
              <w:tc>
                <w:tcPr>
                  <w:tcW w:w="2599" w:type="pct"/>
                  <w:vAlign w:val="center"/>
                </w:tcPr>
                <w:p w14:paraId="46746FD0">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464" w:type="pct"/>
                  <w:vMerge w:val="continue"/>
                  <w:vAlign w:val="center"/>
                </w:tcPr>
                <w:p w14:paraId="7BF25D6B">
                  <w:pPr>
                    <w:rPr>
                      <w:rFonts w:ascii="Times New Roman" w:hAnsi="Times New Roman" w:cs="Times New Roman"/>
                      <w:color w:val="000000" w:themeColor="text1"/>
                      <w:highlight w:val="none"/>
                      <w14:textFill>
                        <w14:solidFill>
                          <w14:schemeClr w14:val="tx1"/>
                        </w14:solidFill>
                      </w14:textFill>
                    </w:rPr>
                  </w:pPr>
                </w:p>
              </w:tc>
              <w:tc>
                <w:tcPr>
                  <w:tcW w:w="505" w:type="pct"/>
                  <w:vAlign w:val="center"/>
                </w:tcPr>
                <w:p w14:paraId="1BF6D06D">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E19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4DA4B12">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8</w:t>
                  </w:r>
                </w:p>
              </w:tc>
              <w:tc>
                <w:tcPr>
                  <w:tcW w:w="2599" w:type="pct"/>
                  <w:vAlign w:val="center"/>
                </w:tcPr>
                <w:p w14:paraId="657EB366">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禁止在水产种质资源保护区岸线和河段范围内新建围湖造田、围湖造地或挖沙采石等投资建设项目</w:t>
                  </w:r>
                </w:p>
              </w:tc>
              <w:tc>
                <w:tcPr>
                  <w:tcW w:w="1464" w:type="pct"/>
                  <w:vAlign w:val="center"/>
                </w:tcPr>
                <w:p w14:paraId="48B5434B">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不涉及水产种质资源保护区岸线和河段</w:t>
                  </w:r>
                </w:p>
              </w:tc>
              <w:tc>
                <w:tcPr>
                  <w:tcW w:w="505" w:type="pct"/>
                  <w:vAlign w:val="center"/>
                </w:tcPr>
                <w:p w14:paraId="6CE37C05">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F8E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6C3F29CF">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9</w:t>
                  </w:r>
                </w:p>
              </w:tc>
              <w:tc>
                <w:tcPr>
                  <w:tcW w:w="2599" w:type="pct"/>
                  <w:vAlign w:val="center"/>
                </w:tcPr>
                <w:p w14:paraId="4E33D7D2">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464" w:type="pct"/>
                  <w:vAlign w:val="center"/>
                </w:tcPr>
                <w:p w14:paraId="35EB633D">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不涉及国家湿地公园岸线和河段</w:t>
                  </w:r>
                </w:p>
              </w:tc>
              <w:tc>
                <w:tcPr>
                  <w:tcW w:w="505" w:type="pct"/>
                  <w:vAlign w:val="center"/>
                </w:tcPr>
                <w:p w14:paraId="224AEDBC">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1258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BE1CA7B">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10</w:t>
                  </w:r>
                </w:p>
              </w:tc>
              <w:tc>
                <w:tcPr>
                  <w:tcW w:w="2599" w:type="pct"/>
                  <w:vAlign w:val="center"/>
                </w:tcPr>
                <w:p w14:paraId="4021A0EF">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464" w:type="pct"/>
                  <w:vAlign w:val="center"/>
                </w:tcPr>
                <w:p w14:paraId="6527B8E7">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不利用、占用长江流域河湖岸线</w:t>
                  </w:r>
                </w:p>
              </w:tc>
              <w:tc>
                <w:tcPr>
                  <w:tcW w:w="505" w:type="pct"/>
                  <w:vAlign w:val="center"/>
                </w:tcPr>
                <w:p w14:paraId="3FED6C15">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7F3B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5AC0C0DD">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11</w:t>
                  </w:r>
                </w:p>
              </w:tc>
              <w:tc>
                <w:tcPr>
                  <w:tcW w:w="2599" w:type="pct"/>
                  <w:vAlign w:val="center"/>
                </w:tcPr>
                <w:p w14:paraId="2FB3C709">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禁止在《全国重要江河湖泊水功能区划》划定的河段及湖泊保护区、保留区内投资建设不利于水资源及自然生态保护的项目</w:t>
                  </w:r>
                </w:p>
              </w:tc>
              <w:tc>
                <w:tcPr>
                  <w:tcW w:w="1464" w:type="pct"/>
                  <w:vAlign w:val="center"/>
                </w:tcPr>
                <w:p w14:paraId="1EE77B90">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不涉及《全国重要江河湖泊水功能区划》划定的河段及湖泊保护区、保留区</w:t>
                  </w:r>
                </w:p>
              </w:tc>
              <w:tc>
                <w:tcPr>
                  <w:tcW w:w="505" w:type="pct"/>
                  <w:vAlign w:val="center"/>
                </w:tcPr>
                <w:p w14:paraId="317C0E3E">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B5B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1C29EB41">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12</w:t>
                  </w:r>
                </w:p>
              </w:tc>
              <w:tc>
                <w:tcPr>
                  <w:tcW w:w="2599" w:type="pct"/>
                  <w:vAlign w:val="center"/>
                </w:tcPr>
                <w:p w14:paraId="0F32ED2A">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禁止在长江流域江河、湖泊新设、改设或者扩大排污口，经有管辖权的生态环境主管部门或者长江流域生态环境监督管理机构同意的除外</w:t>
                  </w:r>
                </w:p>
              </w:tc>
              <w:tc>
                <w:tcPr>
                  <w:tcW w:w="1464" w:type="pct"/>
                  <w:vAlign w:val="center"/>
                </w:tcPr>
                <w:p w14:paraId="2FC121DA">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本项目废水为间接排放，不涉及</w:t>
                  </w:r>
                  <w:r>
                    <w:rPr>
                      <w:rFonts w:ascii="Times New Roman" w:hAnsi="Times New Roman" w:cs="Times New Roman"/>
                      <w:color w:val="000000" w:themeColor="text1"/>
                      <w:szCs w:val="21"/>
                      <w:highlight w:val="none"/>
                      <w14:textFill>
                        <w14:solidFill>
                          <w14:schemeClr w14:val="tx1"/>
                        </w14:solidFill>
                      </w14:textFill>
                    </w:rPr>
                    <w:t>排污口设置</w:t>
                  </w:r>
                </w:p>
              </w:tc>
              <w:tc>
                <w:tcPr>
                  <w:tcW w:w="505" w:type="pct"/>
                  <w:vAlign w:val="center"/>
                </w:tcPr>
                <w:p w14:paraId="1F3C6783">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DAA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CAFDDA5">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13</w:t>
                  </w:r>
                </w:p>
              </w:tc>
              <w:tc>
                <w:tcPr>
                  <w:tcW w:w="2599" w:type="pct"/>
                  <w:vAlign w:val="center"/>
                </w:tcPr>
                <w:p w14:paraId="41D6E612">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禁止在长江干流、大渡河、岷江、赤水河、沱江、嘉陵江、乌江、汉江和51个（四川省45个、重庆市6个）水生生物保护区开展生产性捕捞</w:t>
                  </w:r>
                </w:p>
              </w:tc>
              <w:tc>
                <w:tcPr>
                  <w:tcW w:w="1464" w:type="pct"/>
                  <w:vAlign w:val="center"/>
                </w:tcPr>
                <w:p w14:paraId="6C45264A">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本项目不涉及</w:t>
                  </w:r>
                  <w:r>
                    <w:rPr>
                      <w:rFonts w:ascii="Times New Roman" w:hAnsi="Times New Roman" w:cs="Times New Roman"/>
                      <w:color w:val="000000" w:themeColor="text1"/>
                      <w:szCs w:val="21"/>
                      <w:highlight w:val="none"/>
                      <w14:textFill>
                        <w14:solidFill>
                          <w14:schemeClr w14:val="tx1"/>
                        </w14:solidFill>
                      </w14:textFill>
                    </w:rPr>
                    <w:t>生产性捕捞</w:t>
                  </w:r>
                </w:p>
              </w:tc>
              <w:tc>
                <w:tcPr>
                  <w:tcW w:w="505" w:type="pct"/>
                  <w:vAlign w:val="center"/>
                </w:tcPr>
                <w:p w14:paraId="33DAD859">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F67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467E379B">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14</w:t>
                  </w:r>
                </w:p>
              </w:tc>
              <w:tc>
                <w:tcPr>
                  <w:tcW w:w="2599" w:type="pct"/>
                  <w:vAlign w:val="center"/>
                </w:tcPr>
                <w:p w14:paraId="73280C73">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禁止在长江干支流、重要湖泊岸线一公里范围内新建、扩建化工园区和化工项目</w:t>
                  </w:r>
                </w:p>
              </w:tc>
              <w:tc>
                <w:tcPr>
                  <w:tcW w:w="1464" w:type="pct"/>
                  <w:vAlign w:val="center"/>
                </w:tcPr>
                <w:p w14:paraId="62727B21">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18"/>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不属于化工项目</w:t>
                  </w:r>
                </w:p>
              </w:tc>
              <w:tc>
                <w:tcPr>
                  <w:tcW w:w="505" w:type="pct"/>
                  <w:vAlign w:val="center"/>
                </w:tcPr>
                <w:p w14:paraId="5CEA9BCB">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E53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7CF8138">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15</w:t>
                  </w:r>
                </w:p>
              </w:tc>
              <w:tc>
                <w:tcPr>
                  <w:tcW w:w="2599" w:type="pct"/>
                  <w:vAlign w:val="center"/>
                </w:tcPr>
                <w:p w14:paraId="2E9D1AF6">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禁止在长江干流岸线三公里范围内和重要支流岸线一公里范围内新建、改建、扩建尾矿库、冶炼渣库、磷石膏库，以提升安全、生态环境保护水平为目的的改建除外</w:t>
                  </w:r>
                </w:p>
              </w:tc>
              <w:tc>
                <w:tcPr>
                  <w:tcW w:w="1464" w:type="pct"/>
                  <w:vAlign w:val="center"/>
                </w:tcPr>
                <w:p w14:paraId="5C200C22">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18"/>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不属于</w:t>
                  </w:r>
                  <w:r>
                    <w:rPr>
                      <w:rFonts w:ascii="Times New Roman" w:hAnsi="Times New Roman" w:cs="Times New Roman"/>
                      <w:color w:val="000000" w:themeColor="text1"/>
                      <w:szCs w:val="21"/>
                      <w:highlight w:val="none"/>
                      <w14:textFill>
                        <w14:solidFill>
                          <w14:schemeClr w14:val="tx1"/>
                        </w14:solidFill>
                      </w14:textFill>
                    </w:rPr>
                    <w:t>尾矿库、冶炼渣库和磷石膏库</w:t>
                  </w:r>
                </w:p>
              </w:tc>
              <w:tc>
                <w:tcPr>
                  <w:tcW w:w="505" w:type="pct"/>
                  <w:vAlign w:val="center"/>
                </w:tcPr>
                <w:p w14:paraId="547E5A1A">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90E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604E2F6">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16</w:t>
                  </w:r>
                </w:p>
              </w:tc>
              <w:tc>
                <w:tcPr>
                  <w:tcW w:w="2599" w:type="pct"/>
                  <w:vAlign w:val="center"/>
                </w:tcPr>
                <w:p w14:paraId="7483DACB">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禁止在生态保护红线区域、永久基本农田集中区域和其他需要特别保护的区域内选址建设尾矿库、冶炼渣库、磷石膏库</w:t>
                  </w:r>
                </w:p>
              </w:tc>
              <w:tc>
                <w:tcPr>
                  <w:tcW w:w="1464" w:type="pct"/>
                  <w:vAlign w:val="center"/>
                </w:tcPr>
                <w:p w14:paraId="016D9F60">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不属于</w:t>
                  </w:r>
                  <w:r>
                    <w:rPr>
                      <w:rFonts w:ascii="Times New Roman" w:hAnsi="Times New Roman" w:cs="Times New Roman"/>
                      <w:color w:val="000000" w:themeColor="text1"/>
                      <w:szCs w:val="21"/>
                      <w:highlight w:val="none"/>
                      <w14:textFill>
                        <w14:solidFill>
                          <w14:schemeClr w14:val="tx1"/>
                        </w14:solidFill>
                      </w14:textFill>
                    </w:rPr>
                    <w:t>尾矿库、冶炼渣库和磷石膏库</w:t>
                  </w:r>
                </w:p>
              </w:tc>
              <w:tc>
                <w:tcPr>
                  <w:tcW w:w="505" w:type="pct"/>
                  <w:vAlign w:val="center"/>
                </w:tcPr>
                <w:p w14:paraId="6587E2A4">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EA0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F36FC72">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17</w:t>
                  </w:r>
                </w:p>
              </w:tc>
              <w:tc>
                <w:tcPr>
                  <w:tcW w:w="2599" w:type="pct"/>
                  <w:vAlign w:val="center"/>
                </w:tcPr>
                <w:p w14:paraId="6B7F6FB6">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禁止在合规园区外新建、扩建钢铁、石化、化工、焦化、建材、有色、制浆造纸等高污染项目</w:t>
                  </w:r>
                </w:p>
              </w:tc>
              <w:tc>
                <w:tcPr>
                  <w:tcW w:w="1464" w:type="pct"/>
                  <w:vAlign w:val="center"/>
                </w:tcPr>
                <w:p w14:paraId="12ED9234">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18"/>
                      <w:highlight w:val="none"/>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不属于钢铁、石化、化工、焦化、建材、有色、制浆造纸等高污染项目</w:t>
                  </w:r>
                </w:p>
              </w:tc>
              <w:tc>
                <w:tcPr>
                  <w:tcW w:w="505" w:type="pct"/>
                  <w:vAlign w:val="center"/>
                </w:tcPr>
                <w:p w14:paraId="3F0E9CBF">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6A0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51DD86F0">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18</w:t>
                  </w:r>
                </w:p>
              </w:tc>
              <w:tc>
                <w:tcPr>
                  <w:tcW w:w="2599" w:type="pct"/>
                  <w:vAlign w:val="center"/>
                </w:tcPr>
                <w:p w14:paraId="3A8E8C97">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禁止新建、扩建不符合国家石化、现代煤化工等产业布局规划的项目：</w:t>
                  </w:r>
                </w:p>
                <w:p w14:paraId="09B449CF">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①严格控制新增炼油产能，未列入《石化产业规划布局方案（修订版）》的新增炼油产能一律不得建设。</w:t>
                  </w:r>
                </w:p>
                <w:p w14:paraId="64805294">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②新建煤制烯烃、煤制芳烃项目必须列入《现代煤化工产业创新发展布局方案》，必须符合《现代煤化工建设项目环境准入条件（试行）》要求</w:t>
                  </w:r>
                </w:p>
              </w:tc>
              <w:tc>
                <w:tcPr>
                  <w:tcW w:w="1464" w:type="pct"/>
                  <w:vAlign w:val="center"/>
                </w:tcPr>
                <w:p w14:paraId="29ECE370">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18"/>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不属于</w:t>
                  </w:r>
                  <w:r>
                    <w:rPr>
                      <w:rFonts w:ascii="Times New Roman" w:hAnsi="Times New Roman" w:cs="Times New Roman"/>
                      <w:color w:val="000000" w:themeColor="text1"/>
                      <w:szCs w:val="21"/>
                      <w:highlight w:val="none"/>
                      <w14:textFill>
                        <w14:solidFill>
                          <w14:schemeClr w14:val="tx1"/>
                        </w14:solidFill>
                      </w14:textFill>
                    </w:rPr>
                    <w:t>石化、现代煤化工等项目</w:t>
                  </w:r>
                </w:p>
              </w:tc>
              <w:tc>
                <w:tcPr>
                  <w:tcW w:w="505" w:type="pct"/>
                  <w:vAlign w:val="center"/>
                </w:tcPr>
                <w:p w14:paraId="7FDE1A33">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4EBF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4341FBF6">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19</w:t>
                  </w:r>
                </w:p>
              </w:tc>
              <w:tc>
                <w:tcPr>
                  <w:tcW w:w="2599" w:type="pct"/>
                  <w:vAlign w:val="center"/>
                </w:tcPr>
                <w:p w14:paraId="556BE4EE">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464" w:type="pct"/>
                  <w:vAlign w:val="center"/>
                </w:tcPr>
                <w:p w14:paraId="273A7320">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本项目不属于落后产能项目</w:t>
                  </w:r>
                </w:p>
              </w:tc>
              <w:tc>
                <w:tcPr>
                  <w:tcW w:w="505" w:type="pct"/>
                  <w:vAlign w:val="center"/>
                </w:tcPr>
                <w:p w14:paraId="085F6559">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665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2F7C45B2">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20</w:t>
                  </w:r>
                </w:p>
              </w:tc>
              <w:tc>
                <w:tcPr>
                  <w:tcW w:w="2599" w:type="pct"/>
                  <w:vAlign w:val="center"/>
                </w:tcPr>
                <w:p w14:paraId="4D8A8EA9">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禁止新建、扩建不符合国家产能置换要求的严重过剩产能行业的项目。对于不符合国家产能置换要求的严重过剩产能行业，不得以其他任何名义、任何方式备案新增产能项目</w:t>
                  </w:r>
                </w:p>
              </w:tc>
              <w:tc>
                <w:tcPr>
                  <w:tcW w:w="1464" w:type="pct"/>
                  <w:vAlign w:val="center"/>
                </w:tcPr>
                <w:p w14:paraId="578FD0CB">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本项目不属于严重过剩产能行业项目</w:t>
                  </w:r>
                </w:p>
              </w:tc>
              <w:tc>
                <w:tcPr>
                  <w:tcW w:w="505" w:type="pct"/>
                  <w:vAlign w:val="center"/>
                </w:tcPr>
                <w:p w14:paraId="4349EF10">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6EB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432" w:type="pct"/>
                  <w:vAlign w:val="center"/>
                </w:tcPr>
                <w:p w14:paraId="6BEBA078">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21</w:t>
                  </w:r>
                </w:p>
              </w:tc>
              <w:tc>
                <w:tcPr>
                  <w:tcW w:w="2599" w:type="pct"/>
                  <w:vAlign w:val="center"/>
                </w:tcPr>
                <w:p w14:paraId="49781C78">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禁止建设以下燃油汽车投资项目（不在中国境内销售产品的投资项目除外）</w:t>
                  </w:r>
                </w:p>
                <w:p w14:paraId="1FE9119F">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①新建独立燃油汽车企业；</w:t>
                  </w:r>
                </w:p>
                <w:p w14:paraId="4B55B510">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②现有汽车企业跨乘用车、商用车类别建设燃油汽车生产能力；</w:t>
                  </w:r>
                </w:p>
                <w:p w14:paraId="320FF869">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③外省现有燃油汽车企业整体搬迁至本省（列入国家级区域发展规划或不改变企业股权结构的项目除外）；</w:t>
                  </w:r>
                </w:p>
                <w:p w14:paraId="29B9A691">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④对行业管理部门特别公示的燃油汽车企业进行投资（企业原有股东投资或将该企业转为非独立法人的投资项目除外）</w:t>
                  </w:r>
                </w:p>
              </w:tc>
              <w:tc>
                <w:tcPr>
                  <w:tcW w:w="1464" w:type="pct"/>
                  <w:vAlign w:val="center"/>
                </w:tcPr>
                <w:p w14:paraId="5237DB05">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本项目为</w:t>
                  </w:r>
                  <w:r>
                    <w:rPr>
                      <w:rFonts w:hint="eastAsia" w:ascii="Times New Roman" w:hAnsi="Times New Roman" w:cs="Times New Roman"/>
                      <w:color w:val="000000" w:themeColor="text1"/>
                      <w:szCs w:val="21"/>
                      <w:highlight w:val="none"/>
                      <w14:textFill>
                        <w14:solidFill>
                          <w14:schemeClr w14:val="tx1"/>
                        </w14:solidFill>
                      </w14:textFill>
                    </w:rPr>
                    <w:t>摩托车零部件表面喷粉项目</w:t>
                  </w:r>
                  <w:r>
                    <w:rPr>
                      <w:rFonts w:ascii="Times New Roman" w:hAnsi="Times New Roman" w:cs="Times New Roman"/>
                      <w:color w:val="000000" w:themeColor="text1"/>
                      <w:szCs w:val="18"/>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不属于燃油汽车投资项目</w:t>
                  </w:r>
                </w:p>
              </w:tc>
              <w:tc>
                <w:tcPr>
                  <w:tcW w:w="505" w:type="pct"/>
                  <w:vAlign w:val="center"/>
                </w:tcPr>
                <w:p w14:paraId="43DA408F">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B4C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33873E7">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22</w:t>
                  </w:r>
                </w:p>
              </w:tc>
              <w:tc>
                <w:tcPr>
                  <w:tcW w:w="2599" w:type="pct"/>
                  <w:vAlign w:val="center"/>
                </w:tcPr>
                <w:p w14:paraId="17C33791">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禁止新建、扩建不符合要求的高耗能、高排放、低水平项目</w:t>
                  </w:r>
                </w:p>
              </w:tc>
              <w:tc>
                <w:tcPr>
                  <w:tcW w:w="1464" w:type="pct"/>
                  <w:vAlign w:val="center"/>
                </w:tcPr>
                <w:p w14:paraId="37377691">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本项目不属于高耗能、高排放、低水平项目</w:t>
                  </w:r>
                </w:p>
              </w:tc>
              <w:tc>
                <w:tcPr>
                  <w:tcW w:w="505" w:type="pct"/>
                  <w:vAlign w:val="center"/>
                </w:tcPr>
                <w:p w14:paraId="65CC57B0">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bl>
          <w:p w14:paraId="01E9D5A9">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根据表1.</w:t>
            </w:r>
            <w:r>
              <w:rPr>
                <w:rFonts w:hint="eastAsia" w:ascii="Times New Roman" w:hAnsi="Times New Roman" w:cs="Times New Roman"/>
                <w:color w:val="000000" w:themeColor="text1"/>
                <w:sz w:val="24"/>
                <w:highlight w:val="none"/>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4</w:t>
            </w:r>
            <w:r>
              <w:rPr>
                <w:rFonts w:ascii="Times New Roman" w:hAnsi="Times New Roman" w:cs="Times New Roman"/>
                <w:color w:val="000000" w:themeColor="text1"/>
                <w:sz w:val="24"/>
                <w:highlight w:val="none"/>
                <w14:textFill>
                  <w14:solidFill>
                    <w14:schemeClr w14:val="tx1"/>
                  </w14:solidFill>
                </w14:textFill>
              </w:rPr>
              <w:t>分析可知，本项目不属于《四川省、重庆市长江经济带发展负面清单实施细则（试行，2022年版）》禁止建设类项目，符合相关要求。</w:t>
            </w:r>
          </w:p>
          <w:p w14:paraId="02B66FAB">
            <w:pPr>
              <w:spacing w:line="360" w:lineRule="auto"/>
              <w:ind w:firstLine="482" w:firstLineChars="200"/>
              <w:rPr>
                <w:rFonts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14:textFill>
                  <w14:solidFill>
                    <w14:schemeClr w14:val="tx1"/>
                  </w14:solidFill>
                </w14:textFill>
              </w:rPr>
              <w:t>4）</w:t>
            </w:r>
            <w:r>
              <w:rPr>
                <w:rFonts w:ascii="Times New Roman" w:hAnsi="Times New Roman" w:cs="Times New Roman"/>
                <w:b/>
                <w:color w:val="000000" w:themeColor="text1"/>
                <w:sz w:val="24"/>
                <w:highlight w:val="none"/>
                <w14:textFill>
                  <w14:solidFill>
                    <w14:schemeClr w14:val="tx1"/>
                  </w14:solidFill>
                </w14:textFill>
              </w:rPr>
              <w:t>与《中华人民共和国长江保护法》的符合性分析</w:t>
            </w:r>
          </w:p>
          <w:p w14:paraId="2BE69A3D">
            <w:pPr>
              <w:spacing w:line="360" w:lineRule="auto"/>
              <w:jc w:val="center"/>
              <w:rPr>
                <w:rFonts w:ascii="Times New Roman" w:hAnsi="Times New Roman" w:cs="Times New Roman"/>
                <w:b/>
                <w:color w:val="000000" w:themeColor="text1"/>
                <w:sz w:val="24"/>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表1.</w:t>
            </w:r>
            <w:r>
              <w:rPr>
                <w:rFonts w:hint="eastAsia" w:ascii="Times New Roman" w:hAnsi="Times New Roman" w:cs="Times New Roman"/>
                <w:b/>
                <w:color w:val="000000" w:themeColor="text1"/>
                <w:sz w:val="24"/>
                <w:highlight w:val="none"/>
                <w14:textFill>
                  <w14:solidFill>
                    <w14:schemeClr w14:val="tx1"/>
                  </w14:solidFill>
                </w14:textFill>
              </w:rPr>
              <w:t>2</w:t>
            </w:r>
            <w:r>
              <w:rPr>
                <w:rFonts w:ascii="Times New Roman" w:hAnsi="Times New Roman" w:cs="Times New Roman"/>
                <w:b/>
                <w:color w:val="000000" w:themeColor="text1"/>
                <w:sz w:val="24"/>
                <w:highlight w:val="none"/>
                <w14:textFill>
                  <w14:solidFill>
                    <w14:schemeClr w14:val="tx1"/>
                  </w14:solidFill>
                </w14:textFill>
              </w:rPr>
              <w:t>-</w:t>
            </w:r>
            <w:r>
              <w:rPr>
                <w:rFonts w:hint="eastAsia" w:ascii="Times New Roman" w:hAnsi="Times New Roman" w:cs="Times New Roman"/>
                <w:b/>
                <w:color w:val="000000" w:themeColor="text1"/>
                <w:sz w:val="24"/>
                <w:highlight w:val="none"/>
                <w14:textFill>
                  <w14:solidFill>
                    <w14:schemeClr w14:val="tx1"/>
                  </w14:solidFill>
                </w14:textFill>
              </w:rPr>
              <w:t>5</w:t>
            </w:r>
            <w:r>
              <w:rPr>
                <w:rFonts w:ascii="Times New Roman" w:hAnsi="Times New Roman" w:cs="Times New Roman"/>
                <w:b/>
                <w:color w:val="000000" w:themeColor="text1"/>
                <w:sz w:val="24"/>
                <w:highlight w:val="none"/>
                <w14:textFill>
                  <w14:solidFill>
                    <w14:schemeClr w14:val="tx1"/>
                  </w14:solidFill>
                </w14:textFill>
              </w:rPr>
              <w:t xml:space="preserve">  与《中华人民共和国长江保护法》符合性分析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4102"/>
              <w:gridCol w:w="2501"/>
              <w:gridCol w:w="805"/>
            </w:tblGrid>
            <w:tr w14:paraId="592B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8B7D997">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序号</w:t>
                  </w:r>
                </w:p>
              </w:tc>
              <w:tc>
                <w:tcPr>
                  <w:tcW w:w="2544" w:type="pct"/>
                  <w:vAlign w:val="center"/>
                </w:tcPr>
                <w:p w14:paraId="50235A55">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相关要求</w:t>
                  </w:r>
                </w:p>
              </w:tc>
              <w:tc>
                <w:tcPr>
                  <w:tcW w:w="1551" w:type="pct"/>
                  <w:vAlign w:val="center"/>
                </w:tcPr>
                <w:p w14:paraId="774D5EF8">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项目情况</w:t>
                  </w:r>
                </w:p>
              </w:tc>
              <w:tc>
                <w:tcPr>
                  <w:tcW w:w="499" w:type="pct"/>
                  <w:vAlign w:val="center"/>
                </w:tcPr>
                <w:p w14:paraId="6E41461A">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符合性</w:t>
                  </w:r>
                </w:p>
              </w:tc>
            </w:tr>
            <w:tr w14:paraId="117E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EB3535C">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w:t>
                  </w:r>
                </w:p>
              </w:tc>
              <w:tc>
                <w:tcPr>
                  <w:tcW w:w="2544" w:type="pct"/>
                  <w:vAlign w:val="center"/>
                </w:tcPr>
                <w:p w14:paraId="7091DB44">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禁止在长江流域重点生态功能区布局对生态系统有严重影响的产业。禁止重污染企业和项目向长江中上游转</w:t>
                  </w:r>
                </w:p>
              </w:tc>
              <w:tc>
                <w:tcPr>
                  <w:tcW w:w="1551" w:type="pct"/>
                  <w:vAlign w:val="center"/>
                </w:tcPr>
                <w:p w14:paraId="2695C0CE">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不在长江流域重点生态功能区内，且不属于对生态系统有严重影响的产业</w:t>
                  </w:r>
                </w:p>
              </w:tc>
              <w:tc>
                <w:tcPr>
                  <w:tcW w:w="499" w:type="pct"/>
                  <w:vAlign w:val="center"/>
                </w:tcPr>
                <w:p w14:paraId="5A12777A">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5642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37196775">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w:t>
                  </w:r>
                </w:p>
              </w:tc>
              <w:tc>
                <w:tcPr>
                  <w:tcW w:w="2544" w:type="pct"/>
                  <w:vAlign w:val="center"/>
                </w:tcPr>
                <w:p w14:paraId="64A2BBBC">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禁止在长江干支流岸线一公里范围内新建、扩建化工园区和化工项目</w:t>
                  </w:r>
                </w:p>
              </w:tc>
              <w:tc>
                <w:tcPr>
                  <w:tcW w:w="1551" w:type="pct"/>
                  <w:vAlign w:val="center"/>
                </w:tcPr>
                <w:p w14:paraId="5208F908">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不在长江干支流岸线一公里范围内，不属于化工项目</w:t>
                  </w:r>
                </w:p>
              </w:tc>
              <w:tc>
                <w:tcPr>
                  <w:tcW w:w="499" w:type="pct"/>
                  <w:vAlign w:val="center"/>
                </w:tcPr>
                <w:p w14:paraId="3D468AAA">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4401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B36A7D4">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3</w:t>
                  </w:r>
                </w:p>
              </w:tc>
              <w:tc>
                <w:tcPr>
                  <w:tcW w:w="2544" w:type="pct"/>
                  <w:vAlign w:val="center"/>
                </w:tcPr>
                <w:p w14:paraId="0AD14477">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禁止在长江干流岸线三公里范围内和重要支流岸线一公里范围内新建、改建、扩建尾矿库；但是以提升安全、生态环境保护水平为目的的改建除外</w:t>
                  </w:r>
                </w:p>
              </w:tc>
              <w:tc>
                <w:tcPr>
                  <w:tcW w:w="1551" w:type="pct"/>
                  <w:vAlign w:val="center"/>
                </w:tcPr>
                <w:p w14:paraId="193C318B">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不属于尾矿库项目</w:t>
                  </w:r>
                </w:p>
              </w:tc>
              <w:tc>
                <w:tcPr>
                  <w:tcW w:w="499" w:type="pct"/>
                  <w:vAlign w:val="center"/>
                </w:tcPr>
                <w:p w14:paraId="354570B2">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68A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7D8C24EB">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4</w:t>
                  </w:r>
                </w:p>
              </w:tc>
              <w:tc>
                <w:tcPr>
                  <w:tcW w:w="2544" w:type="pct"/>
                  <w:vAlign w:val="center"/>
                </w:tcPr>
                <w:p w14:paraId="0471577E">
                  <w:p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禁止船舶在划定的禁止航行区域内航行。因国家发展战略和国计民生需要，在水生生物重要栖息地禁止航行区域内航行的，应当由国务院交通运输主管部门商国务院农业农村主管部门同意，并应当采取必要措施，减少对重要水生生物的干扰。严格限制在长江流域生态保护红线、自然保护地、水生生物重要栖息地水域实施航道整治工程；确需整治的，应当经科学论证并依法办理相关手续</w:t>
                  </w:r>
                </w:p>
              </w:tc>
              <w:tc>
                <w:tcPr>
                  <w:tcW w:w="1551" w:type="pct"/>
                  <w:vAlign w:val="center"/>
                </w:tcPr>
                <w:p w14:paraId="0B3623AA">
                  <w:p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本项目位于重庆西彭工业园区西彭组团D标准分区，不涉及生态保护红线、自然保护地、水生生物重要栖息地水域等区域，不属于通航等行业</w:t>
                  </w:r>
                </w:p>
              </w:tc>
              <w:tc>
                <w:tcPr>
                  <w:tcW w:w="499" w:type="pct"/>
                  <w:vAlign w:val="center"/>
                </w:tcPr>
                <w:p w14:paraId="3702EEA6">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A42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7E998AC8">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5</w:t>
                  </w:r>
                </w:p>
              </w:tc>
              <w:tc>
                <w:tcPr>
                  <w:tcW w:w="2544" w:type="pct"/>
                  <w:vAlign w:val="center"/>
                </w:tcPr>
                <w:p w14:paraId="636E1CF4">
                  <w:p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kern w:val="0"/>
                      <w:szCs w:val="22"/>
                      <w:highlight w:val="none"/>
                      <w14:textFill>
                        <w14:solidFill>
                          <w14:schemeClr w14:val="tx1"/>
                        </w14:solidFill>
                      </w14:textFill>
                    </w:rPr>
                    <w:t>禁止在长江流域开放水域养殖、投放外来物种或者其他非本地物种种质资源</w:t>
                  </w:r>
                </w:p>
              </w:tc>
              <w:tc>
                <w:tcPr>
                  <w:tcW w:w="1551" w:type="pct"/>
                  <w:vAlign w:val="center"/>
                </w:tcPr>
                <w:p w14:paraId="1259B80D">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不属于养殖行业</w:t>
                  </w:r>
                </w:p>
              </w:tc>
              <w:tc>
                <w:tcPr>
                  <w:tcW w:w="499" w:type="pct"/>
                  <w:vAlign w:val="center"/>
                </w:tcPr>
                <w:p w14:paraId="16F6846C">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4CA8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06A9ED8">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6</w:t>
                  </w:r>
                </w:p>
              </w:tc>
              <w:tc>
                <w:tcPr>
                  <w:tcW w:w="2544" w:type="pct"/>
                  <w:vAlign w:val="center"/>
                </w:tcPr>
                <w:p w14:paraId="555C8B6D">
                  <w:p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kern w:val="0"/>
                      <w:szCs w:val="22"/>
                      <w:highlight w:val="none"/>
                      <w14:textFill>
                        <w14:solidFill>
                          <w14:schemeClr w14:val="tx1"/>
                        </w14:solidFill>
                      </w14:textFill>
                    </w:rPr>
                    <w:t>磷矿开采加工、磷肥和含磷农药制造等企业，应当按照排污许可要求，采取有效措施控制总磷排放浓度和排放总量；对排污口和周边环境进行总磷监测，依法公开监测信息</w:t>
                  </w:r>
                </w:p>
              </w:tc>
              <w:tc>
                <w:tcPr>
                  <w:tcW w:w="1551" w:type="pct"/>
                  <w:vAlign w:val="center"/>
                </w:tcPr>
                <w:p w14:paraId="5A5DAEF6">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本项目不属于</w:t>
                  </w:r>
                  <w:r>
                    <w:rPr>
                      <w:rFonts w:ascii="Times New Roman" w:hAnsi="Times New Roman" w:cs="Times New Roman"/>
                      <w:color w:val="000000" w:themeColor="text1"/>
                      <w:kern w:val="0"/>
                      <w:szCs w:val="22"/>
                      <w:highlight w:val="none"/>
                      <w14:textFill>
                        <w14:solidFill>
                          <w14:schemeClr w14:val="tx1"/>
                        </w14:solidFill>
                      </w14:textFill>
                    </w:rPr>
                    <w:t>磷矿开采加工、磷肥和含磷农药制造等行业</w:t>
                  </w:r>
                </w:p>
              </w:tc>
              <w:tc>
                <w:tcPr>
                  <w:tcW w:w="499" w:type="pct"/>
                  <w:vAlign w:val="center"/>
                </w:tcPr>
                <w:p w14:paraId="570DEF74">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61E1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67AF5534">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7</w:t>
                  </w:r>
                </w:p>
              </w:tc>
              <w:tc>
                <w:tcPr>
                  <w:tcW w:w="2544" w:type="pct"/>
                  <w:vAlign w:val="center"/>
                </w:tcPr>
                <w:p w14:paraId="4C64ABB8">
                  <w:pPr>
                    <w:rPr>
                      <w:rFonts w:ascii="Times New Roman" w:hAnsi="Times New Roman" w:cs="Times New Roman"/>
                      <w:color w:val="000000" w:themeColor="text1"/>
                      <w:kern w:val="0"/>
                      <w:szCs w:val="22"/>
                      <w:highlight w:val="none"/>
                      <w14:textFill>
                        <w14:solidFill>
                          <w14:schemeClr w14:val="tx1"/>
                        </w14:solidFill>
                      </w14:textFill>
                    </w:rPr>
                  </w:pPr>
                  <w:r>
                    <w:rPr>
                      <w:rFonts w:ascii="Times New Roman" w:hAnsi="Times New Roman" w:cs="Times New Roman"/>
                      <w:color w:val="000000" w:themeColor="text1"/>
                      <w:kern w:val="0"/>
                      <w:szCs w:val="22"/>
                      <w:highlight w:val="none"/>
                      <w14:textFill>
                        <w14:solidFill>
                          <w14:schemeClr w14:val="tx1"/>
                        </w14:solidFill>
                      </w14:textFill>
                    </w:rPr>
                    <w:t>禁止在</w:t>
                  </w:r>
                  <w:r>
                    <w:rPr>
                      <w:rFonts w:ascii="Times New Roman" w:hAnsi="Times New Roman" w:cs="Times New Roman"/>
                      <w:color w:val="000000" w:themeColor="text1"/>
                      <w:szCs w:val="22"/>
                      <w:highlight w:val="none"/>
                      <w14:textFill>
                        <w14:solidFill>
                          <w14:schemeClr w14:val="tx1"/>
                        </w14:solidFill>
                      </w14:textFill>
                    </w:rPr>
                    <w:t>长江流域水上运输剧毒化学品和国家规定禁止通过内河运输的其他危险化学品</w:t>
                  </w:r>
                </w:p>
              </w:tc>
              <w:tc>
                <w:tcPr>
                  <w:tcW w:w="1551" w:type="pct"/>
                  <w:vAlign w:val="center"/>
                </w:tcPr>
                <w:p w14:paraId="4D1C8709">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本项目不涉及在长江</w:t>
                  </w:r>
                  <w:r>
                    <w:rPr>
                      <w:rFonts w:ascii="Times New Roman" w:hAnsi="Times New Roman" w:cs="Times New Roman"/>
                      <w:color w:val="000000" w:themeColor="text1"/>
                      <w:szCs w:val="22"/>
                      <w:highlight w:val="none"/>
                      <w14:textFill>
                        <w14:solidFill>
                          <w14:schemeClr w14:val="tx1"/>
                        </w14:solidFill>
                      </w14:textFill>
                    </w:rPr>
                    <w:t>流域水上运输剧毒化学品和国家规定禁止通过内河运输的其他危险化学品</w:t>
                  </w:r>
                </w:p>
              </w:tc>
              <w:tc>
                <w:tcPr>
                  <w:tcW w:w="499" w:type="pct"/>
                  <w:vAlign w:val="center"/>
                </w:tcPr>
                <w:p w14:paraId="5A755243">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2D16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2D9E4173">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8</w:t>
                  </w:r>
                </w:p>
              </w:tc>
              <w:tc>
                <w:tcPr>
                  <w:tcW w:w="2544" w:type="pct"/>
                  <w:vAlign w:val="center"/>
                </w:tcPr>
                <w:p w14:paraId="2B4198B1">
                  <w:p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kern w:val="0"/>
                      <w:szCs w:val="22"/>
                      <w:highlight w:val="none"/>
                      <w14:textFill>
                        <w14:solidFill>
                          <w14:schemeClr w14:val="tx1"/>
                        </w14:solidFill>
                      </w14:textFill>
                    </w:rPr>
                    <w:t>禁止违法利用、占用长江流域河湖岸线</w:t>
                  </w:r>
                </w:p>
              </w:tc>
              <w:tc>
                <w:tcPr>
                  <w:tcW w:w="1551" w:type="pct"/>
                  <w:vAlign w:val="center"/>
                </w:tcPr>
                <w:p w14:paraId="0E8B95D2">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不涉及利用</w:t>
                  </w:r>
                  <w:r>
                    <w:rPr>
                      <w:rFonts w:ascii="Times New Roman" w:hAnsi="Times New Roman" w:cs="Times New Roman"/>
                      <w:color w:val="000000" w:themeColor="text1"/>
                      <w:kern w:val="0"/>
                      <w:szCs w:val="22"/>
                      <w:highlight w:val="none"/>
                      <w14:textFill>
                        <w14:solidFill>
                          <w14:schemeClr w14:val="tx1"/>
                        </w14:solidFill>
                      </w14:textFill>
                    </w:rPr>
                    <w:t>、占用长江流域河湖岸线</w:t>
                  </w:r>
                </w:p>
              </w:tc>
              <w:tc>
                <w:tcPr>
                  <w:tcW w:w="499" w:type="pct"/>
                  <w:vAlign w:val="center"/>
                </w:tcPr>
                <w:p w14:paraId="1BFF52C3">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5E70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5D319E04">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9</w:t>
                  </w:r>
                </w:p>
              </w:tc>
              <w:tc>
                <w:tcPr>
                  <w:tcW w:w="2544" w:type="pct"/>
                  <w:vAlign w:val="center"/>
                </w:tcPr>
                <w:p w14:paraId="5387EBA6">
                  <w:p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kern w:val="0"/>
                      <w:szCs w:val="22"/>
                      <w:highlight w:val="none"/>
                      <w14:textFill>
                        <w14:solidFill>
                          <w14:schemeClr w14:val="tx1"/>
                        </w14:solidFill>
                      </w14:textFill>
                    </w:rPr>
                    <w:t>禁止在长江流域水土流失严重、生态脆弱的区域开展可能造成水土流失的生产建设活动。确因国家发展战略和国计民生需要建设的，应当经科学论证，并依法办理审批手续</w:t>
                  </w:r>
                </w:p>
              </w:tc>
              <w:tc>
                <w:tcPr>
                  <w:tcW w:w="1551" w:type="pct"/>
                  <w:vAlign w:val="center"/>
                </w:tcPr>
                <w:p w14:paraId="2068243C">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szCs w:val="21"/>
                      <w:highlight w:val="none"/>
                      <w14:textFill>
                        <w14:solidFill>
                          <w14:schemeClr w14:val="tx1"/>
                        </w14:solidFill>
                      </w14:textFill>
                    </w:rPr>
                    <w:t>位于重庆西彭工业园区西彭组团D标准分区，</w:t>
                  </w:r>
                  <w:r>
                    <w:rPr>
                      <w:rFonts w:ascii="Times New Roman" w:hAnsi="Times New Roman" w:cs="Times New Roman"/>
                      <w:color w:val="000000" w:themeColor="text1"/>
                      <w:highlight w:val="none"/>
                      <w14:textFill>
                        <w14:solidFill>
                          <w14:schemeClr w14:val="tx1"/>
                        </w14:solidFill>
                      </w14:textFill>
                    </w:rPr>
                    <w:t>选址不属于</w:t>
                  </w:r>
                  <w:r>
                    <w:rPr>
                      <w:rFonts w:ascii="Times New Roman" w:hAnsi="Times New Roman" w:cs="Times New Roman"/>
                      <w:color w:val="000000" w:themeColor="text1"/>
                      <w:kern w:val="0"/>
                      <w:szCs w:val="22"/>
                      <w:highlight w:val="none"/>
                      <w14:textFill>
                        <w14:solidFill>
                          <w14:schemeClr w14:val="tx1"/>
                        </w14:solidFill>
                      </w14:textFill>
                    </w:rPr>
                    <w:t>长江流域水土流失严重、生态脆弱的区域</w:t>
                  </w:r>
                </w:p>
              </w:tc>
              <w:tc>
                <w:tcPr>
                  <w:tcW w:w="499" w:type="pct"/>
                  <w:vAlign w:val="center"/>
                </w:tcPr>
                <w:p w14:paraId="5642DEF9">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r w14:paraId="06D2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2977FF55">
                  <w:pPr>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10</w:t>
                  </w:r>
                </w:p>
              </w:tc>
              <w:tc>
                <w:tcPr>
                  <w:tcW w:w="2544" w:type="pct"/>
                  <w:vAlign w:val="center"/>
                </w:tcPr>
                <w:p w14:paraId="7B8B3B83">
                  <w:pP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推动钢铁、石油、化工、有色金属、建材、船舶等产业升级改造，提升技术装备水平；推动造纸、制革、电镀、印染、有色金属、农药、氮肥、焦化、原料药制造等企业实施清洁化改造。企业应当通过技术创新减少资源消耗和污染物排放。采取措施加快重点地区危险化学品生产企业搬迁改造</w:t>
                  </w:r>
                </w:p>
              </w:tc>
              <w:tc>
                <w:tcPr>
                  <w:tcW w:w="1551" w:type="pct"/>
                  <w:vAlign w:val="center"/>
                </w:tcPr>
                <w:p w14:paraId="2777166A">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本项目不涉及</w:t>
                  </w:r>
                  <w:r>
                    <w:rPr>
                      <w:rFonts w:hint="eastAsia" w:ascii="Times New Roman" w:hAnsi="Times New Roman" w:cs="Times New Roman"/>
                      <w:color w:val="000000" w:themeColor="text1"/>
                      <w:highlight w:val="none"/>
                      <w14:textFill>
                        <w14:solidFill>
                          <w14:schemeClr w14:val="tx1"/>
                        </w14:solidFill>
                      </w14:textFill>
                    </w:rPr>
                    <w:t>限制</w:t>
                  </w:r>
                  <w:r>
                    <w:rPr>
                      <w:rFonts w:ascii="Times New Roman" w:hAnsi="Times New Roman" w:cs="Times New Roman"/>
                      <w:color w:val="000000" w:themeColor="text1"/>
                      <w:highlight w:val="none"/>
                      <w14:textFill>
                        <w14:solidFill>
                          <w14:schemeClr w14:val="tx1"/>
                        </w14:solidFill>
                      </w14:textFill>
                    </w:rPr>
                    <w:t>类、淘汰类设备使用，不涉及</w:t>
                  </w:r>
                  <w:r>
                    <w:rPr>
                      <w:rFonts w:ascii="Times New Roman" w:hAnsi="Times New Roman" w:cs="Times New Roman"/>
                      <w:color w:val="000000" w:themeColor="text1"/>
                      <w:szCs w:val="21"/>
                      <w:highlight w:val="none"/>
                      <w14:textFill>
                        <w14:solidFill>
                          <w14:schemeClr w14:val="tx1"/>
                        </w14:solidFill>
                      </w14:textFill>
                    </w:rPr>
                    <w:t>危险化学品生产</w:t>
                  </w:r>
                </w:p>
              </w:tc>
              <w:tc>
                <w:tcPr>
                  <w:tcW w:w="499" w:type="pct"/>
                  <w:vAlign w:val="center"/>
                </w:tcPr>
                <w:p w14:paraId="1EA3A3DF">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符合</w:t>
                  </w:r>
                </w:p>
              </w:tc>
            </w:tr>
          </w:tbl>
          <w:p w14:paraId="4FD87A8E">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根据上表分析可知，本项目满足《中华人民共和国长江保护法》的相关要求。</w:t>
            </w:r>
          </w:p>
          <w:p w14:paraId="3EE26A82">
            <w:pPr>
              <w:spacing w:line="360" w:lineRule="auto"/>
              <w:ind w:firstLine="482" w:firstLineChars="200"/>
              <w:rPr>
                <w:rFonts w:ascii="Times New Roman" w:hAnsi="Times New Roman" w:cs="Times New Roman"/>
                <w:color w:val="000000" w:themeColor="text1"/>
                <w:sz w:val="24"/>
                <w:szCs w:val="32"/>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14:textFill>
                  <w14:solidFill>
                    <w14:schemeClr w14:val="tx1"/>
                  </w14:solidFill>
                </w14:textFill>
              </w:rPr>
              <w:t>5）与《重庆市水生态环境保护“十四五”规划（2021~2025 年）》 符合性分析</w:t>
            </w:r>
          </w:p>
          <w:p w14:paraId="0F1CDDAA">
            <w:pPr>
              <w:spacing w:line="360" w:lineRule="auto"/>
              <w:ind w:firstLine="480" w:firstLineChars="200"/>
              <w:rPr>
                <w:rFonts w:ascii="Times New Roman" w:hAnsi="Times New Roman" w:cs="Times New Roman"/>
                <w:color w:val="000000" w:themeColor="text1"/>
                <w:sz w:val="24"/>
                <w:szCs w:val="32"/>
                <w:highlight w:val="none"/>
                <w14:textFill>
                  <w14:solidFill>
                    <w14:schemeClr w14:val="tx1"/>
                  </w14:solidFill>
                </w14:textFill>
              </w:rPr>
            </w:pPr>
            <w:r>
              <w:rPr>
                <w:rFonts w:ascii="Times New Roman" w:hAnsi="Times New Roman" w:cs="Times New Roman"/>
                <w:color w:val="000000" w:themeColor="text1"/>
                <w:sz w:val="24"/>
                <w:szCs w:val="32"/>
                <w:highlight w:val="none"/>
                <w14:textFill>
                  <w14:solidFill>
                    <w14:schemeClr w14:val="tx1"/>
                  </w14:solidFill>
                </w14:textFill>
              </w:rPr>
              <w:t>根据《重庆市生态环境局关于印发《重庆市水生态环境保护“十四五” 规划（2021~2025年）》的函》（渝环函〔2022〕347号），《重庆市水生态环境保护</w:t>
            </w:r>
            <w:r>
              <w:rPr>
                <w:rFonts w:hint="eastAsia" w:ascii="Times New Roman" w:hAnsi="Times New Roman" w:cs="Times New Roman"/>
                <w:color w:val="000000" w:themeColor="text1"/>
                <w:sz w:val="24"/>
                <w:szCs w:val="32"/>
                <w:highlight w:val="none"/>
                <w14:textFill>
                  <w14:solidFill>
                    <w14:schemeClr w14:val="tx1"/>
                  </w14:solidFill>
                </w14:textFill>
              </w:rPr>
              <w:t>“</w:t>
            </w:r>
            <w:r>
              <w:rPr>
                <w:rFonts w:ascii="Times New Roman" w:hAnsi="Times New Roman" w:cs="Times New Roman"/>
                <w:color w:val="000000" w:themeColor="text1"/>
                <w:sz w:val="24"/>
                <w:szCs w:val="32"/>
                <w:highlight w:val="none"/>
                <w14:textFill>
                  <w14:solidFill>
                    <w14:schemeClr w14:val="tx1"/>
                  </w14:solidFill>
                </w14:textFill>
              </w:rPr>
              <w:t>十四五</w:t>
            </w:r>
            <w:r>
              <w:rPr>
                <w:rFonts w:hint="eastAsia" w:ascii="Times New Roman" w:hAnsi="Times New Roman" w:cs="Times New Roman"/>
                <w:color w:val="000000" w:themeColor="text1"/>
                <w:sz w:val="24"/>
                <w:szCs w:val="32"/>
                <w:highlight w:val="none"/>
                <w14:textFill>
                  <w14:solidFill>
                    <w14:schemeClr w14:val="tx1"/>
                  </w14:solidFill>
                </w14:textFill>
              </w:rPr>
              <w:t>”</w:t>
            </w:r>
            <w:r>
              <w:rPr>
                <w:rFonts w:ascii="Times New Roman" w:hAnsi="Times New Roman" w:cs="Times New Roman"/>
                <w:color w:val="000000" w:themeColor="text1"/>
                <w:sz w:val="24"/>
                <w:szCs w:val="32"/>
                <w:highlight w:val="none"/>
                <w14:textFill>
                  <w14:solidFill>
                    <w14:schemeClr w14:val="tx1"/>
                  </w14:solidFill>
                </w14:textFill>
              </w:rPr>
              <w:t>规划（2021~2025年）》提出：</w:t>
            </w:r>
          </w:p>
          <w:p w14:paraId="61706D77">
            <w:pPr>
              <w:spacing w:line="360" w:lineRule="auto"/>
              <w:ind w:firstLine="480" w:firstLineChars="200"/>
              <w:rPr>
                <w:rFonts w:ascii="Times New Roman" w:hAnsi="Times New Roman" w:cs="Times New Roman"/>
                <w:color w:val="000000" w:themeColor="text1"/>
                <w:sz w:val="24"/>
                <w:szCs w:val="32"/>
                <w:highlight w:val="none"/>
                <w14:textFill>
                  <w14:solidFill>
                    <w14:schemeClr w14:val="tx1"/>
                  </w14:solidFill>
                </w14:textFill>
              </w:rPr>
            </w:pPr>
            <w:r>
              <w:rPr>
                <w:rFonts w:ascii="Times New Roman" w:hAnsi="Times New Roman" w:cs="Times New Roman"/>
                <w:color w:val="000000" w:themeColor="text1"/>
                <w:sz w:val="24"/>
                <w:szCs w:val="32"/>
                <w:highlight w:val="none"/>
                <w14:textFill>
                  <w14:solidFill>
                    <w14:schemeClr w14:val="tx1"/>
                  </w14:solidFill>
                </w14:textFill>
              </w:rPr>
              <w:t>强化生态空间管控。严格落实岸线空间管控，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的的改建除外。禁止在长江流域重点生态功能区布局对生态系统有严重影响的产业。禁止市外重污染企业和项目向我市转移。除在安全或者产业布局等方面有特殊要求的项目外，新建有污染物排放的工业项目应当进入工业集聚区，新建化工项目应当进入全市统一布局的化工产业集聚区。</w:t>
            </w:r>
          </w:p>
          <w:p w14:paraId="31245C9A">
            <w:pPr>
              <w:spacing w:line="360" w:lineRule="auto"/>
              <w:ind w:firstLine="480" w:firstLineChars="200"/>
              <w:rPr>
                <w:rFonts w:ascii="Times New Roman" w:hAnsi="Times New Roman" w:cs="Times New Roman"/>
                <w:color w:val="000000" w:themeColor="text1"/>
                <w:sz w:val="24"/>
                <w:szCs w:val="32"/>
                <w:highlight w:val="none"/>
                <w14:textFill>
                  <w14:solidFill>
                    <w14:schemeClr w14:val="tx1"/>
                  </w14:solidFill>
                </w14:textFill>
              </w:rPr>
            </w:pPr>
            <w:r>
              <w:rPr>
                <w:rFonts w:ascii="Times New Roman" w:hAnsi="Times New Roman" w:cs="Times New Roman"/>
                <w:color w:val="000000" w:themeColor="text1"/>
                <w:sz w:val="24"/>
                <w:szCs w:val="32"/>
                <w:highlight w:val="none"/>
                <w14:textFill>
                  <w14:solidFill>
                    <w14:schemeClr w14:val="tx1"/>
                  </w14:solidFill>
                </w14:textFill>
              </w:rPr>
              <w:t>符合性分析：项目位于重庆市西彭工业园区</w:t>
            </w:r>
            <w:r>
              <w:rPr>
                <w:rFonts w:hint="eastAsia" w:ascii="Times New Roman" w:hAnsi="Times New Roman" w:cs="Times New Roman"/>
                <w:color w:val="000000" w:themeColor="text1"/>
                <w:sz w:val="24"/>
                <w:szCs w:val="32"/>
                <w:highlight w:val="none"/>
                <w14:textFill>
                  <w14:solidFill>
                    <w14:schemeClr w14:val="tx1"/>
                  </w14:solidFill>
                </w14:textFill>
              </w:rPr>
              <w:t>D</w:t>
            </w:r>
            <w:r>
              <w:rPr>
                <w:rFonts w:ascii="Times New Roman" w:hAnsi="Times New Roman" w:cs="Times New Roman"/>
                <w:color w:val="000000" w:themeColor="text1"/>
                <w:sz w:val="24"/>
                <w:szCs w:val="32"/>
                <w:highlight w:val="none"/>
                <w14:textFill>
                  <w14:solidFill>
                    <w14:schemeClr w14:val="tx1"/>
                  </w14:solidFill>
                </w14:textFill>
              </w:rPr>
              <w:t>标准分区，不属于化工、尾矿库项目，占地不涉及重点生态功能区。符合规划要求。</w:t>
            </w:r>
          </w:p>
          <w:p w14:paraId="5B0148C6">
            <w:pPr>
              <w:spacing w:line="360" w:lineRule="auto"/>
              <w:ind w:firstLine="482" w:firstLineChars="200"/>
              <w:rPr>
                <w:rFonts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14:textFill>
                  <w14:solidFill>
                    <w14:schemeClr w14:val="tx1"/>
                  </w14:solidFill>
                </w14:textFill>
              </w:rPr>
              <w:t>6）</w:t>
            </w:r>
            <w:r>
              <w:rPr>
                <w:rFonts w:ascii="Times New Roman" w:hAnsi="Times New Roman" w:cs="Times New Roman"/>
                <w:b/>
                <w:color w:val="000000" w:themeColor="text1"/>
                <w:sz w:val="24"/>
                <w:highlight w:val="none"/>
                <w14:textFill>
                  <w14:solidFill>
                    <w14:schemeClr w14:val="tx1"/>
                  </w14:solidFill>
                </w14:textFill>
              </w:rPr>
              <w:t>与《重庆市生态环境保护</w:t>
            </w:r>
            <w:r>
              <w:rPr>
                <w:rFonts w:hint="eastAsia" w:ascii="Times New Roman" w:hAnsi="Times New Roman" w:cs="Times New Roman"/>
                <w:b/>
                <w:color w:val="000000" w:themeColor="text1"/>
                <w:sz w:val="24"/>
                <w:highlight w:val="none"/>
                <w14:textFill>
                  <w14:solidFill>
                    <w14:schemeClr w14:val="tx1"/>
                  </w14:solidFill>
                </w14:textFill>
              </w:rPr>
              <w:t>“</w:t>
            </w:r>
            <w:r>
              <w:rPr>
                <w:rFonts w:ascii="Times New Roman" w:hAnsi="Times New Roman" w:cs="Times New Roman"/>
                <w:b/>
                <w:color w:val="000000" w:themeColor="text1"/>
                <w:sz w:val="24"/>
                <w:highlight w:val="none"/>
                <w14:textFill>
                  <w14:solidFill>
                    <w14:schemeClr w14:val="tx1"/>
                  </w14:solidFill>
                </w14:textFill>
              </w:rPr>
              <w:t>十四五</w:t>
            </w:r>
            <w:r>
              <w:rPr>
                <w:rFonts w:hint="eastAsia" w:ascii="Times New Roman" w:hAnsi="Times New Roman" w:cs="Times New Roman"/>
                <w:b/>
                <w:color w:val="000000" w:themeColor="text1"/>
                <w:sz w:val="24"/>
                <w:highlight w:val="none"/>
                <w14:textFill>
                  <w14:solidFill>
                    <w14:schemeClr w14:val="tx1"/>
                  </w14:solidFill>
                </w14:textFill>
              </w:rPr>
              <w:t>”</w:t>
            </w:r>
            <w:r>
              <w:rPr>
                <w:rFonts w:ascii="Times New Roman" w:hAnsi="Times New Roman" w:cs="Times New Roman"/>
                <w:b/>
                <w:color w:val="000000" w:themeColor="text1"/>
                <w:sz w:val="24"/>
                <w:highlight w:val="none"/>
                <w14:textFill>
                  <w14:solidFill>
                    <w14:schemeClr w14:val="tx1"/>
                  </w14:solidFill>
                </w14:textFill>
              </w:rPr>
              <w:t>规划（2021~2025年）》（渝府发〔2022〕11号）符合性分析</w:t>
            </w:r>
          </w:p>
          <w:p w14:paraId="5B51C30C">
            <w:pPr>
              <w:spacing w:line="460" w:lineRule="exact"/>
              <w:ind w:firstLine="480" w:firstLineChars="200"/>
              <w:jc w:val="center"/>
              <w:rPr>
                <w:rFonts w:ascii="Times New Roman" w:hAnsi="Times New Roman" w:cs="Times New Roman"/>
                <w:bCs/>
                <w:color w:val="000000" w:themeColor="text1"/>
                <w:sz w:val="24"/>
                <w:highlight w:val="none"/>
                <w14:textFill>
                  <w14:solidFill>
                    <w14:schemeClr w14:val="tx1"/>
                  </w14:solidFill>
                </w14:textFill>
              </w:rPr>
            </w:pPr>
            <w:r>
              <w:rPr>
                <w:rFonts w:ascii="Times New Roman" w:hAnsi="Times New Roman" w:cs="Times New Roman"/>
                <w:bCs/>
                <w:color w:val="000000" w:themeColor="text1"/>
                <w:sz w:val="24"/>
                <w:highlight w:val="none"/>
                <w14:textFill>
                  <w14:solidFill>
                    <w14:schemeClr w14:val="tx1"/>
                  </w14:solidFill>
                </w14:textFill>
              </w:rPr>
              <w:t>《重庆市生态环境保护</w:t>
            </w:r>
            <w:r>
              <w:rPr>
                <w:rFonts w:hint="eastAsia" w:ascii="Times New Roman" w:hAnsi="Times New Roman" w:cs="Times New Roman"/>
                <w:bCs/>
                <w:color w:val="000000" w:themeColor="text1"/>
                <w:sz w:val="24"/>
                <w:highlight w:val="none"/>
                <w14:textFill>
                  <w14:solidFill>
                    <w14:schemeClr w14:val="tx1"/>
                  </w14:solidFill>
                </w14:textFill>
              </w:rPr>
              <w:t>“</w:t>
            </w:r>
            <w:r>
              <w:rPr>
                <w:rFonts w:ascii="Times New Roman" w:hAnsi="Times New Roman" w:cs="Times New Roman"/>
                <w:bCs/>
                <w:color w:val="000000" w:themeColor="text1"/>
                <w:sz w:val="24"/>
                <w:highlight w:val="none"/>
                <w14:textFill>
                  <w14:solidFill>
                    <w14:schemeClr w14:val="tx1"/>
                  </w14:solidFill>
                </w14:textFill>
              </w:rPr>
              <w:t>十四五</w:t>
            </w:r>
            <w:r>
              <w:rPr>
                <w:rFonts w:hint="eastAsia" w:ascii="Times New Roman" w:hAnsi="Times New Roman" w:cs="Times New Roman"/>
                <w:bCs/>
                <w:color w:val="000000" w:themeColor="text1"/>
                <w:sz w:val="24"/>
                <w:highlight w:val="none"/>
                <w14:textFill>
                  <w14:solidFill>
                    <w14:schemeClr w14:val="tx1"/>
                  </w14:solidFill>
                </w14:textFill>
              </w:rPr>
              <w:t>”</w:t>
            </w:r>
            <w:r>
              <w:rPr>
                <w:rFonts w:ascii="Times New Roman" w:hAnsi="Times New Roman" w:cs="Times New Roman"/>
                <w:bCs/>
                <w:color w:val="000000" w:themeColor="text1"/>
                <w:sz w:val="24"/>
                <w:highlight w:val="none"/>
                <w14:textFill>
                  <w14:solidFill>
                    <w14:schemeClr w14:val="tx1"/>
                  </w14:solidFill>
                </w14:textFill>
              </w:rPr>
              <w:t>规划（2021~2025年）》（渝府发〔2022〕</w:t>
            </w:r>
          </w:p>
          <w:p w14:paraId="6AB48B82">
            <w:pPr>
              <w:spacing w:line="460" w:lineRule="exact"/>
              <w:rPr>
                <w:rFonts w:ascii="Times New Roman" w:hAnsi="Times New Roman" w:cs="Times New Roman"/>
                <w:bCs/>
                <w:color w:val="000000" w:themeColor="text1"/>
                <w:sz w:val="24"/>
                <w:highlight w:val="none"/>
                <w14:textFill>
                  <w14:solidFill>
                    <w14:schemeClr w14:val="tx1"/>
                  </w14:solidFill>
                </w14:textFill>
              </w:rPr>
            </w:pPr>
            <w:r>
              <w:rPr>
                <w:rFonts w:ascii="Times New Roman" w:hAnsi="Times New Roman" w:cs="Times New Roman"/>
                <w:bCs/>
                <w:color w:val="000000" w:themeColor="text1"/>
                <w:sz w:val="24"/>
                <w:highlight w:val="none"/>
                <w14:textFill>
                  <w14:solidFill>
                    <w14:schemeClr w14:val="tx1"/>
                  </w14:solidFill>
                </w14:textFill>
              </w:rPr>
              <w:t>11号）于2022年1月7日开始执行，对比该文件，本项目符合性分析如下：</w:t>
            </w:r>
          </w:p>
          <w:p w14:paraId="2B58E680">
            <w:pPr>
              <w:spacing w:line="460" w:lineRule="exact"/>
              <w:jc w:val="center"/>
              <w:rPr>
                <w:rFonts w:ascii="Times New Roman" w:hAnsi="Times New Roman" w:cs="Times New Roman"/>
                <w:b/>
                <w:color w:val="000000" w:themeColor="text1"/>
                <w:sz w:val="24"/>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表1</w:t>
            </w:r>
            <w:r>
              <w:rPr>
                <w:rFonts w:hint="eastAsia" w:ascii="Times New Roman" w:hAnsi="Times New Roman" w:cs="Times New Roman"/>
                <w:b/>
                <w:color w:val="000000" w:themeColor="text1"/>
                <w:sz w:val="24"/>
                <w:highlight w:val="none"/>
                <w14:textFill>
                  <w14:solidFill>
                    <w14:schemeClr w14:val="tx1"/>
                  </w14:solidFill>
                </w14:textFill>
              </w:rPr>
              <w:t>.2-6项目</w:t>
            </w:r>
            <w:r>
              <w:rPr>
                <w:rFonts w:ascii="Times New Roman" w:hAnsi="Times New Roman" w:cs="Times New Roman"/>
                <w:b/>
                <w:color w:val="000000" w:themeColor="text1"/>
                <w:sz w:val="24"/>
                <w:highlight w:val="none"/>
                <w14:textFill>
                  <w14:solidFill>
                    <w14:schemeClr w14:val="tx1"/>
                  </w14:solidFill>
                </w14:textFill>
              </w:rPr>
              <w:t>与（渝府发〔2022〕11号）符合性分析</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71"/>
              <w:gridCol w:w="2459"/>
              <w:gridCol w:w="720"/>
            </w:tblGrid>
            <w:tr w14:paraId="425B3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0C8F8209">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要求</w:t>
                  </w:r>
                </w:p>
              </w:tc>
              <w:tc>
                <w:tcPr>
                  <w:tcW w:w="1526" w:type="pct"/>
                  <w:tcBorders>
                    <w:tl2br w:val="nil"/>
                    <w:tr2bl w:val="nil"/>
                  </w:tcBorders>
                  <w:vAlign w:val="center"/>
                </w:tcPr>
                <w:p w14:paraId="787C5C52">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本项目情况</w:t>
                  </w:r>
                </w:p>
              </w:tc>
              <w:tc>
                <w:tcPr>
                  <w:tcW w:w="447" w:type="pct"/>
                  <w:tcBorders>
                    <w:tl2br w:val="nil"/>
                    <w:tr2bl w:val="nil"/>
                  </w:tcBorders>
                  <w:vAlign w:val="center"/>
                </w:tcPr>
                <w:p w14:paraId="55EEB9D0">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符合性</w:t>
                  </w:r>
                </w:p>
              </w:tc>
            </w:tr>
            <w:tr w14:paraId="6345F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412CCF78">
                  <w:pPr>
                    <w:adjustRightInd w:val="0"/>
                    <w:snapToGrid w:val="0"/>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改善水环境质量</w:t>
                  </w:r>
                  <w:r>
                    <w:rPr>
                      <w:rFonts w:hint="eastAsia" w:ascii="Times New Roman" w:hAnsi="Times New Roman" w:eastAsia="宋体" w:cs="Times New Roman"/>
                      <w:color w:val="000000" w:themeColor="text1"/>
                      <w:spacing w:val="-2"/>
                      <w:szCs w:val="21"/>
                      <w:highlight w:val="none"/>
                      <w14:textFill>
                        <w14:solidFill>
                          <w14:schemeClr w14:val="tx1"/>
                        </w14:solidFill>
                      </w14:textFill>
                    </w:rPr>
                    <w:t>：加强河流水质目标管理，加强重点水环境综合治理，修复水生态扩大水环境容量，严格保护饮用水水源地水质安全</w:t>
                  </w:r>
                </w:p>
              </w:tc>
              <w:tc>
                <w:tcPr>
                  <w:tcW w:w="1526" w:type="pct"/>
                  <w:tcBorders>
                    <w:tl2br w:val="nil"/>
                    <w:tr2bl w:val="nil"/>
                  </w:tcBorders>
                  <w:vAlign w:val="center"/>
                </w:tcPr>
                <w:p w14:paraId="6F2007AE">
                  <w:pPr>
                    <w:adjustRightInd w:val="0"/>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本项目用水来源于市政自来水管网，运营期产生的生活污水依托坤坤农业公司生化池处理达标后排入西彭工业园区污水处理厂。</w:t>
                  </w:r>
                </w:p>
              </w:tc>
              <w:tc>
                <w:tcPr>
                  <w:tcW w:w="447" w:type="pct"/>
                  <w:tcBorders>
                    <w:tl2br w:val="nil"/>
                    <w:tr2bl w:val="nil"/>
                  </w:tcBorders>
                  <w:vAlign w:val="center"/>
                </w:tcPr>
                <w:p w14:paraId="3AD39D4A">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符合</w:t>
                  </w:r>
                </w:p>
              </w:tc>
            </w:tr>
            <w:tr w14:paraId="13A98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0EE5FBBE">
                  <w:pPr>
                    <w:adjustRightInd w:val="0"/>
                    <w:snapToGrid w:val="0"/>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提升大气环境质量</w:t>
                  </w:r>
                  <w:r>
                    <w:rPr>
                      <w:rFonts w:hint="eastAsia" w:ascii="Times New Roman" w:hAnsi="Times New Roman" w:eastAsia="宋体" w:cs="Times New Roman"/>
                      <w:color w:val="000000" w:themeColor="text1"/>
                      <w:spacing w:val="-2"/>
                      <w:szCs w:val="21"/>
                      <w:highlight w:val="none"/>
                      <w14:textFill>
                        <w14:solidFill>
                          <w14:schemeClr w14:val="tx1"/>
                        </w14:solidFill>
                      </w14:textFill>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推动适时把挥发性有机物纳入环境保护税征收范围。</w:t>
                  </w:r>
                </w:p>
              </w:tc>
              <w:tc>
                <w:tcPr>
                  <w:tcW w:w="1526" w:type="pct"/>
                  <w:tcBorders>
                    <w:tl2br w:val="nil"/>
                    <w:tr2bl w:val="nil"/>
                  </w:tcBorders>
                  <w:vAlign w:val="center"/>
                </w:tcPr>
                <w:p w14:paraId="27F770A1">
                  <w:pPr>
                    <w:adjustRightInd w:val="0"/>
                    <w:jc w:val="center"/>
                    <w:rPr>
                      <w:rFonts w:hint="eastAsia" w:ascii="Times New Roman" w:hAnsi="Times New Roman" w:eastAsia="宋体" w:cs="Times New Roman"/>
                      <w:color w:val="000000" w:themeColor="text1"/>
                      <w:spacing w:val="-2"/>
                      <w:szCs w:val="21"/>
                      <w:highlight w:val="none"/>
                      <w:lang w:eastAsia="zh-CN"/>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本项目</w:t>
                  </w:r>
                  <w:r>
                    <w:rPr>
                      <w:rFonts w:hint="eastAsia" w:ascii="Times New Roman" w:hAnsi="Times New Roman" w:eastAsia="宋体" w:cs="Times New Roman"/>
                      <w:color w:val="000000" w:themeColor="text1"/>
                      <w:spacing w:val="-2"/>
                      <w:szCs w:val="21"/>
                      <w:highlight w:val="none"/>
                      <w14:textFill>
                        <w14:solidFill>
                          <w14:schemeClr w14:val="tx1"/>
                        </w14:solidFill>
                      </w14:textFill>
                    </w:rPr>
                    <w:t>不涉及高VOCs含量产品及原辅料的使用，生产</w:t>
                  </w:r>
                  <w:r>
                    <w:rPr>
                      <w:rFonts w:hint="eastAsia" w:ascii="Times New Roman" w:hAnsi="Times New Roman" w:eastAsia="宋体" w:cs="Times New Roman"/>
                      <w:color w:val="000000" w:themeColor="text1"/>
                      <w:spacing w:val="-2"/>
                      <w:szCs w:val="21"/>
                      <w:highlight w:val="none"/>
                      <w:lang w:eastAsia="zh-CN"/>
                      <w14:textFill>
                        <w14:solidFill>
                          <w14:schemeClr w14:val="tx1"/>
                        </w14:solidFill>
                      </w14:textFill>
                    </w:rPr>
                    <w:t>过程</w:t>
                  </w:r>
                  <w:r>
                    <w:rPr>
                      <w:rFonts w:hint="eastAsia" w:ascii="Times New Roman" w:hAnsi="Times New Roman" w:eastAsia="宋体" w:cs="Times New Roman"/>
                      <w:color w:val="000000" w:themeColor="text1"/>
                      <w:spacing w:val="-2"/>
                      <w:szCs w:val="21"/>
                      <w:highlight w:val="none"/>
                      <w14:textFill>
                        <w14:solidFill>
                          <w14:schemeClr w14:val="tx1"/>
                        </w14:solidFill>
                      </w14:textFill>
                    </w:rPr>
                    <w:t>产生的少量有机废气经收集处理后达标排放，无组织排放量较少</w:t>
                  </w:r>
                  <w:r>
                    <w:rPr>
                      <w:rFonts w:hint="eastAsia" w:ascii="Times New Roman" w:hAnsi="Times New Roman" w:eastAsia="宋体" w:cs="Times New Roman"/>
                      <w:color w:val="000000" w:themeColor="text1"/>
                      <w:spacing w:val="-2"/>
                      <w:szCs w:val="21"/>
                      <w:highlight w:val="none"/>
                      <w:lang w:eastAsia="zh-CN"/>
                      <w14:textFill>
                        <w14:solidFill>
                          <w14:schemeClr w14:val="tx1"/>
                        </w14:solidFill>
                      </w14:textFill>
                    </w:rPr>
                    <w:t>。</w:t>
                  </w:r>
                </w:p>
              </w:tc>
              <w:tc>
                <w:tcPr>
                  <w:tcW w:w="447" w:type="pct"/>
                  <w:tcBorders>
                    <w:tl2br w:val="nil"/>
                    <w:tr2bl w:val="nil"/>
                  </w:tcBorders>
                  <w:vAlign w:val="center"/>
                </w:tcPr>
                <w:p w14:paraId="5AA8AAB3">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符合</w:t>
                  </w:r>
                </w:p>
              </w:tc>
            </w:tr>
            <w:tr w14:paraId="2BAEA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6A0E5E47">
                  <w:pPr>
                    <w:adjustRightInd w:val="0"/>
                    <w:snapToGrid w:val="0"/>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协同防治土壤和地下水污染</w:t>
                  </w:r>
                  <w:r>
                    <w:rPr>
                      <w:rFonts w:hint="eastAsia" w:ascii="Times New Roman" w:hAnsi="Times New Roman" w:eastAsia="宋体" w:cs="Times New Roman"/>
                      <w:color w:val="000000" w:themeColor="text1"/>
                      <w:spacing w:val="-2"/>
                      <w:szCs w:val="21"/>
                      <w:highlight w:val="none"/>
                      <w14:textFill>
                        <w14:solidFill>
                          <w14:schemeClr w14:val="tx1"/>
                        </w14:solidFill>
                      </w14:textFill>
                    </w:rPr>
                    <w:t>：严格建设用地土壤污染风险管控和修复。落实重点监管单位自行监测、隐患排查、有毒有害物质排放报告制度，防止新增土壤污染。开展城镇人口密集区危险化学品生产企业搬迁改造、化工污染整治腾退地块专项排查行动，建立高风险地块清单，健全建设用地再开发利用联合监管体系，完善污染地块再开发利用负面清单，分类型、分阶段开展污染地块风险管控和修复。到2025年，确保重点建设用地安全利用；实施重点区域土壤污染综合防控。选择典型行业和企业，开展企业用地及周边农用地土壤污染状况调查，掌握典型行业企业生产经营活动对企业用地及周边农用地土壤生态环境的影响。根据土壤污染状况详查结果，识别土壤环境问题突出的重点区域、重点行业和优先管控污染物。针对有色金属矿采选、有色金属冶炼、化工、农药、炼焦等土壤污染重点行业及周边区域，开展重点区域土壤污染综合防控示范区建设。因地制宜在土壤污染预防、风险管控、治理与修复、监管能力等方面进行探索；建立地下水环境管理体系。以化工园区、页岩气开采区、危险废物处置场、垃圾填埋场等为重点，开展防渗情况检测评估，统筹推进地下水安全源头预防和风险管控。建立地下水监测网络，开展地下水污染防治分区划分，公布地下水污染地块清单。开展地下水污染修复试点，实施地表水—地下水、土壤—地下水、区域—地块地下水污染协同防治。探索地下水污染防治的管理模式和技术路径，保持地下水环境质量总体稳定。</w:t>
                  </w:r>
                </w:p>
              </w:tc>
              <w:tc>
                <w:tcPr>
                  <w:tcW w:w="1526" w:type="pct"/>
                  <w:tcBorders>
                    <w:tl2br w:val="nil"/>
                    <w:tr2bl w:val="nil"/>
                  </w:tcBorders>
                  <w:vAlign w:val="center"/>
                </w:tcPr>
                <w:p w14:paraId="4443C041">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评价要求企业针对危废贮存点等地进行重点防渗处理，液态物料等在厂内转运时，容器底部设置接防渗漏托盘，收集跑、冒、漏、滴的液体，防止化学品滴落地面造成土壤或地下水污染。危险废物经分类收集后，暂存于危险废物暂存间，定期交于有资质单位收集处理，严格执行危险废物联单转移制度。</w:t>
                  </w:r>
                </w:p>
              </w:tc>
              <w:tc>
                <w:tcPr>
                  <w:tcW w:w="447" w:type="pct"/>
                  <w:tcBorders>
                    <w:tl2br w:val="nil"/>
                    <w:tr2bl w:val="nil"/>
                  </w:tcBorders>
                  <w:vAlign w:val="center"/>
                </w:tcPr>
                <w:p w14:paraId="76335E1E">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符合</w:t>
                  </w:r>
                </w:p>
              </w:tc>
            </w:tr>
            <w:tr w14:paraId="12CEAE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65BBAB4B">
                  <w:pPr>
                    <w:adjustRightInd w:val="0"/>
                    <w:snapToGrid w:val="0"/>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管控噪声环境影响</w:t>
                  </w:r>
                  <w:r>
                    <w:rPr>
                      <w:rFonts w:hint="eastAsia" w:ascii="Times New Roman" w:hAnsi="Times New Roman" w:eastAsia="宋体" w:cs="Times New Roman"/>
                      <w:color w:val="000000" w:themeColor="text1"/>
                      <w:spacing w:val="-2"/>
                      <w:szCs w:val="21"/>
                      <w:highlight w:val="none"/>
                      <w14:textFill>
                        <w14:solidFill>
                          <w14:schemeClr w14:val="tx1"/>
                        </w14:solidFill>
                      </w14:textFill>
                    </w:rPr>
                    <w:t>：加强建筑施工噪声监管。完善城市夜间作业审核管理，落实城市建筑施工环保公告制度，依法严格限定施工作业时间，严格限制在敏感区内进行产生噪声污染的夜间施工作业。进一步加大对违法夜间施工行为的巡查和行政处罚力度。推进噪声自动监测系统对建筑施工进行实时监督，鼓励使用低噪声施工设备和工艺，对施工强噪声单元实行全封闭管理；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1526" w:type="pct"/>
                  <w:tcBorders>
                    <w:tl2br w:val="nil"/>
                    <w:tr2bl w:val="nil"/>
                  </w:tcBorders>
                  <w:vAlign w:val="center"/>
                </w:tcPr>
                <w:p w14:paraId="6BA752C8">
                  <w:pPr>
                    <w:adjustRightInd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本项目将严格落实施工期噪声监管措施；主要生产设备布局远离噪声敏感点，并采取相应的降噪措施，避免出现噪声扰民事件。本项目所在地属于3类声功能区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tc>
              <w:tc>
                <w:tcPr>
                  <w:tcW w:w="447" w:type="pct"/>
                  <w:tcBorders>
                    <w:tl2br w:val="nil"/>
                    <w:tr2bl w:val="nil"/>
                  </w:tcBorders>
                  <w:vAlign w:val="center"/>
                </w:tcPr>
                <w:p w14:paraId="0D1FAA23">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符合</w:t>
                  </w:r>
                </w:p>
              </w:tc>
            </w:tr>
            <w:tr w14:paraId="5D6E1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025" w:type="pct"/>
                  <w:tcBorders>
                    <w:tl2br w:val="nil"/>
                    <w:tr2bl w:val="nil"/>
                  </w:tcBorders>
                  <w:vAlign w:val="center"/>
                </w:tcPr>
                <w:p w14:paraId="1E035790">
                  <w:pPr>
                    <w:adjustRightInd w:val="0"/>
                    <w:snapToGrid w:val="0"/>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健全环境风险防控体系</w:t>
                  </w:r>
                  <w:r>
                    <w:rPr>
                      <w:rFonts w:hint="eastAsia" w:ascii="Times New Roman" w:hAnsi="Times New Roman" w:eastAsia="宋体" w:cs="Times New Roman"/>
                      <w:color w:val="000000" w:themeColor="text1"/>
                      <w:spacing w:val="-2"/>
                      <w:szCs w:val="21"/>
                      <w:highlight w:val="none"/>
                      <w14:textFill>
                        <w14:solidFill>
                          <w14:schemeClr w14:val="tx1"/>
                        </w14:solidFill>
                      </w14:textFill>
                    </w:rPr>
                    <w:t>：加强环境风险评估。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强化环境风险事前防范，完善生态环境、应急、公安、交通、卫生健康等多部门对重大环境风险源的联合监管机制。</w:t>
                  </w:r>
                </w:p>
                <w:p w14:paraId="0142F0E1">
                  <w:pPr>
                    <w:adjustRightInd w:val="0"/>
                    <w:snapToGrid w:val="0"/>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完善环境风险预警体系。加强环境风险隐患排查整治，定期开展环境安全排查整治专项行动，建立环境风险隐患排查档案，实行销号制度。强化区域环境风险防范预警体系建设，完善部门协同和信息共享机制。强化化工园区涉水突发环境事件四级环境风险防范体系建设。持续推进重点化工园区（化工集中区）建设有毒有害气体监测预警体系和水质生物毒性预警体系。</w:t>
                  </w:r>
                </w:p>
                <w:p w14:paraId="001F98BF">
                  <w:pPr>
                    <w:adjustRightInd w:val="0"/>
                    <w:snapToGrid w:val="0"/>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强化应急响应管理。按照政府主导、企业主体、部门联动、专家支持、社会救援的突发环境事件应急处置机制，积极推动企业环境应急专业救援队伍参与全市环境应急抢险救援工作。重点企业和乡镇级以上人民政府应当制定突发环境事件应急预案。定期组织开展突发环境事件应急演练，妥善处置突发环境事件。推进基层环境应急能力建设，推动环境应急信息化、智慧化管理，完善环境风险管理应急指挥体系。完善环境应急物资储备网络，加强特征污染物应急物资储备。</w:t>
                  </w:r>
                </w:p>
                <w:p w14:paraId="573382EC">
                  <w:pPr>
                    <w:adjustRightInd w:val="0"/>
                    <w:snapToGrid w:val="0"/>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加强生态环境与健康风险管理。以在校青少年和农村居民等人群为重点，向公众、家庭、单位（企业）普及生态环境与健康相关的防护和应对知识，提升生态环境与健康素养。开展重点区域、流域、行业生态环境与健康风险调查监测，建立完善生态环境与健康风险监测网络。</w:t>
                  </w:r>
                </w:p>
              </w:tc>
              <w:tc>
                <w:tcPr>
                  <w:tcW w:w="1526" w:type="pct"/>
                  <w:tcBorders>
                    <w:tl2br w:val="nil"/>
                    <w:tr2bl w:val="nil"/>
                  </w:tcBorders>
                  <w:vAlign w:val="center"/>
                </w:tcPr>
                <w:p w14:paraId="6E326B2A">
                  <w:pPr>
                    <w:adjustRightIn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本项目无重大风险，评价要求企业应自主组织开展应急预案培训、宣传及演练。</w:t>
                  </w:r>
                </w:p>
              </w:tc>
              <w:tc>
                <w:tcPr>
                  <w:tcW w:w="447" w:type="pct"/>
                  <w:tcBorders>
                    <w:tl2br w:val="nil"/>
                    <w:tr2bl w:val="nil"/>
                  </w:tcBorders>
                  <w:vAlign w:val="center"/>
                </w:tcPr>
                <w:p w14:paraId="1F460D04">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符合</w:t>
                  </w:r>
                </w:p>
              </w:tc>
            </w:tr>
          </w:tbl>
          <w:p w14:paraId="633C323B">
            <w:pPr>
              <w:keepNext/>
              <w:overflowPunct w:val="0"/>
              <w:adjustRightInd w:val="0"/>
              <w:snapToGrid w:val="0"/>
              <w:spacing w:line="460" w:lineRule="exact"/>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由上表分析可知，本项目建设符合《重庆市生态环境保护“十四五”规划</w:t>
            </w:r>
          </w:p>
          <w:p w14:paraId="175FF400">
            <w:pPr>
              <w:keepNext/>
              <w:overflowPunct w:val="0"/>
              <w:adjustRightInd w:val="0"/>
              <w:snapToGrid w:val="0"/>
              <w:spacing w:line="460" w:lineRule="exact"/>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（2021~2025年）》（渝府发〔2022〕11号）。</w:t>
            </w:r>
          </w:p>
          <w:p w14:paraId="5720736C">
            <w:pPr>
              <w:keepNext/>
              <w:overflowPunct w:val="0"/>
              <w:adjustRightInd w:val="0"/>
              <w:snapToGrid w:val="0"/>
              <w:spacing w:line="460" w:lineRule="exact"/>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7）</w:t>
            </w:r>
            <w:r>
              <w:rPr>
                <w:rFonts w:ascii="Times New Roman" w:hAnsi="Times New Roman" w:cs="Times New Roman"/>
                <w:b/>
                <w:bCs/>
                <w:color w:val="000000" w:themeColor="text1"/>
                <w:sz w:val="24"/>
                <w:highlight w:val="none"/>
                <w14:textFill>
                  <w14:solidFill>
                    <w14:schemeClr w14:val="tx1"/>
                  </w14:solidFill>
                </w14:textFill>
              </w:rPr>
              <w:t>与《重庆市九龙坡区生态环境保护“十四五”规划》（九龙坡府办发〔2022〕1号）符合性分析</w:t>
            </w:r>
          </w:p>
          <w:p w14:paraId="12F8E4C2">
            <w:pPr>
              <w:spacing w:line="460" w:lineRule="exact"/>
              <w:ind w:firstLine="480" w:firstLineChars="200"/>
              <w:jc w:val="center"/>
              <w:rPr>
                <w:rFonts w:ascii="Times New Roman" w:hAnsi="Times New Roman" w:cs="Times New Roman"/>
                <w:bCs/>
                <w:color w:val="000000" w:themeColor="text1"/>
                <w:sz w:val="24"/>
                <w:highlight w:val="none"/>
                <w14:textFill>
                  <w14:solidFill>
                    <w14:schemeClr w14:val="tx1"/>
                  </w14:solidFill>
                </w14:textFill>
              </w:rPr>
            </w:pPr>
            <w:r>
              <w:rPr>
                <w:rFonts w:ascii="Times New Roman" w:hAnsi="Times New Roman" w:cs="Times New Roman"/>
                <w:bCs/>
                <w:color w:val="000000" w:themeColor="text1"/>
                <w:sz w:val="24"/>
                <w:highlight w:val="none"/>
                <w14:textFill>
                  <w14:solidFill>
                    <w14:schemeClr w14:val="tx1"/>
                  </w14:solidFill>
                </w14:textFill>
              </w:rPr>
              <w:t>《重庆市九龙坡区生态环境保护</w:t>
            </w:r>
            <w:r>
              <w:rPr>
                <w:rFonts w:hint="eastAsia" w:ascii="Times New Roman" w:hAnsi="Times New Roman" w:cs="Times New Roman"/>
                <w:bCs/>
                <w:color w:val="000000" w:themeColor="text1"/>
                <w:sz w:val="24"/>
                <w:highlight w:val="none"/>
                <w14:textFill>
                  <w14:solidFill>
                    <w14:schemeClr w14:val="tx1"/>
                  </w14:solidFill>
                </w14:textFill>
              </w:rPr>
              <w:t>“</w:t>
            </w:r>
            <w:r>
              <w:rPr>
                <w:rFonts w:ascii="Times New Roman" w:hAnsi="Times New Roman" w:cs="Times New Roman"/>
                <w:bCs/>
                <w:color w:val="000000" w:themeColor="text1"/>
                <w:sz w:val="24"/>
                <w:highlight w:val="none"/>
                <w14:textFill>
                  <w14:solidFill>
                    <w14:schemeClr w14:val="tx1"/>
                  </w14:solidFill>
                </w14:textFill>
              </w:rPr>
              <w:t>十四五</w:t>
            </w:r>
            <w:r>
              <w:rPr>
                <w:rFonts w:hint="eastAsia" w:ascii="Times New Roman" w:hAnsi="Times New Roman" w:cs="Times New Roman"/>
                <w:bCs/>
                <w:color w:val="000000" w:themeColor="text1"/>
                <w:sz w:val="24"/>
                <w:highlight w:val="none"/>
                <w14:textFill>
                  <w14:solidFill>
                    <w14:schemeClr w14:val="tx1"/>
                  </w14:solidFill>
                </w14:textFill>
              </w:rPr>
              <w:t>”</w:t>
            </w:r>
            <w:r>
              <w:rPr>
                <w:rFonts w:ascii="Times New Roman" w:hAnsi="Times New Roman" w:cs="Times New Roman"/>
                <w:bCs/>
                <w:color w:val="000000" w:themeColor="text1"/>
                <w:sz w:val="24"/>
                <w:highlight w:val="none"/>
                <w14:textFill>
                  <w14:solidFill>
                    <w14:schemeClr w14:val="tx1"/>
                  </w14:solidFill>
                </w14:textFill>
              </w:rPr>
              <w:t>规划》（九龙坡府办发〔2022〕</w:t>
            </w:r>
          </w:p>
          <w:p w14:paraId="716C96E1">
            <w:pPr>
              <w:spacing w:line="460" w:lineRule="exact"/>
              <w:jc w:val="left"/>
              <w:rPr>
                <w:rFonts w:ascii="Times New Roman" w:hAnsi="Times New Roman" w:cs="Times New Roman"/>
                <w:bCs/>
                <w:color w:val="000000" w:themeColor="text1"/>
                <w:sz w:val="24"/>
                <w:highlight w:val="none"/>
                <w14:textFill>
                  <w14:solidFill>
                    <w14:schemeClr w14:val="tx1"/>
                  </w14:solidFill>
                </w14:textFill>
              </w:rPr>
            </w:pPr>
            <w:r>
              <w:rPr>
                <w:rFonts w:ascii="Times New Roman" w:hAnsi="Times New Roman" w:cs="Times New Roman"/>
                <w:bCs/>
                <w:color w:val="000000" w:themeColor="text1"/>
                <w:sz w:val="24"/>
                <w:highlight w:val="none"/>
                <w14:textFill>
                  <w14:solidFill>
                    <w14:schemeClr w14:val="tx1"/>
                  </w14:solidFill>
                </w14:textFill>
              </w:rPr>
              <w:t>1号）于2022年1月7日开始执行，对比该文件，本项目符合性分析如下：</w:t>
            </w:r>
          </w:p>
          <w:p w14:paraId="6DE51C9D">
            <w:pPr>
              <w:spacing w:line="460" w:lineRule="exact"/>
              <w:jc w:val="center"/>
              <w:rPr>
                <w:rFonts w:ascii="Times New Roman" w:hAnsi="Times New Roman" w:eastAsia="宋体" w:cs="Times New Roman"/>
                <w:b/>
                <w:color w:val="000000" w:themeColor="text1"/>
                <w:sz w:val="24"/>
                <w:highlight w:val="none"/>
                <w14:textFill>
                  <w14:solidFill>
                    <w14:schemeClr w14:val="tx1"/>
                  </w14:solidFill>
                </w14:textFill>
              </w:rPr>
            </w:pPr>
            <w:r>
              <w:rPr>
                <w:rFonts w:ascii="Times New Roman" w:hAnsi="Times New Roman" w:cs="Times New Roman"/>
                <w:b/>
                <w:color w:val="000000" w:themeColor="text1"/>
                <w:sz w:val="24"/>
                <w:highlight w:val="none"/>
                <w14:textFill>
                  <w14:solidFill>
                    <w14:schemeClr w14:val="tx1"/>
                  </w14:solidFill>
                </w14:textFill>
              </w:rPr>
              <w:t>表1</w:t>
            </w:r>
            <w:r>
              <w:rPr>
                <w:rFonts w:hint="eastAsia" w:ascii="Times New Roman" w:hAnsi="Times New Roman" w:cs="Times New Roman"/>
                <w:b/>
                <w:color w:val="000000" w:themeColor="text1"/>
                <w:sz w:val="24"/>
                <w:highlight w:val="none"/>
                <w14:textFill>
                  <w14:solidFill>
                    <w14:schemeClr w14:val="tx1"/>
                  </w14:solidFill>
                </w14:textFill>
              </w:rPr>
              <w:t>.2</w:t>
            </w:r>
            <w:r>
              <w:rPr>
                <w:rFonts w:ascii="Times New Roman" w:hAnsi="Times New Roman" w:cs="Times New Roman"/>
                <w:b/>
                <w:color w:val="000000" w:themeColor="text1"/>
                <w:sz w:val="24"/>
                <w:highlight w:val="none"/>
                <w14:textFill>
                  <w14:solidFill>
                    <w14:schemeClr w14:val="tx1"/>
                  </w14:solidFill>
                </w14:textFill>
              </w:rPr>
              <w:t>-</w:t>
            </w:r>
            <w:r>
              <w:rPr>
                <w:rFonts w:hint="eastAsia" w:ascii="Times New Roman" w:hAnsi="Times New Roman" w:cs="Times New Roman"/>
                <w:b/>
                <w:color w:val="000000" w:themeColor="text1"/>
                <w:sz w:val="24"/>
                <w:highlight w:val="none"/>
                <w14:textFill>
                  <w14:solidFill>
                    <w14:schemeClr w14:val="tx1"/>
                  </w14:solidFill>
                </w14:textFill>
              </w:rPr>
              <w:t>7</w:t>
            </w:r>
            <w:r>
              <w:rPr>
                <w:rFonts w:ascii="Times New Roman" w:hAnsi="Times New Roman" w:cs="Times New Roman"/>
                <w:b/>
                <w:color w:val="000000" w:themeColor="text1"/>
                <w:sz w:val="24"/>
                <w:highlight w:val="none"/>
                <w14:textFill>
                  <w14:solidFill>
                    <w14:schemeClr w14:val="tx1"/>
                  </w14:solidFill>
                </w14:textFill>
              </w:rPr>
              <w:t>与（九龙坡府办发〔2022〕1号）符合性分析（摘录）</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20"/>
              <w:gridCol w:w="2210"/>
              <w:gridCol w:w="720"/>
            </w:tblGrid>
            <w:tr w14:paraId="10FFA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09879C03">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要求</w:t>
                  </w:r>
                </w:p>
              </w:tc>
              <w:tc>
                <w:tcPr>
                  <w:tcW w:w="1373" w:type="pct"/>
                  <w:tcBorders>
                    <w:tl2br w:val="nil"/>
                    <w:tr2bl w:val="nil"/>
                  </w:tcBorders>
                  <w:vAlign w:val="center"/>
                </w:tcPr>
                <w:p w14:paraId="3278E500">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本项目情况</w:t>
                  </w:r>
                </w:p>
              </w:tc>
              <w:tc>
                <w:tcPr>
                  <w:tcW w:w="447" w:type="pct"/>
                  <w:tcBorders>
                    <w:tl2br w:val="nil"/>
                    <w:tr2bl w:val="nil"/>
                  </w:tcBorders>
                  <w:vAlign w:val="center"/>
                </w:tcPr>
                <w:p w14:paraId="62F5F688">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符合性</w:t>
                  </w:r>
                </w:p>
              </w:tc>
            </w:tr>
            <w:tr w14:paraId="7BFB0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3BE2B250">
                  <w:pPr>
                    <w:adjustRightInd w:val="0"/>
                    <w:snapToGrid w:val="0"/>
                    <w:ind w:firstLine="412" w:firstLineChars="200"/>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改善水环境质量</w:t>
                  </w:r>
                  <w:r>
                    <w:rPr>
                      <w:rFonts w:hint="eastAsia" w:ascii="Times New Roman" w:hAnsi="Times New Roman" w:eastAsia="宋体" w:cs="Times New Roman"/>
                      <w:color w:val="000000" w:themeColor="text1"/>
                      <w:spacing w:val="-2"/>
                      <w:szCs w:val="21"/>
                      <w:highlight w:val="none"/>
                      <w14:textFill>
                        <w14:solidFill>
                          <w14:schemeClr w14:val="tx1"/>
                        </w14:solidFill>
                      </w14:textFill>
                    </w:rPr>
                    <w:t>：整治污水偷排直排乱排问题；完善污水收集和处理措施；修复水生态扩大水环境容量；持续改善河流湖库水环境质量；保障集中式饮用水水源水质安全。</w:t>
                  </w:r>
                </w:p>
              </w:tc>
              <w:tc>
                <w:tcPr>
                  <w:tcW w:w="1373" w:type="pct"/>
                  <w:tcBorders>
                    <w:tl2br w:val="nil"/>
                    <w:tr2bl w:val="nil"/>
                  </w:tcBorders>
                  <w:vAlign w:val="center"/>
                </w:tcPr>
                <w:p w14:paraId="02DF82DB">
                  <w:pPr>
                    <w:adjustRightInd w:val="0"/>
                    <w:jc w:val="center"/>
                    <w:rPr>
                      <w:rFonts w:ascii="Times New Roman" w:hAnsi="Times New Roman"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本项目用水来源于市政自来水管网，运营期产生的生活污水依托坤坤农业公司生化池处理达标后排入市政污水管网</w:t>
                  </w:r>
                  <w:r>
                    <w:rPr>
                      <w:rFonts w:hint="eastAsia"/>
                      <w:color w:val="000000" w:themeColor="text1"/>
                      <w:highlight w:val="none"/>
                      <w14:textFill>
                        <w14:solidFill>
                          <w14:schemeClr w14:val="tx1"/>
                        </w14:solidFill>
                      </w14:textFill>
                    </w:rPr>
                    <w:t>接入西彭工业园区污水处理厂处置。</w:t>
                  </w:r>
                </w:p>
              </w:tc>
              <w:tc>
                <w:tcPr>
                  <w:tcW w:w="447" w:type="pct"/>
                  <w:tcBorders>
                    <w:tl2br w:val="nil"/>
                    <w:tr2bl w:val="nil"/>
                  </w:tcBorders>
                  <w:vAlign w:val="center"/>
                </w:tcPr>
                <w:p w14:paraId="53ABAC3A">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符合</w:t>
                  </w:r>
                </w:p>
              </w:tc>
            </w:tr>
            <w:tr w14:paraId="7B4B6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69647462">
                  <w:pPr>
                    <w:adjustRightInd w:val="0"/>
                    <w:snapToGrid w:val="0"/>
                    <w:ind w:firstLine="412" w:firstLineChars="200"/>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改善</w:t>
                  </w:r>
                  <w:r>
                    <w:rPr>
                      <w:rFonts w:ascii="Times New Roman" w:hAnsi="Times New Roman" w:eastAsia="宋体" w:cs="Times New Roman"/>
                      <w:color w:val="000000" w:themeColor="text1"/>
                      <w:spacing w:val="-2"/>
                      <w:szCs w:val="21"/>
                      <w:highlight w:val="none"/>
                      <w14:textFill>
                        <w14:solidFill>
                          <w14:schemeClr w14:val="tx1"/>
                        </w14:solidFill>
                      </w14:textFill>
                    </w:rPr>
                    <w:t>大气环境质量</w:t>
                  </w:r>
                  <w:r>
                    <w:rPr>
                      <w:rFonts w:hint="eastAsia" w:ascii="Times New Roman" w:hAnsi="Times New Roman" w:eastAsia="宋体" w:cs="Times New Roman"/>
                      <w:color w:val="000000" w:themeColor="text1"/>
                      <w:spacing w:val="-2"/>
                      <w:szCs w:val="21"/>
                      <w:highlight w:val="none"/>
                      <w14:textFill>
                        <w14:solidFill>
                          <w14:schemeClr w14:val="tx1"/>
                        </w14:solidFill>
                      </w14:textFill>
                    </w:rPr>
                    <w:t>：强化工业污染防治—以西彭、九龙等工业园区为日常监管重点，加大对企业废气污染防治设施安装、运行及废气收集、去除、排放等情况的督查整治力度，加强废气无组织排放监管，针对布局不合理、装备水平低、环保设施差的小型工业企业开展专项排查整治。以工业涂装、包装印刷、家具制造、汽车维修、油品储运销等行业为重点，开展挥发性有机物（VOCs）专项排查，深入推进VOCx综合整治，完成重点监管企业VOCx销号式综合整治。严格落实VOCx含量限值标准，大力推进低（无VOCx含量原辅料替代，将生产和使用高VOCx含量产品的企业列入强制性清洁生产审核名单。将VOCx纳入大气环境监测指标体系和污染物减排总量控制体系。</w:t>
                  </w:r>
                </w:p>
              </w:tc>
              <w:tc>
                <w:tcPr>
                  <w:tcW w:w="1373" w:type="pct"/>
                  <w:tcBorders>
                    <w:tl2br w:val="nil"/>
                    <w:tr2bl w:val="nil"/>
                  </w:tcBorders>
                  <w:vAlign w:val="center"/>
                </w:tcPr>
                <w:p w14:paraId="4DD1D441">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本项目</w:t>
                  </w:r>
                  <w:r>
                    <w:rPr>
                      <w:rFonts w:hint="eastAsia" w:ascii="Times New Roman" w:hAnsi="Times New Roman" w:eastAsia="宋体" w:cs="Times New Roman"/>
                      <w:color w:val="000000" w:themeColor="text1"/>
                      <w:spacing w:val="-2"/>
                      <w:szCs w:val="21"/>
                      <w:highlight w:val="none"/>
                      <w14:textFill>
                        <w14:solidFill>
                          <w14:schemeClr w14:val="tx1"/>
                        </w14:solidFill>
                      </w14:textFill>
                    </w:rPr>
                    <w:t>不涉及高VOCs含量产品及原辅料的使用，生产产生的少量有机废气经收集处理后达标排放</w:t>
                  </w:r>
                </w:p>
              </w:tc>
              <w:tc>
                <w:tcPr>
                  <w:tcW w:w="447" w:type="pct"/>
                  <w:tcBorders>
                    <w:tl2br w:val="nil"/>
                    <w:tr2bl w:val="nil"/>
                  </w:tcBorders>
                  <w:vAlign w:val="center"/>
                </w:tcPr>
                <w:p w14:paraId="05C896BC">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符合</w:t>
                  </w:r>
                </w:p>
              </w:tc>
            </w:tr>
            <w:tr w14:paraId="2A7F8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17532FD8">
                  <w:pPr>
                    <w:adjustRightInd w:val="0"/>
                    <w:snapToGrid w:val="0"/>
                    <w:ind w:firstLine="412" w:firstLineChars="200"/>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协同防治土壤和地下水污染</w:t>
                  </w:r>
                  <w:r>
                    <w:rPr>
                      <w:rFonts w:hint="eastAsia" w:ascii="Times New Roman" w:hAnsi="Times New Roman" w:eastAsia="宋体" w:cs="Times New Roman"/>
                      <w:color w:val="000000" w:themeColor="text1"/>
                      <w:spacing w:val="-2"/>
                      <w:szCs w:val="21"/>
                      <w:highlight w:val="none"/>
                      <w14:textFill>
                        <w14:solidFill>
                          <w14:schemeClr w14:val="tx1"/>
                        </w14:solidFill>
                      </w14:textFill>
                    </w:rPr>
                    <w:t>：1）严格建设用地土壤污染风险管控和修复。开展城镇人口密集区危险化学品生产企业搬迁改造、化工污染整治腾退地块专项排查行动，建立高风险地块清单，发现一块、管控一块。健全建设用地再开发利用联合监管体系，完善污染地块开发利用负面清单，分类型、分阶段开展污染地块风险管控和修复，开发一块、治理一块。落实重点监管单位自行监测、隐患排查、有毒有害物质排放报告制度，防止新增土壤污染。2）强化土壤污染风险管控和土壤环境质量监测。健全定期巡查、土壤环境质量评估等工作制度。深入开展环境风险隐患排查整治，健全环保行政执法与刑事司法联动机制，重点打击非法排放、倾倒、填埋含重金属和有毒有害污染物废水、废渣行为，对造成土壤环境损害的责任者严格实行赔偿制度，并依法追究民事、行政、刑事责任。持续完善土壤环境质量监测网络，以蔬菜专业合作社和种植大户等产业基地、集中式饮用水水源地周边和九龙、西彭工业园区及全区涉危涉重排放工业企业等为重点，完善土壤环境质量监测点位设置，建立土壤环境质量动态数据库。3）加强土壤与地下水污染防治。强化地下水监测、监管和污染防治相关技术研究，以加油站、化工企业等为重点，开展防渗情况检查评估，统筹推进地下水安全源头预防和风险管控。推进土壤环境重点监管企业、污水集中处理设施等场所及周边土壤、地下水监测。推进地表水-地下水、土壤-地下水、区域-地块地下水污染协同防治。探索地下水污染防治管理模式和技术路径，保持地下水环境质量总体稳定。4）推进固体废弃物减量化、无害化、资源化处置和利用。</w:t>
                  </w:r>
                </w:p>
                <w:p w14:paraId="6D5F283D">
                  <w:pPr>
                    <w:adjustRightInd w:val="0"/>
                    <w:snapToGrid w:val="0"/>
                    <w:ind w:firstLine="412" w:firstLineChars="200"/>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开展一般工业固体废物和非正规固体废物堆存场所排查整治，有效防控环境风险。5）防控危险废物污染环境风险。支持大型企业自行利用处置危险废物，支持工业园区配套建设危险废物末段处置设施。推进危险废物综合收集、贮存、转运点建设，完善废矿物油、废铅蓄电池等集中收集贮存设施，实现小微企业、非工业源危险废物收集转运全覆盖。持续开展打击危险废物环境违法犯罪专项行动，严肃查处违规堆存、随意倾倒、非法填埋、非法转移、非法买卖危险废物等违法行为。加强危险废物经营单位和自行利用处置设施的环境监管，确保安全规范运行。探索建立危险废物“一物一码”管理体系，加快危险废物信息化管理系统建设，实现从产生到处置权过程信息追踪。</w:t>
                  </w:r>
                </w:p>
              </w:tc>
              <w:tc>
                <w:tcPr>
                  <w:tcW w:w="1373" w:type="pct"/>
                  <w:tcBorders>
                    <w:tl2br w:val="nil"/>
                    <w:tr2bl w:val="nil"/>
                  </w:tcBorders>
                  <w:vAlign w:val="center"/>
                </w:tcPr>
                <w:p w14:paraId="7697A3E4">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评价要求企业针对危废贮存点等地进行重点防渗处理，液态物料等在厂内转运时，容器底部设置接防渗漏托盘，收集跑、冒、漏、滴的液体，防止化学品滴落地面造成土壤或地下水污染。危险废物经分类收集后，暂存于危险废物暂存间，定期交于有资质单位收集处理，严格执行危险废物联单转移制度。</w:t>
                  </w:r>
                </w:p>
              </w:tc>
              <w:tc>
                <w:tcPr>
                  <w:tcW w:w="447" w:type="pct"/>
                  <w:tcBorders>
                    <w:tl2br w:val="nil"/>
                    <w:tr2bl w:val="nil"/>
                  </w:tcBorders>
                  <w:vAlign w:val="center"/>
                </w:tcPr>
                <w:p w14:paraId="32776C39">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符合</w:t>
                  </w:r>
                </w:p>
              </w:tc>
            </w:tr>
            <w:tr w14:paraId="6846D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7A538E27">
                  <w:pPr>
                    <w:adjustRightInd w:val="0"/>
                    <w:snapToGrid w:val="0"/>
                    <w:ind w:firstLine="412" w:firstLineChars="200"/>
                    <w:rPr>
                      <w:rFonts w:ascii="Times New Roman" w:hAnsi="Times New Roman" w:eastAsia="宋体" w:cs="Times New Roman"/>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spacing w:val="-2"/>
                      <w:szCs w:val="21"/>
                      <w:highlight w:val="none"/>
                      <w14:textFill>
                        <w14:solidFill>
                          <w14:schemeClr w14:val="tx1"/>
                        </w14:solidFill>
                      </w14:textFill>
                    </w:rPr>
                    <w:t>管控噪声环境影响</w:t>
                  </w:r>
                  <w:r>
                    <w:rPr>
                      <w:rFonts w:hint="eastAsia" w:ascii="Times New Roman" w:hAnsi="Times New Roman" w:eastAsia="宋体" w:cs="Times New Roman"/>
                      <w:color w:val="000000" w:themeColor="text1"/>
                      <w:spacing w:val="-2"/>
                      <w:szCs w:val="21"/>
                      <w:highlight w:val="none"/>
                      <w14:textFill>
                        <w14:solidFill>
                          <w14:schemeClr w14:val="tx1"/>
                        </w14:solidFill>
                      </w14:textFill>
                    </w:rPr>
                    <w:t>：1）加强建筑施工噪监管。制定和落实施工期间建筑施工噪声防治方案，设置噪声屏障，合理安排更新项目施工时序，合理控制施工时间，推进噪声自动监测系统对建筑施工进行实时监测，推广使用低噪声施工工艺、施工机具和其他辅助作业设备。夜间施工严格执行《重庆市夜间作业规定》，加大对夜间施工噪声扰民的处罚力度。2）强化工业企业噪声监管。工业企业合理布局生产设施、改进生产工艺、使用低噪声设备，采取消声、隔声、减振等措施，消除或减轻噪声对周围生活环境的影响，确保厂界噪声达标。新建、扩建、改建的项目严格将防治噪声污染入环境影响评价和“三同时”内容。</w:t>
                  </w:r>
                </w:p>
              </w:tc>
              <w:tc>
                <w:tcPr>
                  <w:tcW w:w="1373" w:type="pct"/>
                  <w:tcBorders>
                    <w:tl2br w:val="nil"/>
                    <w:tr2bl w:val="nil"/>
                  </w:tcBorders>
                  <w:vAlign w:val="center"/>
                </w:tcPr>
                <w:p w14:paraId="72816B38">
                  <w:pPr>
                    <w:adjustRightIn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本项目将严格落实施工期噪声监管措施；主要生产设备布局远离噪声敏感点，并采取相应的降噪措施，避免出现噪声扰民事件。本项目所在地属于3类声功能区</w:t>
                  </w:r>
                </w:p>
              </w:tc>
              <w:tc>
                <w:tcPr>
                  <w:tcW w:w="447" w:type="pct"/>
                  <w:tcBorders>
                    <w:tl2br w:val="nil"/>
                    <w:tr2bl w:val="nil"/>
                  </w:tcBorders>
                  <w:vAlign w:val="center"/>
                </w:tcPr>
                <w:p w14:paraId="69FB49B0">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符合</w:t>
                  </w:r>
                </w:p>
              </w:tc>
            </w:tr>
            <w:tr w14:paraId="2D1E9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79" w:type="pct"/>
                  <w:tcBorders>
                    <w:tl2br w:val="nil"/>
                    <w:tr2bl w:val="nil"/>
                  </w:tcBorders>
                  <w:vAlign w:val="center"/>
                </w:tcPr>
                <w:p w14:paraId="00FFBCB4">
                  <w:pPr>
                    <w:adjustRightInd w:val="0"/>
                    <w:snapToGrid w:val="0"/>
                    <w:ind w:firstLine="412" w:firstLineChars="200"/>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加强环境风险防控与管理：1）加强环境风险评估。落实企业突发环境事件风险评估制度，实现重点企业突发环境事件应急预案备案全覆盖，推进突发环境事件风险分类分级管理，严格监管较大及以上环境风险。2）细化风险防范主体责任。全免推进环境风险企业“一源一事一案”及风险信息登记制度，督促企业落实环境应急管理规定、完善环境应急设备、开展应急岗位培训和应急演练，细化企业环境风险防范主体责任，推进境风险防控应急体系建设。3）完善环境风险管控体系。推进重点企业环境风险防控应急体系建设，健全生态环境、应急、公安、交通、卫生等多部门应急联动机制。建立风险分级分类管控体系，根据企业环境风险等级实施差异化监管，强化工业园区环境风险防范体系建设，切实增强公园区环境风险防控和突发环境事件的应对能力。4）强化应急响应管理。建立政府主导、企业主体、部门联动、专家支持、社会救援的突发环境事件应急处置机制。积极推进企业环境应急专业救援队伍参与全区环境应急抢险救援工作。</w:t>
                  </w:r>
                </w:p>
              </w:tc>
              <w:tc>
                <w:tcPr>
                  <w:tcW w:w="1373" w:type="pct"/>
                  <w:tcBorders>
                    <w:tl2br w:val="nil"/>
                    <w:tr2bl w:val="nil"/>
                  </w:tcBorders>
                  <w:vAlign w:val="center"/>
                </w:tcPr>
                <w:p w14:paraId="6DF707D9">
                  <w:pPr>
                    <w:adjustRightInd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本项目无重大风险，评价要求企业应自主组织开展应急预案培训、宣传及演练。</w:t>
                  </w:r>
                </w:p>
              </w:tc>
              <w:tc>
                <w:tcPr>
                  <w:tcW w:w="447" w:type="pct"/>
                  <w:tcBorders>
                    <w:tl2br w:val="nil"/>
                    <w:tr2bl w:val="nil"/>
                  </w:tcBorders>
                  <w:vAlign w:val="center"/>
                </w:tcPr>
                <w:p w14:paraId="38F51475">
                  <w:pPr>
                    <w:adjustRightInd w:val="0"/>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符合</w:t>
                  </w:r>
                </w:p>
              </w:tc>
            </w:tr>
          </w:tbl>
          <w:p w14:paraId="0AC0DC94">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由上表分析可知，本项目建设符合《重庆市九龙坡区生态环境保护“十四五”规划》（九龙坡府办发〔2022〕1号）。</w:t>
            </w:r>
          </w:p>
          <w:p w14:paraId="23DAC2E7">
            <w:pPr>
              <w:spacing w:line="360"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8）与《挥发性有机物（VOC</w:t>
            </w:r>
            <w:r>
              <w:rPr>
                <w:rFonts w:hint="eastAsia" w:ascii="Times New Roman" w:hAnsi="Times New Roman" w:cs="Times New Roman"/>
                <w:b/>
                <w:bCs/>
                <w:color w:val="000000" w:themeColor="text1"/>
                <w:sz w:val="24"/>
                <w:highlight w:val="none"/>
                <w:vertAlign w:val="subscript"/>
                <w14:textFill>
                  <w14:solidFill>
                    <w14:schemeClr w14:val="tx1"/>
                  </w14:solidFill>
                </w14:textFill>
              </w:rPr>
              <w:t>S</w:t>
            </w:r>
            <w:r>
              <w:rPr>
                <w:rFonts w:hint="eastAsia" w:ascii="Times New Roman" w:hAnsi="Times New Roman" w:cs="Times New Roman"/>
                <w:b/>
                <w:bCs/>
                <w:color w:val="000000" w:themeColor="text1"/>
                <w:sz w:val="24"/>
                <w:highlight w:val="none"/>
                <w14:textFill>
                  <w14:solidFill>
                    <w14:schemeClr w14:val="tx1"/>
                  </w14:solidFill>
                </w14:textFill>
              </w:rPr>
              <w:t>）污染防治技术政策》的符合性分析</w:t>
            </w:r>
          </w:p>
          <w:p w14:paraId="1A73E70B">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项目与《挥发性有机物（VOC</w:t>
            </w:r>
            <w:r>
              <w:rPr>
                <w:rFonts w:hint="eastAsia" w:ascii="Times New Roman" w:hAnsi="Times New Roman" w:cs="Times New Roman"/>
                <w:color w:val="000000" w:themeColor="text1"/>
                <w:sz w:val="24"/>
                <w:highlight w:val="none"/>
                <w:vertAlign w:val="subscript"/>
                <w14:textFill>
                  <w14:solidFill>
                    <w14:schemeClr w14:val="tx1"/>
                  </w14:solidFill>
                </w14:textFill>
              </w:rPr>
              <w:t>S</w:t>
            </w:r>
            <w:r>
              <w:rPr>
                <w:rFonts w:hint="eastAsia" w:ascii="Times New Roman" w:hAnsi="Times New Roman" w:cs="Times New Roman"/>
                <w:color w:val="000000" w:themeColor="text1"/>
                <w:sz w:val="24"/>
                <w:highlight w:val="none"/>
                <w14:textFill>
                  <w14:solidFill>
                    <w14:schemeClr w14:val="tx1"/>
                  </w14:solidFill>
                </w14:textFill>
              </w:rPr>
              <w:t>）污染防治技术政策》的符合性分析见表1.2-8。</w:t>
            </w:r>
          </w:p>
          <w:p w14:paraId="6B7363A4">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bookmarkStart w:id="1" w:name="_Ref17685"/>
            <w:r>
              <w:rPr>
                <w:rFonts w:ascii="Times New Roman" w:hAnsi="Times New Roman" w:cs="Times New Roman"/>
                <w:color w:val="000000" w:themeColor="text1"/>
                <w:sz w:val="24"/>
                <w:highlight w:val="none"/>
                <w14:textFill>
                  <w14:solidFill>
                    <w14:schemeClr w14:val="tx1"/>
                  </w14:solidFill>
                </w14:textFill>
              </w:rPr>
              <w:t>表</w:t>
            </w:r>
            <w:bookmarkEnd w:id="1"/>
            <w:r>
              <w:rPr>
                <w:rFonts w:hint="eastAsia" w:ascii="Times New Roman" w:hAnsi="Times New Roman" w:cs="Times New Roman"/>
                <w:color w:val="000000" w:themeColor="text1"/>
                <w:sz w:val="24"/>
                <w:highlight w:val="none"/>
                <w14:textFill>
                  <w14:solidFill>
                    <w14:schemeClr w14:val="tx1"/>
                  </w14:solidFill>
                </w14:textFill>
              </w:rPr>
              <w:t>1.2-8  与《挥发性有机物（VOC</w:t>
            </w:r>
            <w:r>
              <w:rPr>
                <w:rFonts w:hint="eastAsia" w:ascii="Times New Roman" w:hAnsi="Times New Roman" w:cs="Times New Roman"/>
                <w:color w:val="000000" w:themeColor="text1"/>
                <w:sz w:val="24"/>
                <w:highlight w:val="none"/>
                <w:vertAlign w:val="subscript"/>
                <w14:textFill>
                  <w14:solidFill>
                    <w14:schemeClr w14:val="tx1"/>
                  </w14:solidFill>
                </w14:textFill>
              </w:rPr>
              <w:t>S</w:t>
            </w:r>
            <w:r>
              <w:rPr>
                <w:rFonts w:hint="eastAsia" w:ascii="Times New Roman" w:hAnsi="Times New Roman" w:cs="Times New Roman"/>
                <w:color w:val="000000" w:themeColor="text1"/>
                <w:sz w:val="24"/>
                <w:highlight w:val="none"/>
                <w14:textFill>
                  <w14:solidFill>
                    <w14:schemeClr w14:val="tx1"/>
                  </w14:solidFill>
                </w14:textFill>
              </w:rPr>
              <w:t>）污染防治技术政策》符合性</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14"/>
              <w:gridCol w:w="5328"/>
              <w:gridCol w:w="1184"/>
              <w:gridCol w:w="537"/>
            </w:tblGrid>
            <w:tr w14:paraId="6D64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trPr>
              <w:tc>
                <w:tcPr>
                  <w:tcW w:w="628" w:type="pct"/>
                  <w:vAlign w:val="center"/>
                </w:tcPr>
                <w:p w14:paraId="44C271D4">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类别</w:t>
                  </w:r>
                </w:p>
              </w:tc>
              <w:tc>
                <w:tcPr>
                  <w:tcW w:w="3303" w:type="pct"/>
                  <w:vAlign w:val="center"/>
                </w:tcPr>
                <w:p w14:paraId="7295B78A">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与项目相关要求</w:t>
                  </w:r>
                </w:p>
              </w:tc>
              <w:tc>
                <w:tcPr>
                  <w:tcW w:w="734" w:type="pct"/>
                  <w:vAlign w:val="center"/>
                </w:tcPr>
                <w:p w14:paraId="74AF2E0D">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本项目</w:t>
                  </w:r>
                </w:p>
              </w:tc>
              <w:tc>
                <w:tcPr>
                  <w:tcW w:w="333" w:type="pct"/>
                  <w:vAlign w:val="center"/>
                </w:tcPr>
                <w:p w14:paraId="7F86B1EA">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符合性</w:t>
                  </w:r>
                </w:p>
              </w:tc>
            </w:tr>
            <w:tr w14:paraId="6535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Align w:val="center"/>
                </w:tcPr>
                <w:p w14:paraId="3C1DAAC8">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源头和过程控制</w:t>
                  </w:r>
                </w:p>
              </w:tc>
              <w:tc>
                <w:tcPr>
                  <w:tcW w:w="3303" w:type="pct"/>
                  <w:vAlign w:val="center"/>
                </w:tcPr>
                <w:p w14:paraId="592D9265">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在涂装、印刷、粘合、工业清洗等含VOC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产品的使用过程中的VOC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污染防治技术措施包括：</w:t>
                  </w:r>
                </w:p>
                <w:p w14:paraId="4456216E">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1.鼓励使用通过环境标志产品认证的环保型涂料、油墨、胶粘剂和清洗剂；</w:t>
                  </w:r>
                </w:p>
                <w:p w14:paraId="374D52A7">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2.根据涂装工艺的不同，鼓励使用水性涂料、高固份涂料、粉末涂料、紫外光固化（UV）涂料等环保型涂料；推广采用静电喷涂、淋涂、辊涂、浸涂等效率较高的涂装工艺；应尽量避免无VOC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净化、回收措施的露天喷涂作业；</w:t>
                  </w:r>
                </w:p>
                <w:p w14:paraId="2C689468">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3.在印刷工艺中推广使用水性油墨，印铁制罐行业鼓励使用紫外光固化（UV）油墨，书刊印刷行业鼓励使用预涂膜技术；</w:t>
                  </w:r>
                </w:p>
                <w:p w14:paraId="4312150D">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4.鼓励在人造板、制鞋、皮革制品、包装材料等粘合过程中使用水基型、热熔型等环保型胶粘剂，在复合膜的生产中推广无溶剂复合及共挤出复合技术；</w:t>
                  </w:r>
                </w:p>
                <w:p w14:paraId="27BE6133">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5.淘汰以三氟三氯乙烷、甲基氯仿和四氯化碳为清洗剂或溶剂的生产工艺。清洗过程中产生的废溶剂宜密闭收集，有回收价值的废溶剂经处理后回用，其他废溶剂应妥善处置；</w:t>
                  </w:r>
                </w:p>
                <w:p w14:paraId="4DA3B453">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6.含VOC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产品的使用过程中，应采取废气收集措施，提高废气收集效率，减少废气的无组织排放与逸散，并对收集后的废气进行回收或处理后达标排放。</w:t>
                  </w:r>
                </w:p>
              </w:tc>
              <w:tc>
                <w:tcPr>
                  <w:tcW w:w="734" w:type="pct"/>
                  <w:vAlign w:val="center"/>
                </w:tcPr>
                <w:p w14:paraId="1C49A2FB">
                  <w:pPr>
                    <w:pStyle w:val="40"/>
                    <w:spacing w:before="31"/>
                    <w:jc w:val="both"/>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项目使用塑粉</w:t>
                  </w:r>
                  <w:r>
                    <w:rPr>
                      <w:rFonts w:hint="eastAsia" w:ascii="Times New Roman" w:hAnsi="Times New Roman" w:cs="Times New Roman"/>
                      <w:color w:val="000000" w:themeColor="text1"/>
                      <w:highlight w:val="none"/>
                      <w14:textFill>
                        <w14:solidFill>
                          <w14:schemeClr w14:val="tx1"/>
                        </w14:solidFill>
                      </w14:textFill>
                    </w:rPr>
                    <w:t>作为喷涂原料，属于粉末涂料，采用静电喷涂工艺；生产过程中产生的VOCs废气收集后进入“干式过滤+</w:t>
                  </w:r>
                  <w:r>
                    <w:rPr>
                      <w:rFonts w:hint="eastAsia" w:ascii="Times New Roman" w:hAnsi="Times New Roman" w:cs="Times New Roman"/>
                      <w:color w:val="000000" w:themeColor="text1"/>
                      <w:highlight w:val="none"/>
                      <w:lang w:eastAsia="zh-CN"/>
                      <w14:textFill>
                        <w14:solidFill>
                          <w14:schemeClr w14:val="tx1"/>
                        </w14:solidFill>
                      </w14:textFill>
                    </w:rPr>
                    <w:t>两级</w:t>
                  </w:r>
                  <w:r>
                    <w:rPr>
                      <w:rFonts w:hint="eastAsia" w:ascii="Times New Roman" w:hAnsi="Times New Roman" w:cs="Times New Roman"/>
                      <w:color w:val="000000" w:themeColor="text1"/>
                      <w:highlight w:val="none"/>
                      <w14:textFill>
                        <w14:solidFill>
                          <w14:schemeClr w14:val="tx1"/>
                        </w14:solidFill>
                      </w14:textFill>
                    </w:rPr>
                    <w:t>活性炭”装置处置后排放。</w:t>
                  </w:r>
                </w:p>
              </w:tc>
              <w:tc>
                <w:tcPr>
                  <w:tcW w:w="333" w:type="pct"/>
                  <w:vAlign w:val="center"/>
                </w:tcPr>
                <w:p w14:paraId="4FFE2DF5">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2525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32" w:hRule="atLeast"/>
              </w:trPr>
              <w:tc>
                <w:tcPr>
                  <w:tcW w:w="628" w:type="pct"/>
                  <w:vMerge w:val="restart"/>
                  <w:vAlign w:val="center"/>
                </w:tcPr>
                <w:p w14:paraId="5F1403C1">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末端治理与综合利用</w:t>
                  </w:r>
                </w:p>
              </w:tc>
              <w:tc>
                <w:tcPr>
                  <w:tcW w:w="3303" w:type="pct"/>
                  <w:vAlign w:val="center"/>
                </w:tcPr>
                <w:p w14:paraId="1DE0E1D3">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在工业生产过程中鼓励VOC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的回收利用，并优先鼓励在生产系统内回用。对于含高浓度VOC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的废气，宜优先采用冷凝回收、吸附回收技术进行回收利用，并辅助以其他治理技术实现达标排放。对于含中等浓度VOC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的废气，可采用吸附技术回收有机溶剂，或采用催化燃烧和热力焚烧技术净化后达标排放。当采用催化燃烧和热力焚烧技术进行净化时，应进行余热回收利用。对于含低浓度VOC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的废气，有回收价值时可采用吸附技术、吸收技术对有机溶剂回收后达标排放；不宜回收时，可采用吸附浓缩燃烧技术、生物技术、吸收技术、等离子体技术或紫外光高级氧化技术等净化后达标排放。</w:t>
                  </w:r>
                </w:p>
                <w:p w14:paraId="574425E8">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含有有机卤素成分VOC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的废气，宜采用非焚烧技术处理。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734" w:type="pct"/>
                  <w:vAlign w:val="center"/>
                </w:tcPr>
                <w:p w14:paraId="6C6F0F58">
                  <w:pPr>
                    <w:pStyle w:val="40"/>
                    <w:spacing w:before="31"/>
                    <w:jc w:val="both"/>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项目排放低浓度有机废气，</w:t>
                  </w:r>
                  <w:r>
                    <w:rPr>
                      <w:rFonts w:hint="eastAsia" w:ascii="Times New Roman" w:hAnsi="Times New Roman" w:cs="Times New Roman"/>
                      <w:color w:val="000000" w:themeColor="text1"/>
                      <w:highlight w:val="none"/>
                      <w:lang w:eastAsia="zh-CN"/>
                      <w14:textFill>
                        <w14:solidFill>
                          <w14:schemeClr w14:val="tx1"/>
                        </w14:solidFill>
                      </w14:textFill>
                    </w:rPr>
                    <w:t>采用</w:t>
                  </w:r>
                  <w:r>
                    <w:rPr>
                      <w:rFonts w:ascii="Times New Roman" w:hAnsi="Times New Roman" w:cs="Times New Roman"/>
                      <w:color w:val="000000" w:themeColor="text1"/>
                      <w:highlight w:val="none"/>
                      <w14:textFill>
                        <w14:solidFill>
                          <w14:schemeClr w14:val="tx1"/>
                        </w14:solidFill>
                      </w14:textFill>
                    </w:rPr>
                    <w:t>吸附技术</w:t>
                  </w:r>
                  <w:r>
                    <w:rPr>
                      <w:rFonts w:hint="eastAsia" w:ascii="Times New Roman" w:hAnsi="Times New Roman" w:cs="Times New Roman"/>
                      <w:color w:val="000000" w:themeColor="text1"/>
                      <w:highlight w:val="none"/>
                      <w:lang w:eastAsia="zh-CN"/>
                      <w14:textFill>
                        <w14:solidFill>
                          <w14:schemeClr w14:val="tx1"/>
                        </w14:solidFill>
                      </w14:textFill>
                    </w:rPr>
                    <w:t>，满足相关要求</w:t>
                  </w:r>
                  <w:r>
                    <w:rPr>
                      <w:rFonts w:ascii="Times New Roman" w:hAnsi="Times New Roman" w:cs="Times New Roman"/>
                      <w:color w:val="000000" w:themeColor="text1"/>
                      <w:highlight w:val="none"/>
                      <w14:textFill>
                        <w14:solidFill>
                          <w14:schemeClr w14:val="tx1"/>
                        </w14:solidFill>
                      </w14:textFill>
                    </w:rPr>
                    <w:t>。</w:t>
                  </w:r>
                </w:p>
              </w:tc>
              <w:tc>
                <w:tcPr>
                  <w:tcW w:w="333" w:type="pct"/>
                  <w:vAlign w:val="center"/>
                </w:tcPr>
                <w:p w14:paraId="7BAC898B">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3B6D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2C9D8FC3">
                  <w:pPr>
                    <w:pStyle w:val="40"/>
                    <w:spacing w:before="31"/>
                    <w:jc w:val="both"/>
                    <w:rPr>
                      <w:rFonts w:ascii="Times New Roman" w:hAnsi="Times New Roman" w:cs="Times New Roman"/>
                      <w:color w:val="000000" w:themeColor="text1"/>
                      <w:highlight w:val="none"/>
                      <w14:textFill>
                        <w14:solidFill>
                          <w14:schemeClr w14:val="tx1"/>
                        </w14:solidFill>
                      </w14:textFill>
                    </w:rPr>
                  </w:pPr>
                </w:p>
              </w:tc>
              <w:tc>
                <w:tcPr>
                  <w:tcW w:w="3303" w:type="pct"/>
                  <w:vAlign w:val="center"/>
                </w:tcPr>
                <w:p w14:paraId="33A0EFE0">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严格控制VOC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处理过程中产生的二次污染，对于催化燃烧和热力焚烧过程中产生的含硫、氮、氯等无机废气，以及吸附、吸收、冷凝、生物等治理过程中所产生的含有机物废水，应处理后达标排放。</w:t>
                  </w:r>
                </w:p>
              </w:tc>
              <w:tc>
                <w:tcPr>
                  <w:tcW w:w="734" w:type="pct"/>
                  <w:vAlign w:val="center"/>
                </w:tcPr>
                <w:p w14:paraId="401F3B84">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不涉及</w:t>
                  </w:r>
                </w:p>
              </w:tc>
              <w:tc>
                <w:tcPr>
                  <w:tcW w:w="333" w:type="pct"/>
                  <w:vAlign w:val="center"/>
                </w:tcPr>
                <w:p w14:paraId="093B1A50">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1CFE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63FE235F">
                  <w:pPr>
                    <w:pStyle w:val="40"/>
                    <w:spacing w:before="31"/>
                    <w:jc w:val="both"/>
                    <w:rPr>
                      <w:rFonts w:ascii="Times New Roman" w:hAnsi="Times New Roman" w:cs="Times New Roman"/>
                      <w:color w:val="000000" w:themeColor="text1"/>
                      <w:highlight w:val="none"/>
                      <w14:textFill>
                        <w14:solidFill>
                          <w14:schemeClr w14:val="tx1"/>
                        </w14:solidFill>
                      </w14:textFill>
                    </w:rPr>
                  </w:pPr>
                </w:p>
              </w:tc>
              <w:tc>
                <w:tcPr>
                  <w:tcW w:w="3303" w:type="pct"/>
                  <w:vAlign w:val="center"/>
                </w:tcPr>
                <w:p w14:paraId="279FF151">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对于不能再生的过滤材料、吸附剂及催化剂等净化材料，应按照国家固体废物管理的相关规定处理处置。</w:t>
                  </w:r>
                </w:p>
              </w:tc>
              <w:tc>
                <w:tcPr>
                  <w:tcW w:w="734" w:type="pct"/>
                  <w:vAlign w:val="center"/>
                </w:tcPr>
                <w:p w14:paraId="3DF9894B">
                  <w:pPr>
                    <w:pStyle w:val="40"/>
                    <w:spacing w:before="31"/>
                    <w:jc w:val="both"/>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项目更换的活性炭交危废单位处置。</w:t>
                  </w:r>
                </w:p>
              </w:tc>
              <w:tc>
                <w:tcPr>
                  <w:tcW w:w="333" w:type="pct"/>
                  <w:vAlign w:val="center"/>
                </w:tcPr>
                <w:p w14:paraId="2914C60F">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03D4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restart"/>
                  <w:vAlign w:val="center"/>
                </w:tcPr>
                <w:p w14:paraId="7B3DFC4A">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运行与监测</w:t>
                  </w:r>
                </w:p>
              </w:tc>
              <w:tc>
                <w:tcPr>
                  <w:tcW w:w="3303" w:type="pct"/>
                  <w:vAlign w:val="center"/>
                </w:tcPr>
                <w:p w14:paraId="14049C6B">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鼓励企业自行开展VOC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监测，并及时主动向当地环保行政主管部门报送监测结果。</w:t>
                  </w:r>
                </w:p>
              </w:tc>
              <w:tc>
                <w:tcPr>
                  <w:tcW w:w="734" w:type="pct"/>
                  <w:vAlign w:val="center"/>
                </w:tcPr>
                <w:p w14:paraId="0FF18054">
                  <w:pPr>
                    <w:pStyle w:val="40"/>
                    <w:spacing w:before="31"/>
                    <w:jc w:val="both"/>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严格按照监测要求执行自行监测。</w:t>
                  </w:r>
                </w:p>
              </w:tc>
              <w:tc>
                <w:tcPr>
                  <w:tcW w:w="333" w:type="pct"/>
                  <w:vAlign w:val="center"/>
                </w:tcPr>
                <w:p w14:paraId="3ED4C69F">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6909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0C290E3A">
                  <w:pPr>
                    <w:pStyle w:val="40"/>
                    <w:spacing w:before="31"/>
                    <w:jc w:val="both"/>
                    <w:rPr>
                      <w:rFonts w:ascii="Times New Roman" w:hAnsi="Times New Roman" w:cs="Times New Roman"/>
                      <w:color w:val="000000" w:themeColor="text1"/>
                      <w:highlight w:val="none"/>
                      <w14:textFill>
                        <w14:solidFill>
                          <w14:schemeClr w14:val="tx1"/>
                        </w14:solidFill>
                      </w14:textFill>
                    </w:rPr>
                  </w:pPr>
                </w:p>
              </w:tc>
              <w:tc>
                <w:tcPr>
                  <w:tcW w:w="3303" w:type="pct"/>
                  <w:vAlign w:val="center"/>
                </w:tcPr>
                <w:p w14:paraId="1E138470">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企业应建立健全VOC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治理设施的运行维护规程和台帐等日常管理制度，并根据工艺要求定期对各类设备、电气、自控仪表等进行检修维护，确保设施的稳定运行。</w:t>
                  </w:r>
                </w:p>
              </w:tc>
              <w:tc>
                <w:tcPr>
                  <w:tcW w:w="734" w:type="pct"/>
                  <w:vAlign w:val="center"/>
                </w:tcPr>
                <w:p w14:paraId="6DCC8D75">
                  <w:pPr>
                    <w:pStyle w:val="40"/>
                    <w:spacing w:before="31"/>
                    <w:jc w:val="both"/>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企业加强废气治理设备运行管理，建立健全VOC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治理设施的运行维护规程和台帐。</w:t>
                  </w:r>
                </w:p>
              </w:tc>
              <w:tc>
                <w:tcPr>
                  <w:tcW w:w="333" w:type="pct"/>
                  <w:vAlign w:val="center"/>
                </w:tcPr>
                <w:p w14:paraId="5B5BBA5D">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2EA9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628" w:type="pct"/>
                  <w:vMerge w:val="continue"/>
                  <w:vAlign w:val="center"/>
                </w:tcPr>
                <w:p w14:paraId="26FB9B93">
                  <w:pPr>
                    <w:pStyle w:val="40"/>
                    <w:spacing w:before="31"/>
                    <w:jc w:val="both"/>
                    <w:rPr>
                      <w:rFonts w:ascii="Times New Roman" w:hAnsi="Times New Roman" w:cs="Times New Roman"/>
                      <w:color w:val="000000" w:themeColor="text1"/>
                      <w:highlight w:val="none"/>
                      <w14:textFill>
                        <w14:solidFill>
                          <w14:schemeClr w14:val="tx1"/>
                        </w14:solidFill>
                      </w14:textFill>
                    </w:rPr>
                  </w:pPr>
                </w:p>
              </w:tc>
              <w:tc>
                <w:tcPr>
                  <w:tcW w:w="3303" w:type="pct"/>
                  <w:vAlign w:val="center"/>
                </w:tcPr>
                <w:p w14:paraId="1D8C2228">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当采用吸附回收（浓缩）、催化燃烧、热力焚烧、等离子体等方法进行末端治理时，应编制本单位事故火灾、爆炸等应急救援预案，配备应急救援人员和器材，并开展应急演练。</w:t>
                  </w:r>
                </w:p>
              </w:tc>
              <w:tc>
                <w:tcPr>
                  <w:tcW w:w="734" w:type="pct"/>
                  <w:vAlign w:val="center"/>
                </w:tcPr>
                <w:p w14:paraId="2407248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不涉及</w:t>
                  </w:r>
                </w:p>
              </w:tc>
              <w:tc>
                <w:tcPr>
                  <w:tcW w:w="333" w:type="pct"/>
                  <w:vAlign w:val="center"/>
                </w:tcPr>
                <w:p w14:paraId="4110701C">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bl>
          <w:p w14:paraId="3FD279F2">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由上表，项目符合《挥发性有机物（VOC</w:t>
            </w:r>
            <w:r>
              <w:rPr>
                <w:rFonts w:hint="eastAsia" w:ascii="Times New Roman" w:hAnsi="Times New Roman" w:cs="Times New Roman"/>
                <w:color w:val="000000" w:themeColor="text1"/>
                <w:sz w:val="24"/>
                <w:highlight w:val="none"/>
                <w:vertAlign w:val="subscript"/>
                <w14:textFill>
                  <w14:solidFill>
                    <w14:schemeClr w14:val="tx1"/>
                  </w14:solidFill>
                </w14:textFill>
              </w:rPr>
              <w:t>S</w:t>
            </w:r>
            <w:r>
              <w:rPr>
                <w:rFonts w:hint="eastAsia" w:ascii="Times New Roman" w:hAnsi="Times New Roman" w:cs="Times New Roman"/>
                <w:color w:val="000000" w:themeColor="text1"/>
                <w:sz w:val="24"/>
                <w:highlight w:val="none"/>
                <w14:textFill>
                  <w14:solidFill>
                    <w14:schemeClr w14:val="tx1"/>
                  </w14:solidFill>
                </w14:textFill>
              </w:rPr>
              <w:t>）污染防治技术政策》文件要求。</w:t>
            </w:r>
          </w:p>
          <w:p w14:paraId="089D03FF">
            <w:pPr>
              <w:spacing w:line="360" w:lineRule="auto"/>
              <w:ind w:firstLine="482" w:firstLineChars="200"/>
              <w:rPr>
                <w:rFonts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14:textFill>
                  <w14:solidFill>
                    <w14:schemeClr w14:val="tx1"/>
                  </w14:solidFill>
                </w14:textFill>
              </w:rPr>
              <w:t>9）与《挥发性有机物无组织排放控制标准》（GB37822-2019）的符合性</w:t>
            </w:r>
          </w:p>
          <w:p w14:paraId="0AAF0144">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项目与《挥发性有机物无组织排放控制标准》（GB37822-2019）的符合性分析见1.2-9。</w:t>
            </w:r>
          </w:p>
          <w:p w14:paraId="76D046F2">
            <w:pPr>
              <w:spacing w:line="360" w:lineRule="auto"/>
              <w:jc w:val="center"/>
              <w:rPr>
                <w:rFonts w:ascii="Times New Roman" w:hAnsi="Times New Roman" w:cs="Times New Roman"/>
                <w:color w:val="000000" w:themeColor="text1"/>
                <w:sz w:val="24"/>
                <w:highlight w:val="none"/>
                <w14:textFill>
                  <w14:solidFill>
                    <w14:schemeClr w14:val="tx1"/>
                  </w14:solidFill>
                </w14:textFill>
              </w:rPr>
            </w:pPr>
            <w:bookmarkStart w:id="2" w:name="_Ref17397"/>
            <w:r>
              <w:rPr>
                <w:rFonts w:hint="eastAsia" w:ascii="Times New Roman" w:hAnsi="Times New Roman" w:cs="Times New Roman"/>
                <w:b/>
                <w:bCs/>
                <w:color w:val="000000" w:themeColor="text1"/>
                <w:sz w:val="24"/>
                <w:highlight w:val="none"/>
                <w14:textFill>
                  <w14:solidFill>
                    <w14:schemeClr w14:val="tx1"/>
                  </w14:solidFill>
                </w14:textFill>
              </w:rPr>
              <w:t>表</w:t>
            </w:r>
            <w:bookmarkEnd w:id="2"/>
            <w:r>
              <w:rPr>
                <w:rFonts w:hint="eastAsia" w:ascii="Times New Roman" w:hAnsi="Times New Roman" w:cs="Times New Roman"/>
                <w:b/>
                <w:bCs/>
                <w:color w:val="000000" w:themeColor="text1"/>
                <w:sz w:val="24"/>
                <w:highlight w:val="none"/>
                <w14:textFill>
                  <w14:solidFill>
                    <w14:schemeClr w14:val="tx1"/>
                  </w14:solidFill>
                </w14:textFill>
              </w:rPr>
              <w:t>1.2-9 与《挥发性有机物无组织排放控制标准》（GB37822-2019）符合性</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7"/>
              <w:gridCol w:w="5633"/>
              <w:gridCol w:w="936"/>
              <w:gridCol w:w="537"/>
            </w:tblGrid>
            <w:tr w14:paraId="1158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593" w:type="pct"/>
                  <w:vAlign w:val="center"/>
                </w:tcPr>
                <w:p w14:paraId="2F3EA96D">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类别</w:t>
                  </w:r>
                </w:p>
              </w:tc>
              <w:tc>
                <w:tcPr>
                  <w:tcW w:w="3492" w:type="pct"/>
                  <w:vAlign w:val="center"/>
                </w:tcPr>
                <w:p w14:paraId="11F689A6">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与项目相关要求</w:t>
                  </w:r>
                </w:p>
              </w:tc>
              <w:tc>
                <w:tcPr>
                  <w:tcW w:w="580" w:type="pct"/>
                  <w:vAlign w:val="center"/>
                </w:tcPr>
                <w:p w14:paraId="3A0B70FC">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本项目</w:t>
                  </w:r>
                </w:p>
              </w:tc>
              <w:tc>
                <w:tcPr>
                  <w:tcW w:w="333" w:type="pct"/>
                  <w:vAlign w:val="center"/>
                </w:tcPr>
                <w:p w14:paraId="63FA388E">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符合性</w:t>
                  </w:r>
                </w:p>
              </w:tc>
            </w:tr>
            <w:tr w14:paraId="3E0B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0BE36901">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物料储存无组织排放控制要求</w:t>
                  </w:r>
                </w:p>
              </w:tc>
              <w:tc>
                <w:tcPr>
                  <w:tcW w:w="3492" w:type="pct"/>
                  <w:vAlign w:val="center"/>
                </w:tcPr>
                <w:p w14:paraId="2E3FFE2B">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物料应储存于密闭的容器、包装袋、储罐、储库、料仓中。2.盛装VOC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物料的容器或包装袋应存放于室内，或存放于设置有雨棚、遮阳和防渗设施的专用场地。3.盛装VOC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物料的容器或包装袋在非取用状态时应加盖、封口，保持密闭。VOC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物料储罐应密封良好，其中挥发性有机液体储罐应符合挥发性有机液体储罐规定。4.VOC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物料储库、料仓应满足对密闭空间的要求。</w:t>
                  </w:r>
                </w:p>
              </w:tc>
              <w:tc>
                <w:tcPr>
                  <w:tcW w:w="580" w:type="pct"/>
                  <w:vMerge w:val="restart"/>
                  <w:vAlign w:val="center"/>
                </w:tcPr>
                <w:p w14:paraId="680670F0">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项目</w:t>
                  </w:r>
                  <w:r>
                    <w:rPr>
                      <w:rFonts w:hint="eastAsia" w:ascii="Times New Roman" w:hAnsi="Times New Roman" w:cs="Times New Roman"/>
                      <w:color w:val="000000" w:themeColor="text1"/>
                      <w:highlight w:val="none"/>
                      <w14:textFill>
                        <w14:solidFill>
                          <w14:schemeClr w14:val="tx1"/>
                        </w14:solidFill>
                      </w14:textFill>
                    </w:rPr>
                    <w:t>生产</w:t>
                  </w:r>
                  <w:r>
                    <w:rPr>
                      <w:rFonts w:hint="eastAsia" w:ascii="Times New Roman" w:hAnsi="Times New Roman" w:cs="Times New Roman"/>
                      <w:color w:val="000000" w:themeColor="text1"/>
                      <w:highlight w:val="none"/>
                      <w:lang w:eastAsia="zh-CN"/>
                      <w14:textFill>
                        <w14:solidFill>
                          <w14:schemeClr w14:val="tx1"/>
                        </w14:solidFill>
                      </w14:textFill>
                    </w:rPr>
                    <w:t>使用</w:t>
                  </w:r>
                  <w:r>
                    <w:rPr>
                      <w:rFonts w:hint="eastAsia" w:ascii="Times New Roman" w:hAnsi="Times New Roman" w:cs="Times New Roman"/>
                      <w:color w:val="000000" w:themeColor="text1"/>
                      <w:highlight w:val="none"/>
                      <w14:textFill>
                        <w14:solidFill>
                          <w14:schemeClr w14:val="tx1"/>
                        </w14:solidFill>
                      </w14:textFill>
                    </w:rPr>
                    <w:t>塑粉，属于粉末涂料，采用</w:t>
                  </w:r>
                  <w:r>
                    <w:rPr>
                      <w:rFonts w:hint="eastAsia" w:ascii="Times New Roman" w:hAnsi="Times New Roman" w:cs="Times New Roman"/>
                      <w:color w:val="000000" w:themeColor="text1"/>
                      <w:highlight w:val="none"/>
                      <w:lang w:eastAsia="zh-CN"/>
                      <w14:textFill>
                        <w14:solidFill>
                          <w14:schemeClr w14:val="tx1"/>
                        </w14:solidFill>
                      </w14:textFill>
                    </w:rPr>
                    <w:t>密闭包装袋包装，存放于室内，生产时采用气力输送管道输送至生产线</w:t>
                  </w:r>
                  <w:r>
                    <w:rPr>
                      <w:rFonts w:hint="eastAsia" w:ascii="Times New Roman" w:hAnsi="Times New Roman" w:cs="Times New Roman"/>
                      <w:color w:val="000000" w:themeColor="text1"/>
                      <w:highlight w:val="none"/>
                      <w14:textFill>
                        <w14:solidFill>
                          <w14:schemeClr w14:val="tx1"/>
                        </w14:solidFill>
                      </w14:textFill>
                    </w:rPr>
                    <w:t>。</w:t>
                  </w:r>
                </w:p>
              </w:tc>
              <w:tc>
                <w:tcPr>
                  <w:tcW w:w="333" w:type="pct"/>
                  <w:vMerge w:val="restart"/>
                  <w:vAlign w:val="center"/>
                </w:tcPr>
                <w:p w14:paraId="5A27A5AA">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r w14:paraId="49CA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54D44AE7">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物料转移和输送无组织排放控制要求</w:t>
                  </w:r>
                </w:p>
              </w:tc>
              <w:tc>
                <w:tcPr>
                  <w:tcW w:w="3492" w:type="pct"/>
                  <w:vAlign w:val="center"/>
                </w:tcPr>
                <w:p w14:paraId="6F4A6BE3">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1.液态VOC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物料应采用密闭管道输送。采用非管道输送方式转移液态VOC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物料时，应采用密闭容器、罐车；2.粉状、粒状VOC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物料应采用气力输送设备、管状带式输送机、螺旋输送机等密闭输送方式，或者采用密闭的包装袋、容器或罐车进行物料转移。</w:t>
                  </w:r>
                </w:p>
              </w:tc>
              <w:tc>
                <w:tcPr>
                  <w:tcW w:w="580" w:type="pct"/>
                  <w:vMerge w:val="continue"/>
                  <w:vAlign w:val="center"/>
                </w:tcPr>
                <w:p w14:paraId="1519D9DB">
                  <w:pPr>
                    <w:pStyle w:val="40"/>
                    <w:spacing w:before="31"/>
                    <w:jc w:val="both"/>
                    <w:rPr>
                      <w:rFonts w:ascii="Times New Roman" w:hAnsi="Times New Roman" w:cs="Times New Roman"/>
                      <w:color w:val="000000" w:themeColor="text1"/>
                      <w:highlight w:val="none"/>
                      <w14:textFill>
                        <w14:solidFill>
                          <w14:schemeClr w14:val="tx1"/>
                        </w14:solidFill>
                      </w14:textFill>
                    </w:rPr>
                  </w:pPr>
                </w:p>
              </w:tc>
              <w:tc>
                <w:tcPr>
                  <w:tcW w:w="333" w:type="pct"/>
                  <w:vMerge w:val="continue"/>
                  <w:vAlign w:val="center"/>
                </w:tcPr>
                <w:p w14:paraId="1BC759BD">
                  <w:pPr>
                    <w:pStyle w:val="40"/>
                    <w:spacing w:before="31"/>
                    <w:rPr>
                      <w:rFonts w:ascii="Times New Roman" w:hAnsi="Times New Roman" w:cs="Times New Roman"/>
                      <w:color w:val="000000" w:themeColor="text1"/>
                      <w:highlight w:val="none"/>
                      <w14:textFill>
                        <w14:solidFill>
                          <w14:schemeClr w14:val="tx1"/>
                        </w14:solidFill>
                      </w14:textFill>
                    </w:rPr>
                  </w:pPr>
                </w:p>
              </w:tc>
            </w:tr>
            <w:tr w14:paraId="61CC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73703B60">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工艺过程VOC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无组织排放控制要求</w:t>
                  </w:r>
                </w:p>
              </w:tc>
              <w:tc>
                <w:tcPr>
                  <w:tcW w:w="3492" w:type="pct"/>
                  <w:vAlign w:val="center"/>
                </w:tcPr>
                <w:p w14:paraId="33A2C4F7">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1.含VOC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产品的使用过程：VOC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质量占比大于等于10%的含VOC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产品，其使用过程应采用密闭设备或在密闭空间内操作，废气应排至VOC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废气收集处理系统；无法密闭的，应采取局部气体收集措施，废气应排至VOC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废气收集处理系统。2.有机聚合物产品用于制品生产的过程：在混合/混炼、塑炼/塑化/熔化、加工成型（挤出、注射、压制、压延、发泡、纺丝等）等作业中应采用密闭设备或在密闭空间内操作，废气应排至VOC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废气收集处理系统；无法密闭的，应采取局部气体收集措施，废气应排至VOC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废气收集处理系统。</w:t>
                  </w:r>
                </w:p>
              </w:tc>
              <w:tc>
                <w:tcPr>
                  <w:tcW w:w="580" w:type="pct"/>
                  <w:vMerge w:val="restart"/>
                  <w:vAlign w:val="center"/>
                </w:tcPr>
                <w:p w14:paraId="066B1193">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项目喷粉固化废气，设置集气罩收集处置，控制风速不低于0.3m/s。NMHC初始排放速率远低于2kg/h，无须设置处置效率大于80%</w:t>
                  </w:r>
                  <w:r>
                    <w:rPr>
                      <w:rFonts w:hint="eastAsia" w:ascii="Times New Roman" w:hAnsi="Times New Roman" w:cs="Times New Roman"/>
                      <w:color w:val="000000" w:themeColor="text1"/>
                      <w:highlight w:val="none"/>
                      <w14:textFill>
                        <w14:solidFill>
                          <w14:schemeClr w14:val="tx1"/>
                        </w14:solidFill>
                      </w14:textFill>
                    </w:rPr>
                    <w:t>的处理设施</w:t>
                  </w:r>
                  <w:r>
                    <w:rPr>
                      <w:rFonts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14:textFill>
                        <w14:solidFill>
                          <w14:schemeClr w14:val="tx1"/>
                        </w14:solidFill>
                      </w14:textFill>
                    </w:rPr>
                    <w:t>本项目</w:t>
                  </w:r>
                  <w:r>
                    <w:rPr>
                      <w:rFonts w:ascii="Times New Roman" w:hAnsi="Times New Roman" w:cs="Times New Roman"/>
                      <w:color w:val="000000" w:themeColor="text1"/>
                      <w:highlight w:val="none"/>
                      <w14:textFill>
                        <w14:solidFill>
                          <w14:schemeClr w14:val="tx1"/>
                        </w14:solidFill>
                      </w14:textFill>
                    </w:rPr>
                    <w:t>采用活性炭吸附装置处置可行。</w:t>
                  </w:r>
                </w:p>
              </w:tc>
              <w:tc>
                <w:tcPr>
                  <w:tcW w:w="333" w:type="pct"/>
                  <w:vMerge w:val="continue"/>
                  <w:vAlign w:val="center"/>
                </w:tcPr>
                <w:p w14:paraId="548DDFB6">
                  <w:pPr>
                    <w:pStyle w:val="40"/>
                    <w:spacing w:before="31"/>
                    <w:rPr>
                      <w:rFonts w:ascii="Times New Roman" w:hAnsi="Times New Roman" w:cs="Times New Roman"/>
                      <w:color w:val="000000" w:themeColor="text1"/>
                      <w:highlight w:val="none"/>
                      <w14:textFill>
                        <w14:solidFill>
                          <w14:schemeClr w14:val="tx1"/>
                        </w14:solidFill>
                      </w14:textFill>
                    </w:rPr>
                  </w:pPr>
                </w:p>
              </w:tc>
            </w:tr>
            <w:tr w14:paraId="046B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6F54A373">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废气收集系统要求</w:t>
                  </w:r>
                </w:p>
              </w:tc>
              <w:tc>
                <w:tcPr>
                  <w:tcW w:w="3492" w:type="pct"/>
                  <w:vAlign w:val="center"/>
                </w:tcPr>
                <w:p w14:paraId="1D0F64E5">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1.企业应考虑生产工艺、操作方式、废气性质、处理方法等因素，对VOC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废气进行分类收集。2.废气收集系统排风罩（集气罩）的设置应符合GB/T 16758的规定。采用外部排风罩的，应按GB/T 16758、AQ/T 4274—2016 规定的方法测量控制风速，测量点应选取在距排风罩开口面最远处的VOC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无组织排放位置，控制风速不应低于0.3m/s（行业相关规范有具体规定的，按相关规定执行）</w:t>
                  </w:r>
                </w:p>
              </w:tc>
              <w:tc>
                <w:tcPr>
                  <w:tcW w:w="580" w:type="pct"/>
                  <w:vMerge w:val="continue"/>
                  <w:vAlign w:val="center"/>
                </w:tcPr>
                <w:p w14:paraId="729E713E">
                  <w:pPr>
                    <w:pStyle w:val="40"/>
                    <w:spacing w:before="31"/>
                    <w:jc w:val="both"/>
                    <w:rPr>
                      <w:rFonts w:ascii="Times New Roman" w:hAnsi="Times New Roman" w:cs="Times New Roman"/>
                      <w:color w:val="000000" w:themeColor="text1"/>
                      <w:highlight w:val="none"/>
                      <w14:textFill>
                        <w14:solidFill>
                          <w14:schemeClr w14:val="tx1"/>
                        </w14:solidFill>
                      </w14:textFill>
                    </w:rPr>
                  </w:pPr>
                </w:p>
              </w:tc>
              <w:tc>
                <w:tcPr>
                  <w:tcW w:w="333" w:type="pct"/>
                  <w:vMerge w:val="continue"/>
                  <w:vAlign w:val="center"/>
                </w:tcPr>
                <w:p w14:paraId="436B3F60">
                  <w:pPr>
                    <w:pStyle w:val="40"/>
                    <w:spacing w:before="31"/>
                    <w:rPr>
                      <w:rFonts w:ascii="Times New Roman" w:hAnsi="Times New Roman" w:cs="Times New Roman"/>
                      <w:color w:val="000000" w:themeColor="text1"/>
                      <w:highlight w:val="none"/>
                      <w14:textFill>
                        <w14:solidFill>
                          <w14:schemeClr w14:val="tx1"/>
                        </w14:solidFill>
                      </w14:textFill>
                    </w:rPr>
                  </w:pPr>
                </w:p>
              </w:tc>
            </w:tr>
            <w:tr w14:paraId="13AC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1B481131">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排放控制要求</w:t>
                  </w:r>
                </w:p>
              </w:tc>
              <w:tc>
                <w:tcPr>
                  <w:tcW w:w="3492" w:type="pct"/>
                  <w:vAlign w:val="center"/>
                </w:tcPr>
                <w:p w14:paraId="36C8441E">
                  <w:pPr>
                    <w:pStyle w:val="40"/>
                    <w:spacing w:before="31"/>
                    <w:jc w:val="left"/>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废气收集处理系统污染物排放应符合GB 16297或相关行业排放标准的规定。收集的废气中NMHC初始排放速率≥3kg/h时，应配置VOC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处理设施，处理效率不应低于80%；对于重点地区，收集的废气中NMHC初始排放速率≥2kg/h时，应配置VOC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处理设施，处理效率不应低于80%；采用的原辅材料符合国家有关低VOC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含量产品规定的除外。排气筒高度不低于15m（因安全考虑或有特殊工艺要求的除外），具体高度以及与周围建筑物的相对高度关系应根据环境影响评价文件确定。</w:t>
                  </w:r>
                </w:p>
              </w:tc>
              <w:tc>
                <w:tcPr>
                  <w:tcW w:w="580" w:type="pct"/>
                  <w:vMerge w:val="continue"/>
                  <w:vAlign w:val="center"/>
                </w:tcPr>
                <w:p w14:paraId="3BE9F908">
                  <w:pPr>
                    <w:pStyle w:val="40"/>
                    <w:spacing w:before="31"/>
                    <w:jc w:val="both"/>
                    <w:rPr>
                      <w:rFonts w:ascii="Times New Roman" w:hAnsi="Times New Roman" w:cs="Times New Roman"/>
                      <w:color w:val="000000" w:themeColor="text1"/>
                      <w:highlight w:val="none"/>
                      <w14:textFill>
                        <w14:solidFill>
                          <w14:schemeClr w14:val="tx1"/>
                        </w14:solidFill>
                      </w14:textFill>
                    </w:rPr>
                  </w:pPr>
                </w:p>
              </w:tc>
              <w:tc>
                <w:tcPr>
                  <w:tcW w:w="333" w:type="pct"/>
                  <w:vMerge w:val="continue"/>
                  <w:vAlign w:val="center"/>
                </w:tcPr>
                <w:p w14:paraId="1A038259">
                  <w:pPr>
                    <w:pStyle w:val="40"/>
                    <w:spacing w:before="31"/>
                    <w:rPr>
                      <w:rFonts w:ascii="Times New Roman" w:hAnsi="Times New Roman" w:cs="Times New Roman"/>
                      <w:color w:val="000000" w:themeColor="text1"/>
                      <w:highlight w:val="none"/>
                      <w14:textFill>
                        <w14:solidFill>
                          <w14:schemeClr w14:val="tx1"/>
                        </w14:solidFill>
                      </w14:textFill>
                    </w:rPr>
                  </w:pPr>
                </w:p>
              </w:tc>
            </w:tr>
            <w:tr w14:paraId="0476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93" w:type="pct"/>
                  <w:vAlign w:val="center"/>
                </w:tcPr>
                <w:p w14:paraId="5413BDF7">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记录要求</w:t>
                  </w:r>
                </w:p>
              </w:tc>
              <w:tc>
                <w:tcPr>
                  <w:tcW w:w="3492" w:type="pct"/>
                  <w:vAlign w:val="center"/>
                </w:tcPr>
                <w:p w14:paraId="146B7DF5">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企业应建立台账，记录废气收集系统、VOC</w:t>
                  </w:r>
                  <w:r>
                    <w:rPr>
                      <w:rFonts w:ascii="Times New Roman" w:hAnsi="Times New Roman" w:cs="Times New Roman"/>
                      <w:color w:val="000000" w:themeColor="text1"/>
                      <w:highlight w:val="none"/>
                      <w:vertAlign w:val="subscript"/>
                      <w14:textFill>
                        <w14:solidFill>
                          <w14:schemeClr w14:val="tx1"/>
                        </w14:solidFill>
                      </w14:textFill>
                    </w:rPr>
                    <w:t>S</w:t>
                  </w:r>
                  <w:r>
                    <w:rPr>
                      <w:rFonts w:ascii="Times New Roman" w:hAnsi="Times New Roman" w:cs="Times New Roman"/>
                      <w:color w:val="000000" w:themeColor="text1"/>
                      <w:highlight w:val="none"/>
                      <w14:textFill>
                        <w14:solidFill>
                          <w14:schemeClr w14:val="tx1"/>
                        </w14:solidFill>
                      </w14:textFill>
                    </w:rPr>
                    <w:t>处理设施的主要运行和维护信息，如运行时间、废气处理量、操作温度、停留时间、吸附剂再生/更换周期和更换量、催化剂更换周期和更换量、吸收液pH值等关键运行参数。台账保存期限不少于3年。</w:t>
                  </w:r>
                </w:p>
              </w:tc>
              <w:tc>
                <w:tcPr>
                  <w:tcW w:w="580" w:type="pct"/>
                  <w:vAlign w:val="center"/>
                </w:tcPr>
                <w:p w14:paraId="7ACBCF95">
                  <w:pPr>
                    <w:pStyle w:val="40"/>
                    <w:spacing w:before="31"/>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企业应严格执行台账管理。</w:t>
                  </w:r>
                </w:p>
              </w:tc>
              <w:tc>
                <w:tcPr>
                  <w:tcW w:w="333" w:type="pct"/>
                  <w:vAlign w:val="center"/>
                </w:tcPr>
                <w:p w14:paraId="77E76E14">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符合</w:t>
                  </w:r>
                </w:p>
              </w:tc>
            </w:tr>
          </w:tbl>
          <w:p w14:paraId="6046EA46">
            <w:pPr>
              <w:pStyle w:val="43"/>
              <w:spacing w:line="360" w:lineRule="auto"/>
              <w:rPr>
                <w:rFonts w:ascii="Times New Roman" w:hAnsi="Times New Roman" w:cs="Times New Roman"/>
                <w:color w:val="000000" w:themeColor="text1"/>
                <w:kern w:val="2"/>
                <w:sz w:val="24"/>
                <w:highlight w:val="none"/>
                <w14:textFill>
                  <w14:solidFill>
                    <w14:schemeClr w14:val="tx1"/>
                  </w14:solidFill>
                </w14:textFill>
              </w:rPr>
            </w:pPr>
            <w:r>
              <w:rPr>
                <w:rFonts w:hint="eastAsia" w:ascii="Times New Roman" w:hAnsi="Times New Roman" w:cs="Times New Roman"/>
                <w:color w:val="000000" w:themeColor="text1"/>
                <w:kern w:val="2"/>
                <w:sz w:val="24"/>
                <w:highlight w:val="none"/>
                <w14:textFill>
                  <w14:solidFill>
                    <w14:schemeClr w14:val="tx1"/>
                  </w14:solidFill>
                </w14:textFill>
              </w:rPr>
              <w:t>由上表，拟建项目符合《挥发性有机物无组织排放控制标准》（GB37822-2019）文件要求。</w:t>
            </w:r>
          </w:p>
          <w:p w14:paraId="1B966795">
            <w:pPr>
              <w:spacing w:before="31" w:beforeLines="10"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综上分析，本项目不属于淘汰类、禁止新建、扩建类及限制类项目，故本项目符合产业政策及相关环保政策要求。</w:t>
            </w:r>
          </w:p>
          <w:p w14:paraId="74108509">
            <w:pPr>
              <w:spacing w:line="368"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14:paraId="38CC962B">
            <w:pPr>
              <w:spacing w:line="368"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14:paraId="1BA9B8AE">
            <w:pPr>
              <w:spacing w:line="372"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p>
        </w:tc>
      </w:tr>
    </w:tbl>
    <w:p w14:paraId="074D3104">
      <w:pPr>
        <w:pStyle w:val="6"/>
        <w:rPr>
          <w:color w:val="000000" w:themeColor="text1"/>
          <w:highlight w:val="none"/>
          <w14:textFill>
            <w14:solidFill>
              <w14:schemeClr w14:val="tx1"/>
            </w14:solidFill>
          </w14:textFill>
        </w:rPr>
        <w:sectPr>
          <w:pgSz w:w="11906" w:h="16838"/>
          <w:pgMar w:top="1440" w:right="1344" w:bottom="1440" w:left="1514" w:header="851" w:footer="992" w:gutter="0"/>
          <w:pgNumType w:fmt="numberInDash"/>
          <w:cols w:space="425" w:num="1"/>
          <w:docGrid w:type="lines" w:linePitch="312" w:charSpace="0"/>
        </w:sectPr>
      </w:pPr>
    </w:p>
    <w:p w14:paraId="375E2D7C">
      <w:pPr>
        <w:jc w:val="center"/>
        <w:outlineLvl w:val="0"/>
        <w:rPr>
          <w:rFonts w:ascii="Times New Roman" w:hAnsi="Times New Roman" w:eastAsia="黑体"/>
          <w:color w:val="000000" w:themeColor="text1"/>
          <w:sz w:val="30"/>
          <w:szCs w:val="30"/>
          <w:highlight w:val="none"/>
          <w14:textFill>
            <w14:solidFill>
              <w14:schemeClr w14:val="tx1"/>
            </w14:solidFill>
          </w14:textFill>
        </w:rPr>
      </w:pPr>
      <w:bookmarkStart w:id="3" w:name="_Toc13467"/>
      <w:r>
        <w:rPr>
          <w:rFonts w:hint="eastAsia" w:ascii="Times New Roman" w:hAnsi="Times New Roman" w:eastAsia="黑体"/>
          <w:color w:val="000000" w:themeColor="text1"/>
          <w:sz w:val="30"/>
          <w:szCs w:val="30"/>
          <w:highlight w:val="none"/>
          <w14:textFill>
            <w14:solidFill>
              <w14:schemeClr w14:val="tx1"/>
            </w14:solidFill>
          </w14:textFill>
        </w:rPr>
        <w:t>二、建设项目工程分析</w:t>
      </w:r>
      <w:bookmarkEnd w:id="3"/>
    </w:p>
    <w:tbl>
      <w:tblPr>
        <w:tblStyle w:val="27"/>
        <w:tblW w:w="503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58"/>
        <w:gridCol w:w="8561"/>
      </w:tblGrid>
      <w:tr w14:paraId="78B3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57" w:type="pct"/>
            <w:vAlign w:val="center"/>
          </w:tcPr>
          <w:p w14:paraId="3303CF61">
            <w:pPr>
              <w:spacing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建设</w:t>
            </w:r>
          </w:p>
          <w:p w14:paraId="34379435">
            <w:pPr>
              <w:spacing w:line="360" w:lineRule="auto"/>
              <w:jc w:val="center"/>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内容</w:t>
            </w:r>
          </w:p>
        </w:tc>
        <w:tc>
          <w:tcPr>
            <w:tcW w:w="4642" w:type="pct"/>
            <w:vAlign w:val="center"/>
          </w:tcPr>
          <w:p w14:paraId="533D722B">
            <w:pPr>
              <w:spacing w:before="31" w:beforeLines="10" w:after="31" w:afterLines="10" w:line="372"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2.1项目由来</w:t>
            </w:r>
          </w:p>
          <w:p w14:paraId="7751CF4F">
            <w:pPr>
              <w:spacing w:line="372" w:lineRule="auto"/>
              <w:ind w:firstLine="480" w:firstLineChars="200"/>
              <w:rPr>
                <w:rFonts w:ascii="Times New Roman" w:hAnsi="Times New Roman" w:cs="Times New Roman"/>
                <w:color w:val="000000" w:themeColor="text1"/>
                <w:sz w:val="24"/>
                <w:szCs w:val="36"/>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重庆市九龙坡区渝军金属加工厂（以下简称“建设单位”）成立于2002年，是一家从事摩托车配件生产加工的企业。根据市场发展需求</w:t>
            </w:r>
            <w:r>
              <w:rPr>
                <w:rFonts w:hint="eastAsia" w:ascii="Times New Roman" w:hAnsi="Times New Roman" w:cs="宋体"/>
                <w:color w:val="000000" w:themeColor="text1"/>
                <w:sz w:val="24"/>
                <w:highlight w:val="none"/>
                <w14:textFill>
                  <w14:solidFill>
                    <w14:schemeClr w14:val="tx1"/>
                  </w14:solidFill>
                </w14:textFill>
              </w:rPr>
              <w:t>，建设单位租用重庆坤坤农业装备制造有限公司已建厂房，拟用于建设“渝军摩托车零部件加工项目”（以下称“本项目”</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，厂房租用面积共</w:t>
            </w:r>
            <w:r>
              <w:rPr>
                <w:rFonts w:hint="eastAsia" w:ascii="Times New Roman" w:hAnsi="Times New Roman" w:cs="宋体"/>
                <w:color w:val="000000" w:themeColor="text1"/>
                <w:sz w:val="24"/>
                <w:highlight w:val="none"/>
                <w14:textFill>
                  <w14:solidFill>
                    <w14:schemeClr w14:val="tx1"/>
                  </w14:solidFill>
                </w14:textFill>
              </w:rPr>
              <w:t>1104m</w:t>
            </w:r>
            <w:r>
              <w:rPr>
                <w:rFonts w:hint="eastAsia" w:ascii="Times New Roman" w:hAnsi="Times New Roman" w:cs="宋体"/>
                <w:color w:val="000000" w:themeColor="text1"/>
                <w:sz w:val="24"/>
                <w:highlight w:val="none"/>
                <w:vertAlign w:val="superscript"/>
                <w14:textFill>
                  <w14:solidFill>
                    <w14:schemeClr w14:val="tx1"/>
                  </w14:solidFill>
                </w14:textFill>
              </w:rPr>
              <w:t>2</w:t>
            </w:r>
            <w:r>
              <w:rPr>
                <w:rFonts w:hint="eastAsia" w:ascii="Times New Roman" w:hAnsi="Times New Roman" w:cs="宋体"/>
                <w:color w:val="000000" w:themeColor="text1"/>
                <w:sz w:val="24"/>
                <w:highlight w:val="none"/>
                <w14:textFill>
                  <w14:solidFill>
                    <w14:schemeClr w14:val="tx1"/>
                  </w14:solidFill>
                </w14:textFill>
              </w:rPr>
              <w:t>（其中1F建筑面积368m</w:t>
            </w:r>
            <w:r>
              <w:rPr>
                <w:rFonts w:hint="eastAsia" w:ascii="Times New Roman" w:hAnsi="Times New Roman" w:cs="宋体"/>
                <w:color w:val="000000" w:themeColor="text1"/>
                <w:sz w:val="24"/>
                <w:highlight w:val="none"/>
                <w:vertAlign w:val="superscript"/>
                <w14:textFill>
                  <w14:solidFill>
                    <w14:schemeClr w14:val="tx1"/>
                  </w14:solidFill>
                </w14:textFill>
              </w:rPr>
              <w:t>2</w:t>
            </w:r>
            <w:r>
              <w:rPr>
                <w:rFonts w:hint="eastAsia" w:ascii="Times New Roman" w:hAnsi="Times New Roman" w:cs="宋体"/>
                <w:color w:val="000000" w:themeColor="text1"/>
                <w:sz w:val="24"/>
                <w:highlight w:val="none"/>
                <w14:textFill>
                  <w14:solidFill>
                    <w14:schemeClr w14:val="tx1"/>
                  </w14:solidFill>
                </w14:textFill>
              </w:rPr>
              <w:t>，2F建筑面积736m</w:t>
            </w:r>
            <w:r>
              <w:rPr>
                <w:rFonts w:hint="eastAsia" w:ascii="Times New Roman" w:hAnsi="Times New Roman" w:cs="宋体"/>
                <w:color w:val="000000" w:themeColor="text1"/>
                <w:sz w:val="24"/>
                <w:highlight w:val="none"/>
                <w:vertAlign w:val="superscript"/>
                <w14:textFill>
                  <w14:solidFill>
                    <w14:schemeClr w14:val="tx1"/>
                  </w14:solidFill>
                </w14:textFill>
              </w:rPr>
              <w:t>2</w:t>
            </w:r>
            <w:r>
              <w:rPr>
                <w:rFonts w:hint="eastAsia" w:ascii="Times New Roman" w:hAnsi="Times New Roman" w:cs="宋体"/>
                <w:color w:val="000000" w:themeColor="text1"/>
                <w:sz w:val="24"/>
                <w:highlight w:val="none"/>
                <w14:textFill>
                  <w14:solidFill>
                    <w14:schemeClr w14:val="tx1"/>
                  </w14:solidFill>
                </w14:textFill>
              </w:rPr>
              <w:t>），厂房内新建1台抛丸机、1条喷粉线，对外购的摩托车钢圈毛坯进行抛丸、喷粉、固化加工，生产规模为</w:t>
            </w:r>
            <w:r>
              <w:rPr>
                <w:rFonts w:ascii="Times New Roman" w:hAnsi="Times New Roman" w:cs="Times New Roman"/>
                <w:color w:val="000000" w:themeColor="text1"/>
                <w:sz w:val="24"/>
                <w:highlight w:val="none"/>
                <w14:textFill>
                  <w14:solidFill>
                    <w14:schemeClr w14:val="tx1"/>
                  </w14:solidFill>
                </w14:textFill>
              </w:rPr>
              <w:t>年</w:t>
            </w:r>
            <w:r>
              <w:rPr>
                <w:rFonts w:hint="eastAsia" w:ascii="Times New Roman" w:hAnsi="Times New Roman" w:cs="Times New Roman"/>
                <w:color w:val="000000" w:themeColor="text1"/>
                <w:sz w:val="24"/>
                <w:highlight w:val="none"/>
                <w14:textFill>
                  <w14:solidFill>
                    <w14:schemeClr w14:val="tx1"/>
                  </w14:solidFill>
                </w14:textFill>
              </w:rPr>
              <w:t>产摩托车钢圈20</w:t>
            </w:r>
            <w:r>
              <w:rPr>
                <w:rFonts w:ascii="Times New Roman" w:hAnsi="Times New Roman" w:cs="Times New Roman"/>
                <w:color w:val="000000" w:themeColor="text1"/>
                <w:sz w:val="24"/>
                <w:highlight w:val="none"/>
                <w14:textFill>
                  <w14:solidFill>
                    <w14:schemeClr w14:val="tx1"/>
                  </w14:solidFill>
                </w14:textFill>
              </w:rPr>
              <w:t>万件。项目已取得重庆市九龙坡区发展和改革委员会下发的</w:t>
            </w:r>
            <w:r>
              <w:rPr>
                <w:rFonts w:ascii="Times New Roman" w:hAnsi="Times New Roman" w:cs="Times New Roman"/>
                <w:color w:val="000000" w:themeColor="text1"/>
                <w:spacing w:val="6"/>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重庆市企业投资项目备案证</w:t>
            </w:r>
            <w:r>
              <w:rPr>
                <w:rFonts w:ascii="Times New Roman" w:hAnsi="Times New Roman" w:cs="Times New Roman"/>
                <w:color w:val="000000" w:themeColor="text1"/>
                <w:spacing w:val="6"/>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代码：</w:t>
            </w:r>
            <w:r>
              <w:rPr>
                <w:rFonts w:hint="eastAsia" w:ascii="Times New Roman" w:hAnsi="Times New Roman" w:cs="Times New Roman"/>
                <w:color w:val="000000" w:themeColor="text1"/>
                <w:sz w:val="24"/>
                <w:szCs w:val="36"/>
                <w:highlight w:val="none"/>
                <w14:textFill>
                  <w14:solidFill>
                    <w14:schemeClr w14:val="tx1"/>
                  </w14:solidFill>
                </w14:textFill>
              </w:rPr>
              <w:t>2507</w:t>
            </w:r>
            <w:r>
              <w:rPr>
                <w:rFonts w:ascii="Times New Roman" w:hAnsi="Times New Roman" w:cs="Times New Roman"/>
                <w:color w:val="000000" w:themeColor="text1"/>
                <w:sz w:val="24"/>
                <w:szCs w:val="36"/>
                <w:highlight w:val="none"/>
                <w14:textFill>
                  <w14:solidFill>
                    <w14:schemeClr w14:val="tx1"/>
                  </w14:solidFill>
                </w14:textFill>
              </w:rPr>
              <w:t>-500107-04-05-</w:t>
            </w:r>
            <w:r>
              <w:rPr>
                <w:rFonts w:hint="eastAsia" w:ascii="Times New Roman" w:hAnsi="Times New Roman" w:cs="Times New Roman"/>
                <w:color w:val="000000" w:themeColor="text1"/>
                <w:sz w:val="24"/>
                <w:szCs w:val="36"/>
                <w:highlight w:val="none"/>
                <w14:textFill>
                  <w14:solidFill>
                    <w14:schemeClr w14:val="tx1"/>
                  </w14:solidFill>
                </w14:textFill>
              </w:rPr>
              <w:t>636085</w:t>
            </w:r>
            <w:r>
              <w:rPr>
                <w:rFonts w:ascii="Times New Roman" w:hAnsi="Times New Roman" w:cs="Times New Roman"/>
                <w:color w:val="000000" w:themeColor="text1"/>
                <w:spacing w:val="6"/>
                <w:sz w:val="24"/>
                <w:highlight w:val="none"/>
                <w14:textFill>
                  <w14:solidFill>
                    <w14:schemeClr w14:val="tx1"/>
                  </w14:solidFill>
                </w14:textFill>
              </w:rPr>
              <w:t>）。</w:t>
            </w:r>
          </w:p>
          <w:p w14:paraId="188AF4ED">
            <w:pPr>
              <w:spacing w:line="372" w:lineRule="auto"/>
              <w:ind w:firstLine="480" w:firstLineChars="200"/>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根据《中华人民共和国环境保护法》、《中华人民共和国环境影响评价法》、《建设项目环境保护管理条例》、《建设项目环境影响评价分类管理名录》等规定，本项目应进行环境影响评价。同时，根据《建设项目环境影响评价分类管理名录》（2021年版）</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本项目属于</w:t>
            </w:r>
            <w:r>
              <w:rPr>
                <w:rFonts w:hint="eastAsia" w:ascii="Times New Roman" w:hAnsi="Times New Roman" w:eastAsia="宋体"/>
                <w:color w:val="000000" w:themeColor="text1"/>
                <w:sz w:val="24"/>
                <w:highlight w:val="none"/>
                <w14:textFill>
                  <w14:solidFill>
                    <w14:schemeClr w14:val="tx1"/>
                  </w14:solidFill>
                </w14:textFill>
              </w:rPr>
              <w:t>“三十</w:t>
            </w:r>
            <w:r>
              <w:rPr>
                <w:rFonts w:ascii="Times New Roman" w:hAnsi="Times New Roman" w:eastAsia="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金属制品业 “67金属表面处理及热处理加工”。对照《重庆市不纳入环境影响评价管理的建设项目名录（2023年版）》（</w:t>
            </w:r>
            <w:bookmarkStart w:id="4" w:name="gwz"/>
            <w:r>
              <w:rPr>
                <w:rFonts w:hint="eastAsia" w:ascii="Times New Roman" w:hAnsi="Times New Roman" w:eastAsia="宋体"/>
                <w:color w:val="000000" w:themeColor="text1"/>
                <w:sz w:val="24"/>
                <w:highlight w:val="none"/>
                <w14:textFill>
                  <w14:solidFill>
                    <w14:schemeClr w14:val="tx1"/>
                  </w14:solidFill>
                </w14:textFill>
              </w:rPr>
              <w:t>渝环规</w:t>
            </w:r>
            <w:bookmarkEnd w:id="4"/>
            <w:r>
              <w:rPr>
                <w:rFonts w:hint="eastAsia" w:ascii="Times New Roman" w:hAnsi="Times New Roman" w:eastAsia="宋体"/>
                <w:color w:val="000000" w:themeColor="text1"/>
                <w:sz w:val="24"/>
                <w:highlight w:val="none"/>
                <w14:textFill>
                  <w14:solidFill>
                    <w14:schemeClr w14:val="tx1"/>
                  </w14:solidFill>
                </w14:textFill>
              </w:rPr>
              <w:t>〔</w:t>
            </w:r>
            <w:bookmarkStart w:id="5" w:name="gwnh"/>
            <w:r>
              <w:rPr>
                <w:rFonts w:ascii="Times New Roman" w:hAnsi="Times New Roman" w:eastAsia="宋体"/>
                <w:color w:val="000000" w:themeColor="text1"/>
                <w:sz w:val="24"/>
                <w:highlight w:val="none"/>
                <w14:textFill>
                  <w14:solidFill>
                    <w14:schemeClr w14:val="tx1"/>
                  </w14:solidFill>
                </w14:textFill>
              </w:rPr>
              <w:t>2023</w:t>
            </w:r>
            <w:bookmarkEnd w:id="5"/>
            <w:r>
              <w:rPr>
                <w:rFonts w:hint="eastAsia" w:ascii="Times New Roman" w:hAnsi="Times New Roman" w:eastAsia="宋体"/>
                <w:color w:val="000000" w:themeColor="text1"/>
                <w:sz w:val="24"/>
                <w:highlight w:val="none"/>
                <w14:textFill>
                  <w14:solidFill>
                    <w14:schemeClr w14:val="tx1"/>
                  </w14:solidFill>
                </w14:textFill>
              </w:rPr>
              <w:t>〕</w:t>
            </w:r>
            <w:bookmarkStart w:id="6" w:name="gwqh"/>
            <w:r>
              <w:rPr>
                <w:rFonts w:hint="eastAsia" w:ascii="Times New Roman" w:hAnsi="Times New Roman" w:eastAsia="宋体"/>
                <w:color w:val="000000" w:themeColor="text1"/>
                <w:sz w:val="24"/>
                <w:highlight w:val="none"/>
                <w14:textFill>
                  <w14:solidFill>
                    <w14:schemeClr w14:val="tx1"/>
                  </w14:solidFill>
                </w14:textFill>
              </w:rPr>
              <w:t>8</w:t>
            </w:r>
            <w:bookmarkEnd w:id="6"/>
            <w:r>
              <w:rPr>
                <w:rFonts w:hint="eastAsia" w:ascii="Times New Roman" w:hAnsi="Times New Roman" w:eastAsia="宋体"/>
                <w:color w:val="000000" w:themeColor="text1"/>
                <w:sz w:val="24"/>
                <w:highlight w:val="none"/>
                <w14:textFill>
                  <w14:solidFill>
                    <w14:schemeClr w14:val="tx1"/>
                  </w14:solidFill>
                </w14:textFill>
              </w:rPr>
              <w:t>号</w:t>
            </w:r>
            <w:r>
              <w:rPr>
                <w:rFonts w:hint="eastAsia" w:ascii="Times New Roman" w:hAnsi="Times New Roman" w:cs="Times New Roman"/>
                <w:color w:val="000000" w:themeColor="text1"/>
                <w:sz w:val="24"/>
                <w:highlight w:val="none"/>
                <w14:textFill>
                  <w14:solidFill>
                    <w14:schemeClr w14:val="tx1"/>
                  </w14:solidFill>
                </w14:textFill>
              </w:rPr>
              <w:t>），本项目主要生产工艺涉及抛丸、喷粉、加热烘干固化，不属于文件所列二十三 金属</w:t>
            </w:r>
            <w:r>
              <w:rPr>
                <w:rFonts w:hint="eastAsia" w:ascii="Times New Roman" w:hAnsi="Times New Roman" w:eastAsia="宋体"/>
                <w:color w:val="000000" w:themeColor="text1"/>
                <w:sz w:val="24"/>
                <w:highlight w:val="none"/>
                <w14:textFill>
                  <w14:solidFill>
                    <w14:schemeClr w14:val="tx1"/>
                  </w14:solidFill>
                </w14:textFill>
              </w:rPr>
              <w:t>制品业33“50</w:t>
            </w:r>
            <w:r>
              <w:rPr>
                <w:rFonts w:ascii="Times New Roman" w:hAnsi="Times New Roman" w:eastAsia="宋体"/>
                <w:color w:val="000000" w:themeColor="text1"/>
                <w:sz w:val="24"/>
                <w:highlight w:val="none"/>
                <w14:textFill>
                  <w14:solidFill>
                    <w14:schemeClr w14:val="tx1"/>
                  </w14:solidFill>
                </w14:textFill>
              </w:rPr>
              <w:t>仅有涂装工艺且年用非溶剂型低VOCs含量涂料10吨（不含）以下的金属表面处理及热处理加工；不涉及加热烘干且年用非溶剂型低VOCs含量涂料10吨（不含）以下的喷粉、喷塑（使用溶剂型涂料</w:t>
            </w:r>
            <w:r>
              <w:rPr>
                <w:rFonts w:hint="eastAsia" w:ascii="Times New Roman" w:hAnsi="Times New Roman" w:eastAsia="宋体"/>
                <w:color w:val="000000" w:themeColor="text1"/>
                <w:sz w:val="24"/>
                <w:highlight w:val="none"/>
                <w14:textFill>
                  <w14:solidFill>
                    <w14:schemeClr w14:val="tx1"/>
                  </w14:solidFill>
                </w14:textFill>
              </w:rPr>
              <w:t>、有机涂层</w:t>
            </w:r>
            <w:r>
              <w:rPr>
                <w:rFonts w:ascii="Times New Roman" w:hAnsi="Times New Roman" w:eastAsia="宋体"/>
                <w:color w:val="000000" w:themeColor="text1"/>
                <w:sz w:val="24"/>
                <w:highlight w:val="none"/>
                <w14:textFill>
                  <w14:solidFill>
                    <w14:schemeClr w14:val="tx1"/>
                  </w14:solidFill>
                </w14:textFill>
              </w:rPr>
              <w:t>或涉及电镀</w:t>
            </w:r>
            <w:r>
              <w:rPr>
                <w:rFonts w:hint="eastAsia" w:ascii="Times New Roman" w:hAnsi="Times New Roman" w:eastAsia="宋体"/>
                <w:color w:val="000000" w:themeColor="text1"/>
                <w:sz w:val="24"/>
                <w:highlight w:val="none"/>
                <w14:textFill>
                  <w14:solidFill>
                    <w14:schemeClr w14:val="tx1"/>
                  </w14:solidFill>
                </w14:textFill>
              </w:rPr>
              <w:t>、钝化</w:t>
            </w:r>
            <w:r>
              <w:rPr>
                <w:rFonts w:ascii="Times New Roman" w:hAnsi="Times New Roman" w:eastAsia="宋体"/>
                <w:color w:val="000000" w:themeColor="text1"/>
                <w:sz w:val="24"/>
                <w:highlight w:val="none"/>
                <w14:textFill>
                  <w14:solidFill>
                    <w14:schemeClr w14:val="tx1"/>
                  </w14:solidFill>
                </w14:textFill>
              </w:rPr>
              <w:t>工艺的除外）。</w:t>
            </w:r>
            <w:r>
              <w:rPr>
                <w:rFonts w:hint="eastAsia" w:ascii="Times New Roman" w:hAnsi="Times New Roman" w:eastAsia="宋体"/>
                <w:color w:val="000000" w:themeColor="text1"/>
                <w:sz w:val="24"/>
                <w:highlight w:val="none"/>
                <w14:textFill>
                  <w14:solidFill>
                    <w14:schemeClr w14:val="tx1"/>
                  </w14:solidFill>
                </w14:textFill>
              </w:rPr>
              <w:t>”因此，本项目</w:t>
            </w:r>
            <w:r>
              <w:rPr>
                <w:rFonts w:ascii="Times New Roman" w:hAnsi="Times New Roman" w:cs="Times New Roman"/>
                <w:color w:val="000000" w:themeColor="text1"/>
                <w:spacing w:val="6"/>
                <w:sz w:val="24"/>
                <w:highlight w:val="none"/>
                <w14:textFill>
                  <w14:solidFill>
                    <w14:schemeClr w14:val="tx1"/>
                  </w14:solidFill>
                </w14:textFill>
              </w:rPr>
              <w:t>应编制</w:t>
            </w:r>
            <w:r>
              <w:rPr>
                <w:rFonts w:ascii="Times New Roman" w:hAnsi="Times New Roman" w:cs="Times New Roman"/>
                <w:b/>
                <w:bCs/>
                <w:color w:val="000000" w:themeColor="text1"/>
                <w:sz w:val="24"/>
                <w:highlight w:val="none"/>
                <w14:textFill>
                  <w14:solidFill>
                    <w14:schemeClr w14:val="tx1"/>
                  </w14:solidFill>
                </w14:textFill>
              </w:rPr>
              <w:t>环境影响报告表。</w:t>
            </w:r>
          </w:p>
          <w:p w14:paraId="25E2D8E1">
            <w:pPr>
              <w:spacing w:line="372" w:lineRule="auto"/>
              <w:ind w:firstLine="480" w:firstLineChars="200"/>
              <w:rPr>
                <w:rFonts w:ascii="Times New Roman" w:hAnsi="Times New Roman" w:cs="Times New Roman"/>
                <w:color w:val="000000" w:themeColor="text1"/>
                <w:sz w:val="24"/>
                <w:szCs w:val="21"/>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受</w:t>
            </w:r>
            <w:r>
              <w:rPr>
                <w:rFonts w:hint="eastAsia" w:ascii="Times New Roman" w:hAnsi="Times New Roman" w:cs="Times New Roman"/>
                <w:color w:val="000000" w:themeColor="text1"/>
                <w:sz w:val="24"/>
                <w:highlight w:val="none"/>
                <w14:textFill>
                  <w14:solidFill>
                    <w14:schemeClr w14:val="tx1"/>
                  </w14:solidFill>
                </w14:textFill>
              </w:rPr>
              <w:t>重庆市九龙坡区渝军金属加工厂</w:t>
            </w:r>
            <w:r>
              <w:rPr>
                <w:rFonts w:ascii="Times New Roman" w:hAnsi="Times New Roman" w:cs="Times New Roman"/>
                <w:color w:val="000000" w:themeColor="text1"/>
                <w:sz w:val="24"/>
                <w:highlight w:val="none"/>
                <w14:textFill>
                  <w14:solidFill>
                    <w14:schemeClr w14:val="tx1"/>
                  </w14:solidFill>
                </w14:textFill>
              </w:rPr>
              <w:t>委托，重庆旌泷环保科技有限公司承担该建设项目的环境影响评价工作，编制了</w:t>
            </w:r>
            <w:r>
              <w:rPr>
                <w:rFonts w:ascii="Times New Roman" w:hAnsi="Times New Roman" w:cs="Times New Roman"/>
                <w:color w:val="000000" w:themeColor="text1"/>
                <w:sz w:val="24"/>
                <w:szCs w:val="21"/>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重庆市九龙坡区渝军金属加工厂</w:t>
            </w:r>
            <w:r>
              <w:rPr>
                <w:rFonts w:hint="eastAsia" w:ascii="Times New Roman" w:hAnsi="Times New Roman" w:cs="宋体"/>
                <w:color w:val="000000" w:themeColor="text1"/>
                <w:sz w:val="24"/>
                <w:highlight w:val="none"/>
                <w14:textFill>
                  <w14:solidFill>
                    <w14:schemeClr w14:val="tx1"/>
                  </w14:solidFill>
                </w14:textFill>
              </w:rPr>
              <w:t>渝军摩托车零部件加工项目</w:t>
            </w:r>
            <w:r>
              <w:rPr>
                <w:rFonts w:ascii="Times New Roman" w:hAnsi="Times New Roman" w:cs="Times New Roman"/>
                <w:color w:val="000000" w:themeColor="text1"/>
                <w:sz w:val="24"/>
                <w:szCs w:val="21"/>
                <w:highlight w:val="none"/>
                <w14:textFill>
                  <w14:solidFill>
                    <w14:schemeClr w14:val="tx1"/>
                  </w14:solidFill>
                </w14:textFill>
              </w:rPr>
              <w:t>环境影响报告表》。</w:t>
            </w:r>
          </w:p>
          <w:p w14:paraId="0AA6ECBC">
            <w:pPr>
              <w:spacing w:line="360" w:lineRule="auto"/>
              <w:rPr>
                <w:color w:val="000000" w:themeColor="text1"/>
                <w:sz w:val="24"/>
                <w:szCs w:val="21"/>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2.2、</w:t>
            </w:r>
            <w:r>
              <w:rPr>
                <w:rFonts w:hint="eastAsia"/>
                <w:b/>
                <w:color w:val="000000" w:themeColor="text1"/>
                <w:sz w:val="24"/>
                <w:highlight w:val="none"/>
                <w14:textFill>
                  <w14:solidFill>
                    <w14:schemeClr w14:val="tx1"/>
                  </w14:solidFill>
                </w14:textFill>
              </w:rPr>
              <w:t>项目基本情况</w:t>
            </w:r>
          </w:p>
          <w:p w14:paraId="40D4963A">
            <w:pPr>
              <w:spacing w:line="360"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ascii="Times New Roman" w:hAnsi="Times New Roman" w:cs="Times New Roman"/>
                <w:color w:val="000000" w:themeColor="text1"/>
                <w:sz w:val="24"/>
                <w:szCs w:val="21"/>
                <w:highlight w:val="none"/>
                <w14:textFill>
                  <w14:solidFill>
                    <w14:schemeClr w14:val="tx1"/>
                  </w14:solidFill>
                </w14:textFill>
              </w:rPr>
              <w:t>（1）项目名称：</w:t>
            </w:r>
            <w:r>
              <w:rPr>
                <w:rFonts w:hint="eastAsia" w:ascii="Times New Roman" w:hAnsi="Times New Roman" w:cs="宋体"/>
                <w:color w:val="000000" w:themeColor="text1"/>
                <w:sz w:val="24"/>
                <w:highlight w:val="none"/>
                <w14:textFill>
                  <w14:solidFill>
                    <w14:schemeClr w14:val="tx1"/>
                  </w14:solidFill>
                </w14:textFill>
              </w:rPr>
              <w:t>渝军摩托车零部件加工项目</w:t>
            </w:r>
          </w:p>
          <w:p w14:paraId="3694162C">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szCs w:val="21"/>
                <w:highlight w:val="none"/>
                <w14:textFill>
                  <w14:solidFill>
                    <w14:schemeClr w14:val="tx1"/>
                  </w14:solidFill>
                </w14:textFill>
              </w:rPr>
              <w:t>（2）建设单位：</w:t>
            </w:r>
            <w:r>
              <w:rPr>
                <w:rFonts w:hint="eastAsia" w:ascii="Times New Roman" w:hAnsi="Times New Roman" w:cs="Times New Roman"/>
                <w:color w:val="000000" w:themeColor="text1"/>
                <w:sz w:val="24"/>
                <w:highlight w:val="none"/>
                <w14:textFill>
                  <w14:solidFill>
                    <w14:schemeClr w14:val="tx1"/>
                  </w14:solidFill>
                </w14:textFill>
              </w:rPr>
              <w:t>重庆市九龙坡区渝军金属加工厂</w:t>
            </w:r>
          </w:p>
          <w:p w14:paraId="6A236D6C">
            <w:pPr>
              <w:spacing w:line="360" w:lineRule="auto"/>
              <w:ind w:firstLine="480" w:firstLineChars="200"/>
              <w:rPr>
                <w:rFonts w:ascii="Times New Roman" w:hAnsi="Times New Roman" w:eastAsia="宋体" w:cs="Times New Roman"/>
                <w:color w:val="000000" w:themeColor="text1"/>
                <w:sz w:val="24"/>
                <w:szCs w:val="21"/>
                <w:highlight w:val="none"/>
                <w14:textFill>
                  <w14:solidFill>
                    <w14:schemeClr w14:val="tx1"/>
                  </w14:solidFill>
                </w14:textFill>
              </w:rPr>
            </w:pPr>
            <w:r>
              <w:rPr>
                <w:rFonts w:ascii="Times New Roman" w:hAnsi="Times New Roman" w:cs="Times New Roman"/>
                <w:color w:val="000000" w:themeColor="text1"/>
                <w:sz w:val="24"/>
                <w:szCs w:val="21"/>
                <w:highlight w:val="none"/>
                <w14:textFill>
                  <w14:solidFill>
                    <w14:schemeClr w14:val="tx1"/>
                  </w14:solidFill>
                </w14:textFill>
              </w:rPr>
              <w:t>（3）建设地点：</w:t>
            </w:r>
            <w:r>
              <w:rPr>
                <w:rFonts w:ascii="Times New Roman" w:hAnsi="Times New Roman" w:cs="Times New Roman"/>
                <w:color w:val="000000" w:themeColor="text1"/>
                <w:sz w:val="24"/>
                <w:szCs w:val="36"/>
                <w:highlight w:val="none"/>
                <w14:textFill>
                  <w14:solidFill>
                    <w14:schemeClr w14:val="tx1"/>
                  </w14:solidFill>
                </w14:textFill>
              </w:rPr>
              <w:t>重庆市九龙坡区西彭镇森迪大道</w:t>
            </w:r>
            <w:r>
              <w:rPr>
                <w:rFonts w:hint="eastAsia" w:ascii="Times New Roman" w:hAnsi="Times New Roman" w:cs="Times New Roman"/>
                <w:color w:val="000000" w:themeColor="text1"/>
                <w:sz w:val="24"/>
                <w:szCs w:val="36"/>
                <w:highlight w:val="none"/>
                <w14:textFill>
                  <w14:solidFill>
                    <w14:schemeClr w14:val="tx1"/>
                  </w14:solidFill>
                </w14:textFill>
              </w:rPr>
              <w:t>14</w:t>
            </w:r>
            <w:r>
              <w:rPr>
                <w:rFonts w:ascii="Times New Roman" w:hAnsi="Times New Roman" w:cs="Times New Roman"/>
                <w:color w:val="000000" w:themeColor="text1"/>
                <w:sz w:val="24"/>
                <w:szCs w:val="36"/>
                <w:highlight w:val="none"/>
                <w14:textFill>
                  <w14:solidFill>
                    <w14:schemeClr w14:val="tx1"/>
                  </w14:solidFill>
                </w14:textFill>
              </w:rPr>
              <w:t>号</w:t>
            </w:r>
            <w:r>
              <w:rPr>
                <w:rFonts w:hint="eastAsia" w:ascii="Times New Roman" w:hAnsi="Times New Roman" w:cs="Times New Roman"/>
                <w:color w:val="000000" w:themeColor="text1"/>
                <w:sz w:val="24"/>
                <w:szCs w:val="36"/>
                <w:highlight w:val="none"/>
                <w14:textFill>
                  <w14:solidFill>
                    <w14:schemeClr w14:val="tx1"/>
                  </w14:solidFill>
                </w14:textFill>
              </w:rPr>
              <w:t>附3号</w:t>
            </w:r>
          </w:p>
          <w:p w14:paraId="6C29C776">
            <w:pPr>
              <w:spacing w:line="360" w:lineRule="auto"/>
              <w:ind w:firstLine="480" w:firstLineChars="200"/>
              <w:rPr>
                <w:rFonts w:ascii="Times New Roman" w:hAnsi="Times New Roman" w:cs="Times New Roman"/>
                <w:color w:val="000000" w:themeColor="text1"/>
                <w:sz w:val="24"/>
                <w:szCs w:val="21"/>
                <w:highlight w:val="none"/>
                <w14:textFill>
                  <w14:solidFill>
                    <w14:schemeClr w14:val="tx1"/>
                  </w14:solidFill>
                </w14:textFill>
              </w:rPr>
            </w:pPr>
            <w:r>
              <w:rPr>
                <w:rFonts w:ascii="Times New Roman" w:hAnsi="Times New Roman" w:cs="Times New Roman"/>
                <w:color w:val="000000" w:themeColor="text1"/>
                <w:sz w:val="24"/>
                <w:szCs w:val="21"/>
                <w:highlight w:val="none"/>
                <w14:textFill>
                  <w14:solidFill>
                    <w14:schemeClr w14:val="tx1"/>
                  </w14:solidFill>
                </w14:textFill>
              </w:rPr>
              <w:t>（4）建设性质：</w:t>
            </w:r>
            <w:r>
              <w:rPr>
                <w:rFonts w:hint="eastAsia" w:ascii="Times New Roman" w:hAnsi="Times New Roman" w:cs="Times New Roman"/>
                <w:color w:val="000000" w:themeColor="text1"/>
                <w:sz w:val="24"/>
                <w:szCs w:val="21"/>
                <w:highlight w:val="none"/>
                <w14:textFill>
                  <w14:solidFill>
                    <w14:schemeClr w14:val="tx1"/>
                  </w14:solidFill>
                </w14:textFill>
              </w:rPr>
              <w:t>新建</w:t>
            </w:r>
          </w:p>
          <w:p w14:paraId="19D5E40B">
            <w:pPr>
              <w:spacing w:line="360" w:lineRule="auto"/>
              <w:ind w:firstLine="480" w:firstLineChars="200"/>
              <w:rPr>
                <w:rFonts w:ascii="Times New Roman" w:hAnsi="Times New Roman" w:cs="Times New Roman"/>
                <w:color w:val="000000" w:themeColor="text1"/>
                <w:sz w:val="24"/>
                <w:szCs w:val="21"/>
                <w:highlight w:val="none"/>
                <w14:textFill>
                  <w14:solidFill>
                    <w14:schemeClr w14:val="tx1"/>
                  </w14:solidFill>
                </w14:textFill>
              </w:rPr>
            </w:pPr>
            <w:r>
              <w:rPr>
                <w:rFonts w:ascii="Times New Roman" w:hAnsi="Times New Roman" w:cs="Times New Roman"/>
                <w:color w:val="000000" w:themeColor="text1"/>
                <w:sz w:val="24"/>
                <w:szCs w:val="21"/>
                <w:highlight w:val="none"/>
                <w14:textFill>
                  <w14:solidFill>
                    <w14:schemeClr w14:val="tx1"/>
                  </w14:solidFill>
                </w14:textFill>
              </w:rPr>
              <w:t>（5）建筑面积</w:t>
            </w:r>
            <w:r>
              <w:rPr>
                <w:rFonts w:hint="eastAsia" w:ascii="Times New Roman" w:hAnsi="Times New Roman" w:cs="Times New Roman"/>
                <w:color w:val="000000" w:themeColor="text1"/>
                <w:sz w:val="24"/>
                <w:szCs w:val="21"/>
                <w:highlight w:val="none"/>
                <w14:textFill>
                  <w14:solidFill>
                    <w14:schemeClr w14:val="tx1"/>
                  </w14:solidFill>
                </w14:textFill>
              </w:rPr>
              <w:t>：1104</w:t>
            </w:r>
            <w:r>
              <w:rPr>
                <w:rFonts w:ascii="Times New Roman" w:hAnsi="Times New Roman" w:cs="Times New Roman"/>
                <w:color w:val="000000" w:themeColor="text1"/>
                <w:sz w:val="24"/>
                <w:highlight w:val="none"/>
                <w:lang w:bidi="en-US"/>
                <w14:textFill>
                  <w14:solidFill>
                    <w14:schemeClr w14:val="tx1"/>
                  </w14:solidFill>
                </w14:textFill>
              </w:rPr>
              <w:t>m</w:t>
            </w:r>
            <w:r>
              <w:rPr>
                <w:rFonts w:ascii="Times New Roman" w:hAnsi="Times New Roman" w:cs="Times New Roman"/>
                <w:color w:val="000000" w:themeColor="text1"/>
                <w:sz w:val="24"/>
                <w:highlight w:val="none"/>
                <w:vertAlign w:val="superscript"/>
                <w:lang w:bidi="en-US"/>
                <w14:textFill>
                  <w14:solidFill>
                    <w14:schemeClr w14:val="tx1"/>
                  </w14:solidFill>
                </w14:textFill>
              </w:rPr>
              <w:t>2</w:t>
            </w:r>
          </w:p>
          <w:p w14:paraId="3D9A3C4F">
            <w:pPr>
              <w:spacing w:line="360" w:lineRule="auto"/>
              <w:ind w:firstLine="480" w:firstLineChars="200"/>
              <w:rPr>
                <w:rFonts w:ascii="Times New Roman" w:hAnsi="Times New Roman" w:cs="Times New Roman"/>
                <w:color w:val="000000" w:themeColor="text1"/>
                <w:sz w:val="24"/>
                <w:szCs w:val="21"/>
                <w:highlight w:val="none"/>
                <w14:textFill>
                  <w14:solidFill>
                    <w14:schemeClr w14:val="tx1"/>
                  </w14:solidFill>
                </w14:textFill>
              </w:rPr>
            </w:pPr>
            <w:r>
              <w:rPr>
                <w:rFonts w:ascii="Times New Roman" w:hAnsi="Times New Roman" w:cs="Times New Roman"/>
                <w:color w:val="000000" w:themeColor="text1"/>
                <w:sz w:val="24"/>
                <w:szCs w:val="21"/>
                <w:highlight w:val="none"/>
                <w14:textFill>
                  <w14:solidFill>
                    <w14:schemeClr w14:val="tx1"/>
                  </w14:solidFill>
                </w14:textFill>
              </w:rPr>
              <w:t>（6）项目投资：总投资</w:t>
            </w:r>
            <w:r>
              <w:rPr>
                <w:rFonts w:hint="eastAsia" w:ascii="Times New Roman" w:hAnsi="Times New Roman" w:cs="Times New Roman"/>
                <w:color w:val="000000" w:themeColor="text1"/>
                <w:sz w:val="24"/>
                <w:szCs w:val="36"/>
                <w:highlight w:val="none"/>
                <w:lang w:val="en-US" w:eastAsia="zh-CN"/>
                <w14:textFill>
                  <w14:solidFill>
                    <w14:schemeClr w14:val="tx1"/>
                  </w14:solidFill>
                </w14:textFill>
              </w:rPr>
              <w:t>1</w:t>
            </w:r>
            <w:r>
              <w:rPr>
                <w:rFonts w:ascii="Times New Roman" w:hAnsi="Times New Roman" w:cs="Times New Roman"/>
                <w:color w:val="000000" w:themeColor="text1"/>
                <w:sz w:val="24"/>
                <w:szCs w:val="36"/>
                <w:highlight w:val="none"/>
                <w14:textFill>
                  <w14:solidFill>
                    <w14:schemeClr w14:val="tx1"/>
                  </w14:solidFill>
                </w14:textFill>
              </w:rPr>
              <w:t>00</w:t>
            </w:r>
            <w:r>
              <w:rPr>
                <w:rFonts w:ascii="Times New Roman" w:hAnsi="Times New Roman" w:cs="Times New Roman"/>
                <w:color w:val="000000" w:themeColor="text1"/>
                <w:sz w:val="24"/>
                <w:szCs w:val="21"/>
                <w:highlight w:val="none"/>
                <w14:textFill>
                  <w14:solidFill>
                    <w14:schemeClr w14:val="tx1"/>
                  </w14:solidFill>
                </w14:textFill>
              </w:rPr>
              <w:t>万元，其中环保投资</w:t>
            </w:r>
            <w:r>
              <w:rPr>
                <w:rFonts w:hint="eastAsia" w:ascii="Times New Roman" w:hAnsi="Times New Roman" w:cs="Times New Roman"/>
                <w:color w:val="000000" w:themeColor="text1"/>
                <w:sz w:val="24"/>
                <w:szCs w:val="36"/>
                <w:highlight w:val="none"/>
                <w:lang w:val="en-US" w:eastAsia="zh-CN"/>
                <w14:textFill>
                  <w14:solidFill>
                    <w14:schemeClr w14:val="tx1"/>
                  </w14:solidFill>
                </w14:textFill>
              </w:rPr>
              <w:t>15</w:t>
            </w:r>
            <w:r>
              <w:rPr>
                <w:rFonts w:ascii="Times New Roman" w:hAnsi="Times New Roman" w:cs="Times New Roman"/>
                <w:color w:val="000000" w:themeColor="text1"/>
                <w:sz w:val="24"/>
                <w:szCs w:val="21"/>
                <w:highlight w:val="none"/>
                <w14:textFill>
                  <w14:solidFill>
                    <w14:schemeClr w14:val="tx1"/>
                  </w14:solidFill>
                </w14:textFill>
              </w:rPr>
              <w:t>万元，占总投资的</w:t>
            </w:r>
            <w:r>
              <w:rPr>
                <w:rFonts w:hint="eastAsia" w:ascii="Times New Roman" w:hAnsi="Times New Roman" w:cs="Times New Roman"/>
                <w:color w:val="000000" w:themeColor="text1"/>
                <w:sz w:val="24"/>
                <w:szCs w:val="21"/>
                <w:highlight w:val="none"/>
                <w14:textFill>
                  <w14:solidFill>
                    <w14:schemeClr w14:val="tx1"/>
                  </w14:solidFill>
                </w14:textFill>
              </w:rPr>
              <w:t>1</w:t>
            </w:r>
            <w:r>
              <w:rPr>
                <w:rFonts w:hint="eastAsia" w:ascii="Times New Roman" w:hAnsi="Times New Roman" w:cs="Times New Roman"/>
                <w:color w:val="000000" w:themeColor="text1"/>
                <w:sz w:val="24"/>
                <w:szCs w:val="21"/>
                <w:highlight w:val="none"/>
                <w:lang w:val="en-US" w:eastAsia="zh-CN"/>
                <w14:textFill>
                  <w14:solidFill>
                    <w14:schemeClr w14:val="tx1"/>
                  </w14:solidFill>
                </w14:textFill>
              </w:rPr>
              <w:t>5</w:t>
            </w:r>
            <w:r>
              <w:rPr>
                <w:rFonts w:ascii="Times New Roman" w:hAnsi="Times New Roman" w:cs="Times New Roman"/>
                <w:color w:val="000000" w:themeColor="text1"/>
                <w:sz w:val="24"/>
                <w:szCs w:val="21"/>
                <w:highlight w:val="none"/>
                <w14:textFill>
                  <w14:solidFill>
                    <w14:schemeClr w14:val="tx1"/>
                  </w14:solidFill>
                </w14:textFill>
              </w:rPr>
              <w:t>%</w:t>
            </w:r>
          </w:p>
          <w:p w14:paraId="61087305">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szCs w:val="21"/>
                <w:highlight w:val="none"/>
                <w14:textFill>
                  <w14:solidFill>
                    <w14:schemeClr w14:val="tx1"/>
                  </w14:solidFill>
                </w14:textFill>
              </w:rPr>
              <w:t>（7）建设内容及规模：</w:t>
            </w:r>
            <w:r>
              <w:rPr>
                <w:rFonts w:ascii="Times New Roman" w:hAnsi="Times New Roman" w:cs="Times New Roman"/>
                <w:color w:val="000000" w:themeColor="text1"/>
                <w:sz w:val="24"/>
                <w:highlight w:val="none"/>
                <w14:textFill>
                  <w14:solidFill>
                    <w14:schemeClr w14:val="tx1"/>
                  </w14:solidFill>
                </w14:textFill>
              </w:rPr>
              <w:t>拟</w:t>
            </w:r>
            <w:r>
              <w:rPr>
                <w:rFonts w:hint="eastAsia" w:ascii="Times New Roman" w:hAnsi="Times New Roman" w:cs="宋体"/>
                <w:color w:val="000000" w:themeColor="text1"/>
                <w:sz w:val="24"/>
                <w:highlight w:val="none"/>
                <w14:textFill>
                  <w14:solidFill>
                    <w14:schemeClr w14:val="tx1"/>
                  </w14:solidFill>
                </w14:textFill>
              </w:rPr>
              <w:t>租用重庆坤坤农业装备制造有限公司部分已建厂房，用于建设“渝军摩托车零部件加工项目”（以下称“本项目”</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，厂房租用面积共</w:t>
            </w:r>
            <w:r>
              <w:rPr>
                <w:rFonts w:hint="eastAsia" w:ascii="Times New Roman" w:hAnsi="Times New Roman" w:cs="宋体"/>
                <w:color w:val="000000" w:themeColor="text1"/>
                <w:sz w:val="24"/>
                <w:highlight w:val="none"/>
                <w14:textFill>
                  <w14:solidFill>
                    <w14:schemeClr w14:val="tx1"/>
                  </w14:solidFill>
                </w14:textFill>
              </w:rPr>
              <w:t>1104m</w:t>
            </w:r>
            <w:r>
              <w:rPr>
                <w:rFonts w:hint="eastAsia" w:ascii="Times New Roman" w:hAnsi="Times New Roman" w:cs="宋体"/>
                <w:color w:val="000000" w:themeColor="text1"/>
                <w:sz w:val="24"/>
                <w:highlight w:val="none"/>
                <w:vertAlign w:val="superscript"/>
                <w14:textFill>
                  <w14:solidFill>
                    <w14:schemeClr w14:val="tx1"/>
                  </w14:solidFill>
                </w14:textFill>
              </w:rPr>
              <w:t>2</w:t>
            </w:r>
            <w:r>
              <w:rPr>
                <w:rFonts w:hint="eastAsia" w:ascii="Times New Roman" w:hAnsi="Times New Roman" w:cs="宋体"/>
                <w:color w:val="000000" w:themeColor="text1"/>
                <w:sz w:val="24"/>
                <w:highlight w:val="none"/>
                <w14:textFill>
                  <w14:solidFill>
                    <w14:schemeClr w14:val="tx1"/>
                  </w14:solidFill>
                </w14:textFill>
              </w:rPr>
              <w:t>（其中1F建筑面积368m</w:t>
            </w:r>
            <w:r>
              <w:rPr>
                <w:rFonts w:hint="eastAsia" w:ascii="Times New Roman" w:hAnsi="Times New Roman" w:cs="宋体"/>
                <w:color w:val="000000" w:themeColor="text1"/>
                <w:sz w:val="24"/>
                <w:highlight w:val="none"/>
                <w:vertAlign w:val="superscript"/>
                <w14:textFill>
                  <w14:solidFill>
                    <w14:schemeClr w14:val="tx1"/>
                  </w14:solidFill>
                </w14:textFill>
              </w:rPr>
              <w:t>2</w:t>
            </w:r>
            <w:r>
              <w:rPr>
                <w:rFonts w:hint="eastAsia" w:ascii="Times New Roman" w:hAnsi="Times New Roman" w:cs="宋体"/>
                <w:color w:val="000000" w:themeColor="text1"/>
                <w:sz w:val="24"/>
                <w:highlight w:val="none"/>
                <w14:textFill>
                  <w14:solidFill>
                    <w14:schemeClr w14:val="tx1"/>
                  </w14:solidFill>
                </w14:textFill>
              </w:rPr>
              <w:t>，2F建筑面积736m</w:t>
            </w:r>
            <w:r>
              <w:rPr>
                <w:rFonts w:hint="eastAsia" w:ascii="Times New Roman" w:hAnsi="Times New Roman" w:cs="宋体"/>
                <w:color w:val="000000" w:themeColor="text1"/>
                <w:sz w:val="24"/>
                <w:highlight w:val="none"/>
                <w:vertAlign w:val="superscript"/>
                <w14:textFill>
                  <w14:solidFill>
                    <w14:schemeClr w14:val="tx1"/>
                  </w14:solidFill>
                </w14:textFill>
              </w:rPr>
              <w:t>2</w:t>
            </w:r>
            <w:r>
              <w:rPr>
                <w:rFonts w:hint="eastAsia" w:ascii="Times New Roman" w:hAnsi="Times New Roman" w:cs="宋体"/>
                <w:color w:val="000000" w:themeColor="text1"/>
                <w:sz w:val="24"/>
                <w:highlight w:val="none"/>
                <w14:textFill>
                  <w14:solidFill>
                    <w14:schemeClr w14:val="tx1"/>
                  </w14:solidFill>
                </w14:textFill>
              </w:rPr>
              <w:t>），厂房内新建1台抛丸机、1条喷粉线，对外购的摩托车钢圈毛坯进行抛丸、喷粉、固化加工，生产规模为</w:t>
            </w:r>
            <w:r>
              <w:rPr>
                <w:rFonts w:ascii="Times New Roman" w:hAnsi="Times New Roman" w:cs="Times New Roman"/>
                <w:color w:val="000000" w:themeColor="text1"/>
                <w:sz w:val="24"/>
                <w:highlight w:val="none"/>
                <w14:textFill>
                  <w14:solidFill>
                    <w14:schemeClr w14:val="tx1"/>
                  </w14:solidFill>
                </w14:textFill>
              </w:rPr>
              <w:t>年</w:t>
            </w:r>
            <w:r>
              <w:rPr>
                <w:rFonts w:hint="eastAsia" w:ascii="Times New Roman" w:hAnsi="Times New Roman" w:cs="Times New Roman"/>
                <w:color w:val="000000" w:themeColor="text1"/>
                <w:sz w:val="24"/>
                <w:highlight w:val="none"/>
                <w14:textFill>
                  <w14:solidFill>
                    <w14:schemeClr w14:val="tx1"/>
                  </w14:solidFill>
                </w14:textFill>
              </w:rPr>
              <w:t>产摩托车钢圈20</w:t>
            </w:r>
            <w:r>
              <w:rPr>
                <w:rFonts w:ascii="Times New Roman" w:hAnsi="Times New Roman" w:cs="Times New Roman"/>
                <w:color w:val="000000" w:themeColor="text1"/>
                <w:sz w:val="24"/>
                <w:highlight w:val="none"/>
                <w14:textFill>
                  <w14:solidFill>
                    <w14:schemeClr w14:val="tx1"/>
                  </w14:solidFill>
                </w14:textFill>
              </w:rPr>
              <w:t>万件。</w:t>
            </w:r>
          </w:p>
          <w:p w14:paraId="1C317C3B">
            <w:pPr>
              <w:spacing w:line="360" w:lineRule="auto"/>
              <w:ind w:firstLine="480" w:firstLineChars="200"/>
              <w:rPr>
                <w:rFonts w:ascii="Times New Roman" w:hAnsi="Times New Roman" w:eastAsia="宋体" w:cs="Times New Roman"/>
                <w:color w:val="000000" w:themeColor="text1"/>
                <w:sz w:val="24"/>
                <w:szCs w:val="21"/>
                <w:highlight w:val="none"/>
                <w14:textFill>
                  <w14:solidFill>
                    <w14:schemeClr w14:val="tx1"/>
                  </w14:solidFill>
                </w14:textFill>
              </w:rPr>
            </w:pPr>
            <w:r>
              <w:rPr>
                <w:rFonts w:ascii="Times New Roman" w:hAnsi="Times New Roman" w:cs="Times New Roman"/>
                <w:color w:val="000000" w:themeColor="text1"/>
                <w:sz w:val="24"/>
                <w:szCs w:val="21"/>
                <w:highlight w:val="none"/>
                <w14:textFill>
                  <w14:solidFill>
                    <w14:schemeClr w14:val="tx1"/>
                  </w14:solidFill>
                </w14:textFill>
              </w:rPr>
              <w:t>劳动定员及工作制度：劳动定员1</w:t>
            </w:r>
            <w:r>
              <w:rPr>
                <w:rFonts w:hint="eastAsia" w:ascii="Times New Roman" w:hAnsi="Times New Roman" w:cs="Times New Roman"/>
                <w:color w:val="000000" w:themeColor="text1"/>
                <w:sz w:val="24"/>
                <w:szCs w:val="21"/>
                <w:highlight w:val="none"/>
                <w14:textFill>
                  <w14:solidFill>
                    <w14:schemeClr w14:val="tx1"/>
                  </w14:solidFill>
                </w14:textFill>
              </w:rPr>
              <w:t>0</w:t>
            </w:r>
            <w:r>
              <w:rPr>
                <w:rFonts w:ascii="Times New Roman" w:hAnsi="Times New Roman" w:cs="Times New Roman"/>
                <w:color w:val="000000" w:themeColor="text1"/>
                <w:sz w:val="24"/>
                <w:szCs w:val="21"/>
                <w:highlight w:val="none"/>
                <w14:textFill>
                  <w14:solidFill>
                    <w14:schemeClr w14:val="tx1"/>
                  </w14:solidFill>
                </w14:textFill>
              </w:rPr>
              <w:t>人，全年生产</w:t>
            </w:r>
            <w:r>
              <w:rPr>
                <w:rFonts w:hint="eastAsia" w:ascii="Times New Roman" w:hAnsi="Times New Roman" w:cs="Times New Roman"/>
                <w:color w:val="000000" w:themeColor="text1"/>
                <w:sz w:val="24"/>
                <w:szCs w:val="21"/>
                <w:highlight w:val="none"/>
                <w14:textFill>
                  <w14:solidFill>
                    <w14:schemeClr w14:val="tx1"/>
                  </w14:solidFill>
                </w14:textFill>
              </w:rPr>
              <w:t>250</w:t>
            </w:r>
            <w:r>
              <w:rPr>
                <w:rFonts w:ascii="Times New Roman" w:hAnsi="Times New Roman" w:cs="Times New Roman"/>
                <w:color w:val="000000" w:themeColor="text1"/>
                <w:sz w:val="24"/>
                <w:szCs w:val="21"/>
                <w:highlight w:val="none"/>
                <w14:textFill>
                  <w14:solidFill>
                    <w14:schemeClr w14:val="tx1"/>
                  </w14:solidFill>
                </w14:textFill>
              </w:rPr>
              <w:t>天，</w:t>
            </w:r>
            <w:r>
              <w:rPr>
                <w:rFonts w:hint="eastAsia" w:ascii="Times New Roman" w:hAnsi="Times New Roman" w:cs="Times New Roman"/>
                <w:color w:val="000000" w:themeColor="text1"/>
                <w:sz w:val="24"/>
                <w:szCs w:val="21"/>
                <w:highlight w:val="none"/>
                <w14:textFill>
                  <w14:solidFill>
                    <w14:schemeClr w14:val="tx1"/>
                  </w14:solidFill>
                </w14:textFill>
              </w:rPr>
              <w:t>1</w:t>
            </w:r>
            <w:r>
              <w:rPr>
                <w:rFonts w:ascii="Times New Roman" w:hAnsi="Times New Roman" w:cs="Times New Roman"/>
                <w:color w:val="000000" w:themeColor="text1"/>
                <w:sz w:val="24"/>
                <w:szCs w:val="21"/>
                <w:highlight w:val="none"/>
                <w14:textFill>
                  <w14:solidFill>
                    <w14:schemeClr w14:val="tx1"/>
                  </w14:solidFill>
                </w14:textFill>
              </w:rPr>
              <w:t>班制，8小时/班，不在厂区食宿。</w:t>
            </w:r>
          </w:p>
          <w:p w14:paraId="3177AF1D">
            <w:pPr>
              <w:spacing w:before="31" w:beforeLines="10" w:after="31" w:afterLines="10" w:line="372"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2.3项目组成及内容</w:t>
            </w:r>
          </w:p>
          <w:p w14:paraId="5785B08B">
            <w:pPr>
              <w:spacing w:line="375"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2.3.1项目组成</w:t>
            </w:r>
          </w:p>
          <w:p w14:paraId="3ED2A980">
            <w:pPr>
              <w:spacing w:line="375"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本项目具体工程内容及规模见下表：</w:t>
            </w:r>
          </w:p>
          <w:p w14:paraId="32BD67A5">
            <w:pPr>
              <w:spacing w:line="360" w:lineRule="auto"/>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表2-1  项目工程组成一览表</w:t>
            </w:r>
          </w:p>
          <w:tbl>
            <w:tblPr>
              <w:tblStyle w:val="27"/>
              <w:tblW w:w="491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07"/>
              <w:gridCol w:w="1011"/>
              <w:gridCol w:w="5627"/>
              <w:gridCol w:w="657"/>
            </w:tblGrid>
            <w:tr w14:paraId="5CCC3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tcBorders>
                    <w:tl2br w:val="nil"/>
                    <w:tr2bl w:val="nil"/>
                  </w:tcBorders>
                  <w:vAlign w:val="center"/>
                </w:tcPr>
                <w:p w14:paraId="273DFE1C">
                  <w:pPr>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项目类别</w:t>
                  </w:r>
                </w:p>
              </w:tc>
              <w:tc>
                <w:tcPr>
                  <w:tcW w:w="609" w:type="pct"/>
                  <w:tcBorders>
                    <w:tl2br w:val="nil"/>
                    <w:tr2bl w:val="nil"/>
                  </w:tcBorders>
                  <w:vAlign w:val="center"/>
                </w:tcPr>
                <w:p w14:paraId="104A317F">
                  <w:pPr>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建设内容</w:t>
                  </w:r>
                </w:p>
              </w:tc>
              <w:tc>
                <w:tcPr>
                  <w:tcW w:w="3389" w:type="pct"/>
                  <w:tcBorders>
                    <w:tl2br w:val="nil"/>
                    <w:tr2bl w:val="nil"/>
                  </w:tcBorders>
                  <w:vAlign w:val="center"/>
                </w:tcPr>
                <w:p w14:paraId="095986E5">
                  <w:pPr>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规模及内容</w:t>
                  </w:r>
                </w:p>
              </w:tc>
              <w:tc>
                <w:tcPr>
                  <w:tcW w:w="395" w:type="pct"/>
                  <w:tcBorders>
                    <w:tl2br w:val="nil"/>
                    <w:tr2bl w:val="nil"/>
                  </w:tcBorders>
                  <w:vAlign w:val="center"/>
                </w:tcPr>
                <w:p w14:paraId="4A98A3AE">
                  <w:pPr>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备注</w:t>
                  </w:r>
                </w:p>
              </w:tc>
            </w:tr>
            <w:tr w14:paraId="74884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restart"/>
                  <w:tcBorders>
                    <w:tl2br w:val="nil"/>
                    <w:tr2bl w:val="nil"/>
                  </w:tcBorders>
                  <w:vAlign w:val="center"/>
                </w:tcPr>
                <w:p w14:paraId="21335A01">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主体工程</w:t>
                  </w:r>
                </w:p>
              </w:tc>
              <w:tc>
                <w:tcPr>
                  <w:tcW w:w="609" w:type="pct"/>
                  <w:tcBorders>
                    <w:tl2br w:val="nil"/>
                    <w:tr2bl w:val="nil"/>
                  </w:tcBorders>
                  <w:vAlign w:val="center"/>
                </w:tcPr>
                <w:p w14:paraId="4A10A863">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抛丸区</w:t>
                  </w:r>
                </w:p>
              </w:tc>
              <w:tc>
                <w:tcPr>
                  <w:tcW w:w="3389" w:type="pct"/>
                  <w:tcBorders>
                    <w:tl2br w:val="nil"/>
                    <w:tr2bl w:val="nil"/>
                  </w:tcBorders>
                  <w:vAlign w:val="center"/>
                </w:tcPr>
                <w:p w14:paraId="7C18B780">
                  <w:pPr>
                    <w:spacing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抛丸区</w:t>
                  </w:r>
                  <w:r>
                    <w:rPr>
                      <w:rFonts w:hint="eastAsia" w:ascii="Times New Roman" w:hAnsi="Times New Roman" w:eastAsia="宋体"/>
                      <w:color w:val="000000" w:themeColor="text1"/>
                      <w:szCs w:val="21"/>
                      <w:highlight w:val="none"/>
                      <w14:textFill>
                        <w14:solidFill>
                          <w14:schemeClr w14:val="tx1"/>
                        </w14:solidFill>
                      </w14:textFill>
                    </w:rPr>
                    <w:t>：位于厂区1F北侧，布置1台抛丸机、1台空压机对加工产品进行抛丸预处理，去除表面铁锈。</w:t>
                  </w:r>
                </w:p>
              </w:tc>
              <w:tc>
                <w:tcPr>
                  <w:tcW w:w="395" w:type="pct"/>
                  <w:vMerge w:val="restart"/>
                  <w:tcBorders>
                    <w:tl2br w:val="nil"/>
                    <w:tr2bl w:val="nil"/>
                  </w:tcBorders>
                  <w:vAlign w:val="center"/>
                </w:tcPr>
                <w:p w14:paraId="5B44AC06">
                  <w:pPr>
                    <w:spacing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厂房已建，新增设备</w:t>
                  </w:r>
                </w:p>
              </w:tc>
            </w:tr>
            <w:tr w14:paraId="4F41C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2BE0418E">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609" w:type="pct"/>
                  <w:tcBorders>
                    <w:tl2br w:val="nil"/>
                    <w:tr2bl w:val="nil"/>
                  </w:tcBorders>
                  <w:vAlign w:val="center"/>
                </w:tcPr>
                <w:p w14:paraId="553FB655">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喷粉区</w:t>
                  </w:r>
                </w:p>
              </w:tc>
              <w:tc>
                <w:tcPr>
                  <w:tcW w:w="3389" w:type="pct"/>
                  <w:tcBorders>
                    <w:tl2br w:val="nil"/>
                    <w:tr2bl w:val="nil"/>
                  </w:tcBorders>
                  <w:vAlign w:val="center"/>
                </w:tcPr>
                <w:p w14:paraId="0842BB3E">
                  <w:pPr>
                    <w:spacing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喷粉区</w:t>
                  </w:r>
                  <w:r>
                    <w:rPr>
                      <w:rFonts w:hint="eastAsia" w:ascii="Times New Roman" w:hAnsi="Times New Roman" w:eastAsia="宋体"/>
                      <w:color w:val="000000" w:themeColor="text1"/>
                      <w:szCs w:val="21"/>
                      <w:highlight w:val="none"/>
                      <w14:textFill>
                        <w14:solidFill>
                          <w14:schemeClr w14:val="tx1"/>
                        </w14:solidFill>
                      </w14:textFill>
                    </w:rPr>
                    <w:t>：设在厂区2F南侧，布置5个喷粉室（</w:t>
                  </w:r>
                  <w:r>
                    <w:rPr>
                      <w:rFonts w:hint="eastAsia" w:ascii="Times New Roman" w:hAnsi="Times New Roman" w:eastAsia="宋体"/>
                      <w:b/>
                      <w:bCs/>
                      <w:color w:val="000000" w:themeColor="text1"/>
                      <w:szCs w:val="21"/>
                      <w:highlight w:val="none"/>
                      <w14:textFill>
                        <w14:solidFill>
                          <w14:schemeClr w14:val="tx1"/>
                        </w14:solidFill>
                      </w14:textFill>
                    </w:rPr>
                    <w:t>1用4备，不同的粉室对应不同颜色的塑粉，每个粉室配置1把喷枪</w:t>
                  </w:r>
                  <w:r>
                    <w:rPr>
                      <w:rFonts w:hint="eastAsia" w:ascii="Times New Roman" w:hAnsi="Times New Roman" w:eastAsia="宋体"/>
                      <w:color w:val="000000" w:themeColor="text1"/>
                      <w:szCs w:val="21"/>
                      <w:highlight w:val="none"/>
                      <w14:textFill>
                        <w14:solidFill>
                          <w14:schemeClr w14:val="tx1"/>
                        </w14:solidFill>
                      </w14:textFill>
                    </w:rPr>
                    <w:t>）、1条烘道等设备及相关配套辅助设备，进行喷粉加工处理；</w:t>
                  </w:r>
                </w:p>
                <w:p w14:paraId="0315DD45">
                  <w:pPr>
                    <w:spacing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项目建成后预计年加工</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摩托车钢圈20</w:t>
                  </w:r>
                  <w:r>
                    <w:rPr>
                      <w:rFonts w:hint="eastAsia" w:ascii="Times New Roman" w:hAnsi="Times New Roman" w:eastAsia="宋体"/>
                      <w:color w:val="000000" w:themeColor="text1"/>
                      <w:szCs w:val="21"/>
                      <w:highlight w:val="none"/>
                      <w14:textFill>
                        <w14:solidFill>
                          <w14:schemeClr w14:val="tx1"/>
                        </w14:solidFill>
                      </w14:textFill>
                    </w:rPr>
                    <w:t>万件。</w:t>
                  </w:r>
                </w:p>
              </w:tc>
              <w:tc>
                <w:tcPr>
                  <w:tcW w:w="395" w:type="pct"/>
                  <w:vMerge w:val="continue"/>
                  <w:tcBorders>
                    <w:tl2br w:val="nil"/>
                    <w:tr2bl w:val="nil"/>
                  </w:tcBorders>
                  <w:vAlign w:val="center"/>
                </w:tcPr>
                <w:p w14:paraId="78D645D4">
                  <w:pPr>
                    <w:spacing w:line="300" w:lineRule="auto"/>
                    <w:jc w:val="center"/>
                    <w:rPr>
                      <w:rFonts w:ascii="Times New Roman" w:hAnsi="Times New Roman" w:eastAsia="宋体"/>
                      <w:color w:val="000000" w:themeColor="text1"/>
                      <w:szCs w:val="21"/>
                      <w:highlight w:val="none"/>
                      <w14:textFill>
                        <w14:solidFill>
                          <w14:schemeClr w14:val="tx1"/>
                        </w14:solidFill>
                      </w14:textFill>
                    </w:rPr>
                  </w:pPr>
                </w:p>
              </w:tc>
            </w:tr>
            <w:tr w14:paraId="3EE60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tcBorders>
                    <w:tl2br w:val="nil"/>
                    <w:tr2bl w:val="nil"/>
                  </w:tcBorders>
                  <w:vAlign w:val="center"/>
                </w:tcPr>
                <w:p w14:paraId="29292906">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辅助工程</w:t>
                  </w:r>
                </w:p>
              </w:tc>
              <w:tc>
                <w:tcPr>
                  <w:tcW w:w="609" w:type="pct"/>
                  <w:tcBorders>
                    <w:tl2br w:val="nil"/>
                    <w:tr2bl w:val="nil"/>
                  </w:tcBorders>
                  <w:vAlign w:val="center"/>
                </w:tcPr>
                <w:p w14:paraId="2B179882">
                  <w:pPr>
                    <w:spacing w:before="68" w:beforeLines="22" w:after="68" w:afterLines="22"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办公区</w:t>
                  </w:r>
                </w:p>
              </w:tc>
              <w:tc>
                <w:tcPr>
                  <w:tcW w:w="3389" w:type="pct"/>
                  <w:tcBorders>
                    <w:tl2br w:val="nil"/>
                    <w:tr2bl w:val="nil"/>
                  </w:tcBorders>
                  <w:vAlign w:val="center"/>
                </w:tcPr>
                <w:p w14:paraId="43427816">
                  <w:pPr>
                    <w:spacing w:before="78" w:beforeLines="25" w:after="78" w:afterLines="25"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办公区位于2F东侧，建筑面积约80m</w:t>
                  </w:r>
                  <w:r>
                    <w:rPr>
                      <w:rFonts w:hint="eastAsia" w:ascii="Times New Roman" w:hAnsi="Times New Roman" w:eastAsia="宋体"/>
                      <w:color w:val="000000" w:themeColor="text1"/>
                      <w:szCs w:val="21"/>
                      <w:highlight w:val="none"/>
                      <w:vertAlign w:val="superscript"/>
                      <w14:textFill>
                        <w14:solidFill>
                          <w14:schemeClr w14:val="tx1"/>
                        </w14:solidFill>
                      </w14:textFill>
                    </w:rPr>
                    <w:t>2</w:t>
                  </w:r>
                  <w:r>
                    <w:rPr>
                      <w:rFonts w:hint="eastAsia" w:ascii="Times New Roman" w:hAnsi="Times New Roman" w:eastAsia="宋体"/>
                      <w:color w:val="000000" w:themeColor="text1"/>
                      <w:szCs w:val="21"/>
                      <w:highlight w:val="none"/>
                      <w14:textFill>
                        <w14:solidFill>
                          <w14:schemeClr w14:val="tx1"/>
                        </w14:solidFill>
                      </w14:textFill>
                    </w:rPr>
                    <w:t>，主要用以日常办公、生产调度等。</w:t>
                  </w:r>
                </w:p>
              </w:tc>
              <w:tc>
                <w:tcPr>
                  <w:tcW w:w="395" w:type="pct"/>
                  <w:tcBorders>
                    <w:tl2br w:val="nil"/>
                    <w:tr2bl w:val="nil"/>
                  </w:tcBorders>
                  <w:vAlign w:val="center"/>
                </w:tcPr>
                <w:p w14:paraId="6805BB0F">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新建</w:t>
                  </w:r>
                </w:p>
              </w:tc>
            </w:tr>
            <w:tr w14:paraId="1048D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restart"/>
                  <w:tcBorders>
                    <w:tl2br w:val="nil"/>
                    <w:tr2bl w:val="nil"/>
                  </w:tcBorders>
                  <w:vAlign w:val="center"/>
                </w:tcPr>
                <w:p w14:paraId="1A3A8C29">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储运工程</w:t>
                  </w:r>
                </w:p>
              </w:tc>
              <w:tc>
                <w:tcPr>
                  <w:tcW w:w="609" w:type="pct"/>
                  <w:tcBorders>
                    <w:tl2br w:val="nil"/>
                    <w:tr2bl w:val="nil"/>
                  </w:tcBorders>
                  <w:vAlign w:val="center"/>
                </w:tcPr>
                <w:p w14:paraId="531FC142">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原料区</w:t>
                  </w:r>
                </w:p>
              </w:tc>
              <w:tc>
                <w:tcPr>
                  <w:tcW w:w="3389" w:type="pct"/>
                  <w:tcBorders>
                    <w:tl2br w:val="nil"/>
                    <w:tr2bl w:val="nil"/>
                  </w:tcBorders>
                  <w:vAlign w:val="center"/>
                </w:tcPr>
                <w:p w14:paraId="0445DBF2">
                  <w:pPr>
                    <w:spacing w:before="78" w:beforeLines="25" w:after="78" w:afterLines="25"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位于厂房1F，面积约50m</w:t>
                  </w:r>
                  <w:r>
                    <w:rPr>
                      <w:rFonts w:hint="eastAsia" w:ascii="Times New Roman" w:hAnsi="Times New Roman" w:eastAsia="宋体"/>
                      <w:color w:val="000000" w:themeColor="text1"/>
                      <w:szCs w:val="21"/>
                      <w:highlight w:val="none"/>
                      <w:vertAlign w:val="superscript"/>
                      <w14:textFill>
                        <w14:solidFill>
                          <w14:schemeClr w14:val="tx1"/>
                        </w14:solidFill>
                      </w14:textFill>
                    </w:rPr>
                    <w:t>2</w:t>
                  </w:r>
                  <w:r>
                    <w:rPr>
                      <w:rFonts w:hint="eastAsia" w:ascii="Times New Roman" w:hAnsi="Times New Roman" w:eastAsia="宋体"/>
                      <w:color w:val="000000" w:themeColor="text1"/>
                      <w:szCs w:val="21"/>
                      <w:highlight w:val="none"/>
                      <w14:textFill>
                        <w14:solidFill>
                          <w14:schemeClr w14:val="tx1"/>
                        </w14:solidFill>
                      </w14:textFill>
                    </w:rPr>
                    <w:t>，主要用于储存生产所用粉末涂料、钢丸等；</w:t>
                  </w:r>
                </w:p>
              </w:tc>
              <w:tc>
                <w:tcPr>
                  <w:tcW w:w="395" w:type="pct"/>
                  <w:tcBorders>
                    <w:tl2br w:val="nil"/>
                    <w:tr2bl w:val="nil"/>
                  </w:tcBorders>
                  <w:vAlign w:val="center"/>
                </w:tcPr>
                <w:p w14:paraId="071373A9">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新建</w:t>
                  </w:r>
                </w:p>
              </w:tc>
            </w:tr>
            <w:tr w14:paraId="340EF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06" w:type="pct"/>
                  <w:vMerge w:val="continue"/>
                  <w:tcBorders>
                    <w:tl2br w:val="nil"/>
                    <w:tr2bl w:val="nil"/>
                  </w:tcBorders>
                  <w:vAlign w:val="center"/>
                </w:tcPr>
                <w:p w14:paraId="008D0242">
                  <w:pPr>
                    <w:spacing w:before="78" w:beforeLines="25" w:after="78" w:afterLines="25" w:line="300" w:lineRule="auto"/>
                    <w:jc w:val="center"/>
                    <w:rPr>
                      <w:rFonts w:hint="eastAsia" w:ascii="Times New Roman" w:hAnsi="Times New Roman" w:eastAsia="宋体"/>
                      <w:color w:val="000000" w:themeColor="text1"/>
                      <w:szCs w:val="21"/>
                      <w:highlight w:val="none"/>
                      <w14:textFill>
                        <w14:solidFill>
                          <w14:schemeClr w14:val="tx1"/>
                        </w14:solidFill>
                      </w14:textFill>
                    </w:rPr>
                  </w:pPr>
                </w:p>
              </w:tc>
              <w:tc>
                <w:tcPr>
                  <w:tcW w:w="609" w:type="pct"/>
                  <w:tcBorders>
                    <w:tl2br w:val="nil"/>
                    <w:tr2bl w:val="nil"/>
                  </w:tcBorders>
                  <w:vAlign w:val="center"/>
                </w:tcPr>
                <w:p w14:paraId="6E659ABA">
                  <w:pPr>
                    <w:spacing w:before="78" w:beforeLines="25" w:after="78" w:afterLines="25" w:line="300" w:lineRule="auto"/>
                    <w:jc w:val="center"/>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eastAsia="宋体"/>
                      <w:color w:val="000000" w:themeColor="text1"/>
                      <w:szCs w:val="21"/>
                      <w:highlight w:val="none"/>
                      <w:lang w:eastAsia="zh-CN"/>
                      <w14:textFill>
                        <w14:solidFill>
                          <w14:schemeClr w14:val="tx1"/>
                        </w14:solidFill>
                      </w14:textFill>
                    </w:rPr>
                    <w:t>油料区</w:t>
                  </w:r>
                </w:p>
              </w:tc>
              <w:tc>
                <w:tcPr>
                  <w:tcW w:w="3389" w:type="pct"/>
                  <w:tcBorders>
                    <w:tl2br w:val="nil"/>
                    <w:tr2bl w:val="nil"/>
                  </w:tcBorders>
                  <w:vAlign w:val="center"/>
                </w:tcPr>
                <w:p w14:paraId="7C35EBD9">
                  <w:pPr>
                    <w:spacing w:before="78" w:beforeLines="25" w:after="78" w:afterLines="25" w:line="300" w:lineRule="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eastAsia="zh-CN"/>
                      <w14:textFill>
                        <w14:solidFill>
                          <w14:schemeClr w14:val="tx1"/>
                        </w14:solidFill>
                      </w14:textFill>
                    </w:rPr>
                    <w:t>位于厂房</w:t>
                  </w:r>
                  <w:r>
                    <w:rPr>
                      <w:rFonts w:hint="eastAsia" w:ascii="Times New Roman" w:hAnsi="Times New Roman" w:eastAsia="宋体"/>
                      <w:color w:val="000000" w:themeColor="text1"/>
                      <w:szCs w:val="21"/>
                      <w:highlight w:val="none"/>
                      <w:lang w:val="en-US" w:eastAsia="zh-CN"/>
                      <w14:textFill>
                        <w14:solidFill>
                          <w14:schemeClr w14:val="tx1"/>
                        </w14:solidFill>
                      </w14:textFill>
                    </w:rPr>
                    <w:t>2F东侧，面积约20</w:t>
                  </w:r>
                  <w:r>
                    <w:rPr>
                      <w:rFonts w:hint="eastAsia" w:ascii="Times New Roman" w:hAnsi="Times New Roman" w:eastAsia="宋体"/>
                      <w:color w:val="000000" w:themeColor="text1"/>
                      <w:szCs w:val="21"/>
                      <w:highlight w:val="none"/>
                      <w14:textFill>
                        <w14:solidFill>
                          <w14:schemeClr w14:val="tx1"/>
                        </w14:solidFill>
                      </w14:textFill>
                    </w:rPr>
                    <w:t>m</w:t>
                  </w:r>
                  <w:r>
                    <w:rPr>
                      <w:rFonts w:hint="eastAsia" w:ascii="Times New Roman" w:hAnsi="Times New Roman" w:eastAsia="宋体"/>
                      <w:color w:val="000000" w:themeColor="text1"/>
                      <w:szCs w:val="21"/>
                      <w:highlight w:val="none"/>
                      <w:vertAlign w:val="superscript"/>
                      <w14:textFill>
                        <w14:solidFill>
                          <w14:schemeClr w14:val="tx1"/>
                        </w14:solidFill>
                      </w14:textFill>
                    </w:rPr>
                    <w:t>2</w:t>
                  </w:r>
                  <w:r>
                    <w:rPr>
                      <w:rFonts w:hint="eastAsia" w:ascii="Times New Roman" w:hAnsi="Times New Roman" w:eastAsia="宋体"/>
                      <w:color w:val="000000" w:themeColor="text1"/>
                      <w:szCs w:val="21"/>
                      <w:highlight w:val="none"/>
                      <w14:textFill>
                        <w14:solidFill>
                          <w14:schemeClr w14:val="tx1"/>
                        </w14:solidFill>
                      </w14:textFill>
                    </w:rPr>
                    <w:t>，主要用于储存生产所用</w:t>
                  </w:r>
                  <w:r>
                    <w:rPr>
                      <w:rFonts w:hint="eastAsia" w:ascii="Times New Roman" w:hAnsi="Times New Roman" w:eastAsia="宋体"/>
                      <w:color w:val="000000" w:themeColor="text1"/>
                      <w:szCs w:val="21"/>
                      <w:highlight w:val="none"/>
                      <w:lang w:eastAsia="zh-CN"/>
                      <w14:textFill>
                        <w14:solidFill>
                          <w14:schemeClr w14:val="tx1"/>
                        </w14:solidFill>
                      </w14:textFill>
                    </w:rPr>
                    <w:t>煤基费托合成液体石蜡</w:t>
                  </w:r>
                  <w:r>
                    <w:rPr>
                      <w:rFonts w:hint="eastAsia" w:ascii="Times New Roman" w:hAnsi="Times New Roman" w:eastAsia="宋体"/>
                      <w:color w:val="000000" w:themeColor="text1"/>
                      <w:szCs w:val="21"/>
                      <w:highlight w:val="none"/>
                      <w:lang w:val="en-US" w:eastAsia="zh-CN"/>
                      <w14:textFill>
                        <w14:solidFill>
                          <w14:schemeClr w14:val="tx1"/>
                        </w14:solidFill>
                      </w14:textFill>
                    </w:rPr>
                    <w:t>2号。</w:t>
                  </w:r>
                </w:p>
              </w:tc>
              <w:tc>
                <w:tcPr>
                  <w:tcW w:w="395" w:type="pct"/>
                  <w:tcBorders>
                    <w:tl2br w:val="nil"/>
                    <w:tr2bl w:val="nil"/>
                  </w:tcBorders>
                  <w:vAlign w:val="center"/>
                </w:tcPr>
                <w:p w14:paraId="1680F384">
                  <w:pPr>
                    <w:spacing w:before="78" w:beforeLines="25" w:after="78" w:afterLines="25" w:line="300" w:lineRule="auto"/>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新建</w:t>
                  </w:r>
                </w:p>
              </w:tc>
            </w:tr>
            <w:tr w14:paraId="099FA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2" w:hRule="atLeast"/>
                <w:jc w:val="center"/>
              </w:trPr>
              <w:tc>
                <w:tcPr>
                  <w:tcW w:w="606" w:type="pct"/>
                  <w:vMerge w:val="continue"/>
                  <w:tcBorders>
                    <w:tl2br w:val="nil"/>
                    <w:tr2bl w:val="nil"/>
                  </w:tcBorders>
                  <w:vAlign w:val="center"/>
                </w:tcPr>
                <w:p w14:paraId="2473E168">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609" w:type="pct"/>
                  <w:tcBorders>
                    <w:tl2br w:val="nil"/>
                    <w:tr2bl w:val="nil"/>
                  </w:tcBorders>
                  <w:vAlign w:val="center"/>
                </w:tcPr>
                <w:p w14:paraId="7672A8DC">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成品库房</w:t>
                  </w:r>
                </w:p>
              </w:tc>
              <w:tc>
                <w:tcPr>
                  <w:tcW w:w="3389" w:type="pct"/>
                  <w:tcBorders>
                    <w:tl2br w:val="nil"/>
                    <w:tr2bl w:val="nil"/>
                  </w:tcBorders>
                  <w:vAlign w:val="center"/>
                </w:tcPr>
                <w:p w14:paraId="27C4F017">
                  <w:pPr>
                    <w:spacing w:before="78" w:beforeLines="25" w:after="78" w:afterLines="25"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位于厂房2F北侧，建筑面积约200m</w:t>
                  </w:r>
                  <w:r>
                    <w:rPr>
                      <w:rFonts w:hint="eastAsia" w:ascii="Times New Roman" w:hAnsi="Times New Roman" w:eastAsia="宋体"/>
                      <w:color w:val="000000" w:themeColor="text1"/>
                      <w:szCs w:val="21"/>
                      <w:highlight w:val="none"/>
                      <w:vertAlign w:val="superscript"/>
                      <w14:textFill>
                        <w14:solidFill>
                          <w14:schemeClr w14:val="tx1"/>
                        </w14:solidFill>
                      </w14:textFill>
                    </w:rPr>
                    <w:t>2</w:t>
                  </w:r>
                  <w:r>
                    <w:rPr>
                      <w:rFonts w:hint="eastAsia" w:ascii="Times New Roman" w:hAnsi="Times New Roman" w:eastAsia="宋体"/>
                      <w:color w:val="000000" w:themeColor="text1"/>
                      <w:szCs w:val="21"/>
                      <w:highlight w:val="none"/>
                      <w14:textFill>
                        <w14:solidFill>
                          <w14:schemeClr w14:val="tx1"/>
                        </w14:solidFill>
                      </w14:textFill>
                    </w:rPr>
                    <w:t>，用于成品存放；</w:t>
                  </w:r>
                </w:p>
              </w:tc>
              <w:tc>
                <w:tcPr>
                  <w:tcW w:w="395" w:type="pct"/>
                  <w:tcBorders>
                    <w:tl2br w:val="nil"/>
                    <w:tr2bl w:val="nil"/>
                  </w:tcBorders>
                  <w:vAlign w:val="center"/>
                </w:tcPr>
                <w:p w14:paraId="493B790C">
                  <w:pPr>
                    <w:spacing w:before="78" w:beforeLines="25" w:after="78" w:afterLines="25" w:line="300" w:lineRule="auto"/>
                    <w:jc w:val="center"/>
                    <w:rPr>
                      <w:rFonts w:ascii="Times New Roman" w:hAnsi="Times New Roman" w:eastAsia="宋体" w:cs="Times New Roman"/>
                      <w:bCs/>
                      <w:iCs/>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新建</w:t>
                  </w:r>
                </w:p>
              </w:tc>
            </w:tr>
            <w:tr w14:paraId="541D4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restart"/>
                  <w:tcBorders>
                    <w:tl2br w:val="nil"/>
                    <w:tr2bl w:val="nil"/>
                  </w:tcBorders>
                  <w:vAlign w:val="center"/>
                </w:tcPr>
                <w:p w14:paraId="4BFA9AB9">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公用工程</w:t>
                  </w:r>
                </w:p>
              </w:tc>
              <w:tc>
                <w:tcPr>
                  <w:tcW w:w="609" w:type="pct"/>
                  <w:tcBorders>
                    <w:tl2br w:val="nil"/>
                    <w:tr2bl w:val="nil"/>
                  </w:tcBorders>
                  <w:vAlign w:val="center"/>
                </w:tcPr>
                <w:p w14:paraId="680E900F">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给水</w:t>
                  </w:r>
                </w:p>
              </w:tc>
              <w:tc>
                <w:tcPr>
                  <w:tcW w:w="3389" w:type="pct"/>
                  <w:tcBorders>
                    <w:tl2br w:val="nil"/>
                    <w:tr2bl w:val="nil"/>
                  </w:tcBorders>
                  <w:vAlign w:val="center"/>
                </w:tcPr>
                <w:p w14:paraId="11B97C06">
                  <w:pPr>
                    <w:spacing w:before="78" w:beforeLines="25" w:after="78" w:afterLines="25"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kern w:val="44"/>
                      <w:szCs w:val="21"/>
                      <w:highlight w:val="none"/>
                      <w14:textFill>
                        <w14:solidFill>
                          <w14:schemeClr w14:val="tx1"/>
                        </w14:solidFill>
                      </w14:textFill>
                    </w:rPr>
                    <w:t>依托坤坤农业现有供水系统（</w:t>
                  </w:r>
                  <w:r>
                    <w:rPr>
                      <w:rFonts w:ascii="Times New Roman" w:hAnsi="Times New Roman" w:eastAsia="宋体"/>
                      <w:color w:val="000000" w:themeColor="text1"/>
                      <w:kern w:val="44"/>
                      <w:szCs w:val="21"/>
                      <w:highlight w:val="none"/>
                      <w14:textFill>
                        <w14:solidFill>
                          <w14:schemeClr w14:val="tx1"/>
                        </w14:solidFill>
                      </w14:textFill>
                    </w:rPr>
                    <w:t>市政给水管网接入</w:t>
                  </w:r>
                  <w:r>
                    <w:rPr>
                      <w:rFonts w:hint="eastAsia" w:ascii="Times New Roman" w:hAnsi="Times New Roman" w:eastAsia="宋体"/>
                      <w:color w:val="000000" w:themeColor="text1"/>
                      <w:kern w:val="44"/>
                      <w:szCs w:val="21"/>
                      <w:highlight w:val="none"/>
                      <w14:textFill>
                        <w14:solidFill>
                          <w14:schemeClr w14:val="tx1"/>
                        </w14:solidFill>
                      </w14:textFill>
                    </w:rPr>
                    <w:t>）；</w:t>
                  </w:r>
                </w:p>
              </w:tc>
              <w:tc>
                <w:tcPr>
                  <w:tcW w:w="395" w:type="pct"/>
                  <w:tcBorders>
                    <w:tl2br w:val="nil"/>
                    <w:tr2bl w:val="nil"/>
                  </w:tcBorders>
                  <w:vAlign w:val="center"/>
                </w:tcPr>
                <w:p w14:paraId="13D7AD3A">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bCs/>
                      <w:iCs/>
                      <w:color w:val="000000" w:themeColor="text1"/>
                      <w:szCs w:val="21"/>
                      <w:highlight w:val="none"/>
                      <w14:textFill>
                        <w14:solidFill>
                          <w14:schemeClr w14:val="tx1"/>
                        </w14:solidFill>
                      </w14:textFill>
                    </w:rPr>
                    <w:t>依托</w:t>
                  </w:r>
                </w:p>
              </w:tc>
            </w:tr>
            <w:tr w14:paraId="53AA5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01926CBE">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609" w:type="pct"/>
                  <w:tcBorders>
                    <w:tl2br w:val="nil"/>
                    <w:tr2bl w:val="nil"/>
                  </w:tcBorders>
                  <w:vAlign w:val="center"/>
                </w:tcPr>
                <w:p w14:paraId="69625C5C">
                  <w:pPr>
                    <w:spacing w:before="68" w:beforeLines="22" w:after="68" w:afterLines="22" w:line="293"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排水</w:t>
                  </w:r>
                </w:p>
              </w:tc>
              <w:tc>
                <w:tcPr>
                  <w:tcW w:w="3389" w:type="pct"/>
                  <w:tcBorders>
                    <w:tl2br w:val="nil"/>
                    <w:tr2bl w:val="nil"/>
                  </w:tcBorders>
                  <w:vAlign w:val="center"/>
                </w:tcPr>
                <w:p w14:paraId="7D7E1D1F">
                  <w:pPr>
                    <w:spacing w:before="68" w:beforeLines="22" w:after="68" w:afterLines="22"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kern w:val="44"/>
                      <w:szCs w:val="21"/>
                      <w:highlight w:val="none"/>
                      <w14:textFill>
                        <w14:solidFill>
                          <w14:schemeClr w14:val="tx1"/>
                        </w14:solidFill>
                      </w14:textFill>
                    </w:rPr>
                    <w:t>采取雨污分流制。雨水主要为屋顶雨水，由现有收集系统进入坤坤农业现有雨水管网；运营期生活污水依托坤坤农业已建生化池进行预处理达标后，经园区市政污水管网排入西彭工业园区污水处理厂</w:t>
                  </w:r>
                  <w:r>
                    <w:rPr>
                      <w:rFonts w:hint="eastAsia" w:ascii="Times New Roman" w:hAnsi="Times New Roman" w:eastAsia="宋体"/>
                      <w:color w:val="000000" w:themeColor="text1"/>
                      <w:kern w:val="44"/>
                      <w:szCs w:val="21"/>
                      <w:highlight w:val="none"/>
                      <w:lang w:eastAsia="zh-CN"/>
                      <w14:textFill>
                        <w14:solidFill>
                          <w14:schemeClr w14:val="tx1"/>
                        </w14:solidFill>
                      </w14:textFill>
                    </w:rPr>
                    <w:t>进一步</w:t>
                  </w:r>
                  <w:r>
                    <w:rPr>
                      <w:rFonts w:hint="eastAsia" w:ascii="Times New Roman" w:hAnsi="Times New Roman" w:eastAsia="宋体"/>
                      <w:color w:val="000000" w:themeColor="text1"/>
                      <w:kern w:val="44"/>
                      <w:szCs w:val="21"/>
                      <w:highlight w:val="none"/>
                      <w14:textFill>
                        <w14:solidFill>
                          <w14:schemeClr w14:val="tx1"/>
                        </w14:solidFill>
                      </w14:textFill>
                    </w:rPr>
                    <w:t>处理达标后排入桥头河，最终汇入长江；</w:t>
                  </w:r>
                </w:p>
              </w:tc>
              <w:tc>
                <w:tcPr>
                  <w:tcW w:w="395" w:type="pct"/>
                  <w:tcBorders>
                    <w:tl2br w:val="nil"/>
                    <w:tr2bl w:val="nil"/>
                  </w:tcBorders>
                  <w:vAlign w:val="center"/>
                </w:tcPr>
                <w:p w14:paraId="6A30228C">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bCs/>
                      <w:iCs/>
                      <w:color w:val="000000" w:themeColor="text1"/>
                      <w:szCs w:val="21"/>
                      <w:highlight w:val="none"/>
                      <w14:textFill>
                        <w14:solidFill>
                          <w14:schemeClr w14:val="tx1"/>
                        </w14:solidFill>
                      </w14:textFill>
                    </w:rPr>
                    <w:t>依托</w:t>
                  </w:r>
                </w:p>
              </w:tc>
            </w:tr>
            <w:tr w14:paraId="3637E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48041EB1">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609" w:type="pct"/>
                  <w:tcBorders>
                    <w:tl2br w:val="nil"/>
                    <w:tr2bl w:val="nil"/>
                  </w:tcBorders>
                  <w:vAlign w:val="center"/>
                </w:tcPr>
                <w:p w14:paraId="611A4BAF">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供电</w:t>
                  </w:r>
                </w:p>
              </w:tc>
              <w:tc>
                <w:tcPr>
                  <w:tcW w:w="3389" w:type="pct"/>
                  <w:tcBorders>
                    <w:tl2br w:val="nil"/>
                    <w:tr2bl w:val="nil"/>
                  </w:tcBorders>
                  <w:vAlign w:val="center"/>
                </w:tcPr>
                <w:p w14:paraId="48D65B2E">
                  <w:pPr>
                    <w:spacing w:before="78" w:beforeLines="25" w:after="78" w:afterLines="25"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kern w:val="44"/>
                      <w:szCs w:val="21"/>
                      <w:highlight w:val="none"/>
                      <w14:textFill>
                        <w14:solidFill>
                          <w14:schemeClr w14:val="tx1"/>
                        </w14:solidFill>
                      </w14:textFill>
                    </w:rPr>
                    <w:t>依托坤坤农业现有供电系统（</w:t>
                  </w:r>
                  <w:r>
                    <w:rPr>
                      <w:rFonts w:ascii="Times New Roman" w:hAnsi="Times New Roman" w:eastAsia="宋体"/>
                      <w:color w:val="000000" w:themeColor="text1"/>
                      <w:kern w:val="44"/>
                      <w:szCs w:val="21"/>
                      <w:highlight w:val="none"/>
                      <w14:textFill>
                        <w14:solidFill>
                          <w14:schemeClr w14:val="tx1"/>
                        </w14:solidFill>
                      </w14:textFill>
                    </w:rPr>
                    <w:t>市政</w:t>
                  </w:r>
                  <w:r>
                    <w:rPr>
                      <w:rFonts w:hint="eastAsia" w:ascii="Times New Roman" w:hAnsi="Times New Roman" w:eastAsia="宋体"/>
                      <w:color w:val="000000" w:themeColor="text1"/>
                      <w:kern w:val="44"/>
                      <w:szCs w:val="21"/>
                      <w:highlight w:val="none"/>
                      <w14:textFill>
                        <w14:solidFill>
                          <w14:schemeClr w14:val="tx1"/>
                        </w14:solidFill>
                      </w14:textFill>
                    </w:rPr>
                    <w:t>电网</w:t>
                  </w:r>
                  <w:r>
                    <w:rPr>
                      <w:rFonts w:ascii="Times New Roman" w:hAnsi="Times New Roman" w:eastAsia="宋体"/>
                      <w:color w:val="000000" w:themeColor="text1"/>
                      <w:kern w:val="44"/>
                      <w:szCs w:val="21"/>
                      <w:highlight w:val="none"/>
                      <w14:textFill>
                        <w14:solidFill>
                          <w14:schemeClr w14:val="tx1"/>
                        </w14:solidFill>
                      </w14:textFill>
                    </w:rPr>
                    <w:t>接入</w:t>
                  </w:r>
                  <w:r>
                    <w:rPr>
                      <w:rFonts w:hint="eastAsia" w:ascii="Times New Roman" w:hAnsi="Times New Roman" w:eastAsia="宋体"/>
                      <w:color w:val="000000" w:themeColor="text1"/>
                      <w:kern w:val="44"/>
                      <w:szCs w:val="21"/>
                      <w:highlight w:val="none"/>
                      <w14:textFill>
                        <w14:solidFill>
                          <w14:schemeClr w14:val="tx1"/>
                        </w14:solidFill>
                      </w14:textFill>
                    </w:rPr>
                    <w:t>）。</w:t>
                  </w:r>
                </w:p>
              </w:tc>
              <w:tc>
                <w:tcPr>
                  <w:tcW w:w="395" w:type="pct"/>
                  <w:tcBorders>
                    <w:tl2br w:val="nil"/>
                    <w:tr2bl w:val="nil"/>
                  </w:tcBorders>
                  <w:vAlign w:val="center"/>
                </w:tcPr>
                <w:p w14:paraId="6274CF0C">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bCs/>
                      <w:iCs/>
                      <w:color w:val="000000" w:themeColor="text1"/>
                      <w:szCs w:val="21"/>
                      <w:highlight w:val="none"/>
                      <w14:textFill>
                        <w14:solidFill>
                          <w14:schemeClr w14:val="tx1"/>
                        </w14:solidFill>
                      </w14:textFill>
                    </w:rPr>
                    <w:t>依托</w:t>
                  </w:r>
                </w:p>
              </w:tc>
            </w:tr>
            <w:tr w14:paraId="741DA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restart"/>
                  <w:tcBorders>
                    <w:tl2br w:val="nil"/>
                    <w:tr2bl w:val="nil"/>
                  </w:tcBorders>
                  <w:vAlign w:val="center"/>
                </w:tcPr>
                <w:p w14:paraId="19FE4F66">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环保工程</w:t>
                  </w:r>
                </w:p>
              </w:tc>
              <w:tc>
                <w:tcPr>
                  <w:tcW w:w="609" w:type="pct"/>
                  <w:vMerge w:val="restart"/>
                  <w:tcBorders>
                    <w:tl2br w:val="nil"/>
                    <w:tr2bl w:val="nil"/>
                  </w:tcBorders>
                  <w:vAlign w:val="center"/>
                </w:tcPr>
                <w:p w14:paraId="4C38AB69">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废气</w:t>
                  </w:r>
                </w:p>
              </w:tc>
              <w:tc>
                <w:tcPr>
                  <w:tcW w:w="3389" w:type="pct"/>
                  <w:tcBorders>
                    <w:tl2br w:val="nil"/>
                    <w:tr2bl w:val="nil"/>
                  </w:tcBorders>
                  <w:vAlign w:val="center"/>
                </w:tcPr>
                <w:p w14:paraId="3514AD31">
                  <w:pPr>
                    <w:spacing w:before="78" w:beforeLines="25" w:after="78" w:afterLines="25"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kern w:val="44"/>
                      <w:szCs w:val="21"/>
                      <w:highlight w:val="none"/>
                      <w14:textFill>
                        <w14:solidFill>
                          <w14:schemeClr w14:val="tx1"/>
                        </w14:solidFill>
                      </w14:textFill>
                    </w:rPr>
                    <w:t>抛丸废气</w:t>
                  </w:r>
                  <w:r>
                    <w:rPr>
                      <w:rFonts w:hint="eastAsia" w:ascii="Times New Roman" w:hAnsi="Times New Roman" w:eastAsia="宋体"/>
                      <w:color w:val="000000" w:themeColor="text1"/>
                      <w:kern w:val="44"/>
                      <w:szCs w:val="21"/>
                      <w:highlight w:val="none"/>
                      <w14:textFill>
                        <w14:solidFill>
                          <w14:schemeClr w14:val="tx1"/>
                        </w14:solidFill>
                      </w14:textFill>
                    </w:rPr>
                    <w:t>：项目抛丸工序产生的废气经设备自带布袋除尘器处置后引入1根15m高</w:t>
                  </w:r>
                  <w:r>
                    <w:rPr>
                      <w:rFonts w:hint="eastAsia" w:ascii="Times New Roman" w:hAnsi="Times New Roman" w:eastAsia="宋体"/>
                      <w:b/>
                      <w:bCs/>
                      <w:color w:val="000000" w:themeColor="text1"/>
                      <w:kern w:val="44"/>
                      <w:szCs w:val="21"/>
                      <w:highlight w:val="none"/>
                      <w14:textFill>
                        <w14:solidFill>
                          <w14:schemeClr w14:val="tx1"/>
                        </w14:solidFill>
                      </w14:textFill>
                    </w:rPr>
                    <w:t>DA001</w:t>
                  </w:r>
                  <w:r>
                    <w:rPr>
                      <w:rFonts w:hint="eastAsia" w:ascii="Times New Roman" w:hAnsi="Times New Roman" w:eastAsia="宋体"/>
                      <w:color w:val="000000" w:themeColor="text1"/>
                      <w:kern w:val="44"/>
                      <w:szCs w:val="21"/>
                      <w:highlight w:val="none"/>
                      <w14:textFill>
                        <w14:solidFill>
                          <w14:schemeClr w14:val="tx1"/>
                        </w14:solidFill>
                      </w14:textFill>
                    </w:rPr>
                    <w:t>排气筒排放。</w:t>
                  </w:r>
                </w:p>
              </w:tc>
              <w:tc>
                <w:tcPr>
                  <w:tcW w:w="395" w:type="pct"/>
                  <w:tcBorders>
                    <w:tl2br w:val="nil"/>
                    <w:tr2bl w:val="nil"/>
                  </w:tcBorders>
                  <w:vAlign w:val="center"/>
                </w:tcPr>
                <w:p w14:paraId="754506AA">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新建</w:t>
                  </w:r>
                </w:p>
              </w:tc>
            </w:tr>
            <w:tr w14:paraId="7E0BB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2" w:hRule="atLeast"/>
                <w:jc w:val="center"/>
              </w:trPr>
              <w:tc>
                <w:tcPr>
                  <w:tcW w:w="606" w:type="pct"/>
                  <w:vMerge w:val="continue"/>
                  <w:tcBorders>
                    <w:tl2br w:val="nil"/>
                    <w:tr2bl w:val="nil"/>
                  </w:tcBorders>
                  <w:vAlign w:val="center"/>
                </w:tcPr>
                <w:p w14:paraId="31AD0F83">
                  <w:pPr>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09" w:type="pct"/>
                  <w:vMerge w:val="continue"/>
                  <w:tcBorders>
                    <w:tl2br w:val="nil"/>
                    <w:tr2bl w:val="nil"/>
                  </w:tcBorders>
                  <w:vAlign w:val="center"/>
                </w:tcPr>
                <w:p w14:paraId="5738D600">
                  <w:pPr>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389" w:type="pct"/>
                  <w:tcBorders>
                    <w:tl2br w:val="nil"/>
                    <w:tr2bl w:val="nil"/>
                  </w:tcBorders>
                  <w:vAlign w:val="center"/>
                </w:tcPr>
                <w:p w14:paraId="3A76ADCB">
                  <w:pPr>
                    <w:spacing w:before="78" w:beforeLines="25" w:after="78" w:afterLines="25" w:line="300" w:lineRule="auto"/>
                    <w:rPr>
                      <w:rFonts w:ascii="Times New Roman" w:hAnsi="Times New Roman" w:eastAsia="宋体"/>
                      <w:b/>
                      <w:bCs/>
                      <w:color w:val="000000" w:themeColor="text1"/>
                      <w:kern w:val="44"/>
                      <w:szCs w:val="21"/>
                      <w:highlight w:val="none"/>
                      <w14:textFill>
                        <w14:solidFill>
                          <w14:schemeClr w14:val="tx1"/>
                        </w14:solidFill>
                      </w14:textFill>
                    </w:rPr>
                  </w:pPr>
                  <w:r>
                    <w:rPr>
                      <w:rFonts w:hint="eastAsia" w:ascii="Times New Roman" w:hAnsi="Times New Roman" w:eastAsia="宋体"/>
                      <w:b/>
                      <w:bCs/>
                      <w:color w:val="000000" w:themeColor="text1"/>
                      <w:kern w:val="44"/>
                      <w:szCs w:val="21"/>
                      <w:highlight w:val="none"/>
                      <w14:textFill>
                        <w14:solidFill>
                          <w14:schemeClr w14:val="tx1"/>
                        </w14:solidFill>
                      </w14:textFill>
                    </w:rPr>
                    <w:t>喷粉废气：</w:t>
                  </w:r>
                  <w:r>
                    <w:rPr>
                      <w:rFonts w:hint="eastAsia" w:ascii="Times New Roman" w:hAnsi="Times New Roman" w:eastAsia="宋体"/>
                      <w:color w:val="000000" w:themeColor="text1"/>
                      <w:kern w:val="44"/>
                      <w:szCs w:val="21"/>
                      <w:highlight w:val="none"/>
                      <w14:textFill>
                        <w14:solidFill>
                          <w14:schemeClr w14:val="tx1"/>
                        </w14:solidFill>
                      </w14:textFill>
                    </w:rPr>
                    <w:t>项目喷粉工序产生的废气经1套“袋式除尘器”处置后引入1根15m高</w:t>
                  </w:r>
                  <w:r>
                    <w:rPr>
                      <w:rFonts w:hint="eastAsia" w:ascii="Times New Roman" w:hAnsi="Times New Roman" w:eastAsia="宋体"/>
                      <w:b/>
                      <w:bCs/>
                      <w:color w:val="000000" w:themeColor="text1"/>
                      <w:kern w:val="44"/>
                      <w:szCs w:val="21"/>
                      <w:highlight w:val="none"/>
                      <w14:textFill>
                        <w14:solidFill>
                          <w14:schemeClr w14:val="tx1"/>
                        </w14:solidFill>
                      </w14:textFill>
                    </w:rPr>
                    <w:t>DA002</w:t>
                  </w:r>
                  <w:r>
                    <w:rPr>
                      <w:rFonts w:hint="eastAsia" w:ascii="Times New Roman" w:hAnsi="Times New Roman" w:eastAsia="宋体"/>
                      <w:color w:val="000000" w:themeColor="text1"/>
                      <w:kern w:val="44"/>
                      <w:szCs w:val="21"/>
                      <w:highlight w:val="none"/>
                      <w14:textFill>
                        <w14:solidFill>
                          <w14:schemeClr w14:val="tx1"/>
                        </w14:solidFill>
                      </w14:textFill>
                    </w:rPr>
                    <w:t>排气筒排放。</w:t>
                  </w:r>
                </w:p>
              </w:tc>
              <w:tc>
                <w:tcPr>
                  <w:tcW w:w="395" w:type="pct"/>
                  <w:tcBorders>
                    <w:tl2br w:val="nil"/>
                    <w:tr2bl w:val="nil"/>
                  </w:tcBorders>
                  <w:vAlign w:val="center"/>
                </w:tcPr>
                <w:p w14:paraId="75F61EE2">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新建</w:t>
                  </w:r>
                </w:p>
              </w:tc>
            </w:tr>
            <w:tr w14:paraId="1284E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21AAF65D">
                  <w:pPr>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09" w:type="pct"/>
                  <w:vMerge w:val="continue"/>
                  <w:tcBorders>
                    <w:tl2br w:val="nil"/>
                    <w:tr2bl w:val="nil"/>
                  </w:tcBorders>
                  <w:vAlign w:val="center"/>
                </w:tcPr>
                <w:p w14:paraId="36BA0528">
                  <w:pPr>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389" w:type="pct"/>
                  <w:tcBorders>
                    <w:tl2br w:val="nil"/>
                    <w:tr2bl w:val="nil"/>
                  </w:tcBorders>
                  <w:vAlign w:val="center"/>
                </w:tcPr>
                <w:p w14:paraId="1964B24A">
                  <w:pPr>
                    <w:spacing w:before="78" w:beforeLines="25" w:after="78" w:afterLines="25" w:line="300" w:lineRule="auto"/>
                    <w:rPr>
                      <w:rFonts w:ascii="Times New Roman" w:hAnsi="Times New Roman" w:eastAsia="宋体"/>
                      <w:b/>
                      <w:bCs/>
                      <w:color w:val="000000" w:themeColor="text1"/>
                      <w:kern w:val="44"/>
                      <w:szCs w:val="21"/>
                      <w:highlight w:val="none"/>
                      <w14:textFill>
                        <w14:solidFill>
                          <w14:schemeClr w14:val="tx1"/>
                        </w14:solidFill>
                      </w14:textFill>
                    </w:rPr>
                  </w:pPr>
                  <w:r>
                    <w:rPr>
                      <w:rFonts w:hint="eastAsia" w:ascii="Times New Roman" w:hAnsi="Times New Roman" w:eastAsia="宋体"/>
                      <w:b/>
                      <w:bCs/>
                      <w:color w:val="000000" w:themeColor="text1"/>
                      <w:kern w:val="44"/>
                      <w:szCs w:val="21"/>
                      <w:highlight w:val="none"/>
                      <w14:textFill>
                        <w14:solidFill>
                          <w14:schemeClr w14:val="tx1"/>
                        </w14:solidFill>
                      </w14:textFill>
                    </w:rPr>
                    <w:t>固化废气：</w:t>
                  </w:r>
                  <w:r>
                    <w:rPr>
                      <w:rFonts w:hint="eastAsia" w:ascii="Times New Roman" w:hAnsi="Times New Roman" w:eastAsia="宋体"/>
                      <w:color w:val="000000" w:themeColor="text1"/>
                      <w:kern w:val="44"/>
                      <w:szCs w:val="21"/>
                      <w:highlight w:val="none"/>
                      <w14:textFill>
                        <w14:solidFill>
                          <w14:schemeClr w14:val="tx1"/>
                        </w14:solidFill>
                      </w14:textFill>
                    </w:rPr>
                    <w:t>项目固化工序产生的废气经1套“干式过滤+</w:t>
                  </w:r>
                  <w:r>
                    <w:rPr>
                      <w:rFonts w:hint="eastAsia" w:ascii="Times New Roman" w:hAnsi="Times New Roman" w:eastAsia="宋体"/>
                      <w:color w:val="000000" w:themeColor="text1"/>
                      <w:kern w:val="44"/>
                      <w:szCs w:val="21"/>
                      <w:highlight w:val="none"/>
                      <w:lang w:eastAsia="zh-CN"/>
                      <w14:textFill>
                        <w14:solidFill>
                          <w14:schemeClr w14:val="tx1"/>
                        </w14:solidFill>
                      </w14:textFill>
                    </w:rPr>
                    <w:t>两级</w:t>
                  </w:r>
                  <w:r>
                    <w:rPr>
                      <w:rFonts w:hint="eastAsia" w:ascii="Times New Roman" w:hAnsi="Times New Roman" w:eastAsia="宋体"/>
                      <w:color w:val="000000" w:themeColor="text1"/>
                      <w:kern w:val="44"/>
                      <w:szCs w:val="21"/>
                      <w:highlight w:val="none"/>
                      <w14:textFill>
                        <w14:solidFill>
                          <w14:schemeClr w14:val="tx1"/>
                        </w14:solidFill>
                      </w14:textFill>
                    </w:rPr>
                    <w:t>活性炭”吸附装置处置后引入1根15m高</w:t>
                  </w:r>
                  <w:r>
                    <w:rPr>
                      <w:rFonts w:hint="eastAsia" w:ascii="Times New Roman" w:hAnsi="Times New Roman" w:eastAsia="宋体"/>
                      <w:b/>
                      <w:bCs/>
                      <w:color w:val="000000" w:themeColor="text1"/>
                      <w:kern w:val="44"/>
                      <w:szCs w:val="21"/>
                      <w:highlight w:val="none"/>
                      <w14:textFill>
                        <w14:solidFill>
                          <w14:schemeClr w14:val="tx1"/>
                        </w14:solidFill>
                      </w14:textFill>
                    </w:rPr>
                    <w:t>DA003</w:t>
                  </w:r>
                  <w:r>
                    <w:rPr>
                      <w:rFonts w:hint="eastAsia" w:ascii="Times New Roman" w:hAnsi="Times New Roman" w:eastAsia="宋体"/>
                      <w:color w:val="000000" w:themeColor="text1"/>
                      <w:kern w:val="44"/>
                      <w:szCs w:val="21"/>
                      <w:highlight w:val="none"/>
                      <w14:textFill>
                        <w14:solidFill>
                          <w14:schemeClr w14:val="tx1"/>
                        </w14:solidFill>
                      </w14:textFill>
                    </w:rPr>
                    <w:t>排气筒排放。</w:t>
                  </w:r>
                </w:p>
              </w:tc>
              <w:tc>
                <w:tcPr>
                  <w:tcW w:w="395" w:type="pct"/>
                  <w:tcBorders>
                    <w:tl2br w:val="nil"/>
                    <w:tr2bl w:val="nil"/>
                  </w:tcBorders>
                  <w:vAlign w:val="center"/>
                </w:tcPr>
                <w:p w14:paraId="471883CB">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新建</w:t>
                  </w:r>
                </w:p>
              </w:tc>
            </w:tr>
            <w:tr w14:paraId="4A3FC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0F3D0A97">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609" w:type="pct"/>
                  <w:tcBorders>
                    <w:tl2br w:val="nil"/>
                    <w:tr2bl w:val="nil"/>
                  </w:tcBorders>
                  <w:vAlign w:val="center"/>
                </w:tcPr>
                <w:p w14:paraId="33CBEB2B">
                  <w:pPr>
                    <w:spacing w:before="68" w:beforeLines="22" w:after="68" w:afterLines="22"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废水</w:t>
                  </w:r>
                </w:p>
              </w:tc>
              <w:tc>
                <w:tcPr>
                  <w:tcW w:w="3389" w:type="pct"/>
                  <w:tcBorders>
                    <w:tl2br w:val="nil"/>
                    <w:tr2bl w:val="nil"/>
                  </w:tcBorders>
                  <w:vAlign w:val="center"/>
                </w:tcPr>
                <w:p w14:paraId="31099FD2">
                  <w:pPr>
                    <w:spacing w:before="68" w:beforeLines="22" w:after="68" w:afterLines="22" w:line="300" w:lineRule="auto"/>
                    <w:rPr>
                      <w:rFonts w:ascii="Times New Roman" w:hAnsi="Times New Roman" w:eastAsia="宋体"/>
                      <w:color w:val="000000" w:themeColor="text1"/>
                      <w:kern w:val="44"/>
                      <w:szCs w:val="21"/>
                      <w:highlight w:val="none"/>
                      <w14:textFill>
                        <w14:solidFill>
                          <w14:schemeClr w14:val="tx1"/>
                        </w14:solidFill>
                      </w14:textFill>
                    </w:rPr>
                  </w:pPr>
                  <w:r>
                    <w:rPr>
                      <w:rFonts w:hint="eastAsia" w:ascii="Times New Roman" w:hAnsi="Times New Roman" w:eastAsia="宋体"/>
                      <w:color w:val="000000" w:themeColor="text1"/>
                      <w:kern w:val="44"/>
                      <w:szCs w:val="21"/>
                      <w:highlight w:val="none"/>
                      <w14:textFill>
                        <w14:solidFill>
                          <w14:schemeClr w14:val="tx1"/>
                        </w14:solidFill>
                      </w14:textFill>
                    </w:rPr>
                    <w:t>运营期外排污废水主要为员工办公生活污水，依托坤坤农业</w:t>
                  </w:r>
                  <w:r>
                    <w:rPr>
                      <w:rFonts w:hint="eastAsia" w:ascii="Times New Roman" w:hAnsi="Times New Roman" w:eastAsia="宋体"/>
                      <w:b/>
                      <w:bCs/>
                      <w:color w:val="000000" w:themeColor="text1"/>
                      <w:kern w:val="44"/>
                      <w:szCs w:val="21"/>
                      <w:highlight w:val="none"/>
                      <w14:textFill>
                        <w14:solidFill>
                          <w14:schemeClr w14:val="tx1"/>
                        </w14:solidFill>
                      </w14:textFill>
                    </w:rPr>
                    <w:t>现有生化池</w:t>
                  </w:r>
                  <w:r>
                    <w:rPr>
                      <w:rFonts w:hint="eastAsia" w:ascii="Times New Roman" w:hAnsi="Times New Roman" w:eastAsia="宋体"/>
                      <w:color w:val="000000" w:themeColor="text1"/>
                      <w:kern w:val="44"/>
                      <w:szCs w:val="21"/>
                      <w:highlight w:val="none"/>
                      <w14:textFill>
                        <w14:solidFill>
                          <w14:schemeClr w14:val="tx1"/>
                        </w14:solidFill>
                      </w14:textFill>
                    </w:rPr>
                    <w:t>预处理达《污水综合排放标准》（GB 8978-1996）三级标准，经市政污水管网，排入西彭工业园区污水处理厂</w:t>
                  </w:r>
                  <w:r>
                    <w:rPr>
                      <w:rFonts w:hint="eastAsia" w:ascii="Times New Roman" w:hAnsi="Times New Roman" w:eastAsia="宋体"/>
                      <w:color w:val="000000" w:themeColor="text1"/>
                      <w:kern w:val="44"/>
                      <w:szCs w:val="21"/>
                      <w:highlight w:val="none"/>
                      <w:lang w:eastAsia="zh-CN"/>
                      <w14:textFill>
                        <w14:solidFill>
                          <w14:schemeClr w14:val="tx1"/>
                        </w14:solidFill>
                      </w14:textFill>
                    </w:rPr>
                    <w:t>进一步</w:t>
                  </w:r>
                  <w:r>
                    <w:rPr>
                      <w:rFonts w:hint="eastAsia" w:ascii="Times New Roman" w:hAnsi="Times New Roman" w:eastAsia="宋体"/>
                      <w:color w:val="000000" w:themeColor="text1"/>
                      <w:kern w:val="44"/>
                      <w:szCs w:val="21"/>
                      <w:highlight w:val="none"/>
                      <w14:textFill>
                        <w14:solidFill>
                          <w14:schemeClr w14:val="tx1"/>
                        </w14:solidFill>
                      </w14:textFill>
                    </w:rPr>
                    <w:t>处理达标后，排入桥头河，最终汇入长江。</w:t>
                  </w:r>
                </w:p>
              </w:tc>
              <w:tc>
                <w:tcPr>
                  <w:tcW w:w="395" w:type="pct"/>
                  <w:tcBorders>
                    <w:tl2br w:val="nil"/>
                    <w:tr2bl w:val="nil"/>
                  </w:tcBorders>
                  <w:vAlign w:val="center"/>
                </w:tcPr>
                <w:p w14:paraId="594514E7">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依托</w:t>
                  </w:r>
                </w:p>
              </w:tc>
            </w:tr>
            <w:tr w14:paraId="59A3A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0B77431E">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609" w:type="pct"/>
                  <w:tcBorders>
                    <w:tl2br w:val="nil"/>
                    <w:tr2bl w:val="nil"/>
                  </w:tcBorders>
                  <w:vAlign w:val="center"/>
                </w:tcPr>
                <w:p w14:paraId="79567CA2">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噪声</w:t>
                  </w:r>
                  <w:r>
                    <w:rPr>
                      <w:rFonts w:hint="eastAsia" w:ascii="Times New Roman" w:hAnsi="Times New Roman" w:eastAsia="宋体" w:cs="Times New Roman"/>
                      <w:color w:val="000000" w:themeColor="text1"/>
                      <w:szCs w:val="21"/>
                      <w:highlight w:val="none"/>
                      <w14:textFill>
                        <w14:solidFill>
                          <w14:schemeClr w14:val="tx1"/>
                        </w14:solidFill>
                      </w14:textFill>
                    </w:rPr>
                    <w:t>治理</w:t>
                  </w:r>
                </w:p>
              </w:tc>
              <w:tc>
                <w:tcPr>
                  <w:tcW w:w="3389" w:type="pct"/>
                  <w:tcBorders>
                    <w:tl2br w:val="nil"/>
                    <w:tr2bl w:val="nil"/>
                  </w:tcBorders>
                  <w:vAlign w:val="center"/>
                </w:tcPr>
                <w:p w14:paraId="05F84F89">
                  <w:pPr>
                    <w:spacing w:before="78" w:beforeLines="25" w:after="78" w:afterLines="25"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kern w:val="44"/>
                      <w:szCs w:val="21"/>
                      <w:highlight w:val="none"/>
                      <w14:textFill>
                        <w14:solidFill>
                          <w14:schemeClr w14:val="tx1"/>
                        </w14:solidFill>
                      </w14:textFill>
                    </w:rPr>
                    <w:t>高噪声设备应采取减振基础、隔声等措施</w:t>
                  </w:r>
                  <w:r>
                    <w:rPr>
                      <w:rFonts w:hint="eastAsia" w:ascii="Times New Roman" w:hAnsi="Times New Roman" w:eastAsia="宋体"/>
                      <w:color w:val="000000" w:themeColor="text1"/>
                      <w:szCs w:val="21"/>
                      <w:highlight w:val="none"/>
                      <w14:textFill>
                        <w14:solidFill>
                          <w14:schemeClr w14:val="tx1"/>
                        </w14:solidFill>
                      </w14:textFill>
                    </w:rPr>
                    <w:t>；</w:t>
                  </w:r>
                </w:p>
              </w:tc>
              <w:tc>
                <w:tcPr>
                  <w:tcW w:w="395" w:type="pct"/>
                  <w:tcBorders>
                    <w:tl2br w:val="nil"/>
                    <w:tr2bl w:val="nil"/>
                  </w:tcBorders>
                  <w:vAlign w:val="center"/>
                </w:tcPr>
                <w:p w14:paraId="220FF7D7">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新建</w:t>
                  </w:r>
                </w:p>
              </w:tc>
            </w:tr>
            <w:tr w14:paraId="760F9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76711157">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609" w:type="pct"/>
                  <w:vMerge w:val="restart"/>
                  <w:tcBorders>
                    <w:tl2br w:val="nil"/>
                    <w:tr2bl w:val="nil"/>
                  </w:tcBorders>
                  <w:vAlign w:val="center"/>
                </w:tcPr>
                <w:p w14:paraId="6AB334C8">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固废处理</w:t>
                  </w:r>
                </w:p>
              </w:tc>
              <w:tc>
                <w:tcPr>
                  <w:tcW w:w="3389" w:type="pct"/>
                  <w:tcBorders>
                    <w:tl2br w:val="nil"/>
                    <w:tr2bl w:val="nil"/>
                  </w:tcBorders>
                  <w:vAlign w:val="center"/>
                </w:tcPr>
                <w:p w14:paraId="77FCD85C">
                  <w:pPr>
                    <w:spacing w:before="68" w:beforeLines="22" w:after="68" w:afterLines="22" w:line="300" w:lineRule="auto"/>
                    <w:rPr>
                      <w:rFonts w:ascii="Times New Roman" w:hAnsi="Times New Roman" w:eastAsia="宋体"/>
                      <w:color w:val="000000" w:themeColor="text1"/>
                      <w:kern w:val="44"/>
                      <w:szCs w:val="21"/>
                      <w:highlight w:val="none"/>
                      <w14:textFill>
                        <w14:solidFill>
                          <w14:schemeClr w14:val="tx1"/>
                        </w14:solidFill>
                      </w14:textFill>
                    </w:rPr>
                  </w:pPr>
                  <w:r>
                    <w:rPr>
                      <w:rFonts w:hint="eastAsia" w:ascii="Times New Roman" w:hAnsi="Times New Roman" w:eastAsia="宋体"/>
                      <w:b/>
                      <w:bCs/>
                      <w:color w:val="000000" w:themeColor="text1"/>
                      <w:kern w:val="44"/>
                      <w:szCs w:val="21"/>
                      <w:highlight w:val="none"/>
                      <w14:textFill>
                        <w14:solidFill>
                          <w14:schemeClr w14:val="tx1"/>
                        </w14:solidFill>
                      </w14:textFill>
                    </w:rPr>
                    <w:t>一般固废</w:t>
                  </w:r>
                  <w:r>
                    <w:rPr>
                      <w:rFonts w:hint="eastAsia" w:ascii="Times New Roman" w:hAnsi="Times New Roman" w:eastAsia="宋体"/>
                      <w:color w:val="000000" w:themeColor="text1"/>
                      <w:kern w:val="44"/>
                      <w:szCs w:val="21"/>
                      <w:highlight w:val="none"/>
                      <w14:textFill>
                        <w14:solidFill>
                          <w14:schemeClr w14:val="tx1"/>
                        </w14:solidFill>
                      </w14:textFill>
                    </w:rPr>
                    <w:t>：厂房设置1处一般固废暂存区，面积约10m</w:t>
                  </w:r>
                  <w:r>
                    <w:rPr>
                      <w:rFonts w:hint="eastAsia" w:ascii="Times New Roman" w:hAnsi="Times New Roman" w:eastAsia="宋体"/>
                      <w:color w:val="000000" w:themeColor="text1"/>
                      <w:kern w:val="44"/>
                      <w:szCs w:val="21"/>
                      <w:highlight w:val="none"/>
                      <w:vertAlign w:val="superscript"/>
                      <w14:textFill>
                        <w14:solidFill>
                          <w14:schemeClr w14:val="tx1"/>
                        </w14:solidFill>
                      </w14:textFill>
                    </w:rPr>
                    <w:t>2</w:t>
                  </w:r>
                  <w:r>
                    <w:rPr>
                      <w:rFonts w:hint="eastAsia" w:ascii="Times New Roman" w:hAnsi="Times New Roman" w:eastAsia="宋体"/>
                      <w:color w:val="000000" w:themeColor="text1"/>
                      <w:kern w:val="44"/>
                      <w:szCs w:val="21"/>
                      <w:highlight w:val="none"/>
                      <w14:textFill>
                        <w14:solidFill>
                          <w14:schemeClr w14:val="tx1"/>
                        </w14:solidFill>
                      </w14:textFill>
                    </w:rPr>
                    <w:t>，定期外售综合利用；一般固废贮存过程应满足相应防渗漏、防雨淋、防扬尘等环境保护要求。</w:t>
                  </w:r>
                </w:p>
              </w:tc>
              <w:tc>
                <w:tcPr>
                  <w:tcW w:w="395" w:type="pct"/>
                  <w:tcBorders>
                    <w:tl2br w:val="nil"/>
                    <w:tr2bl w:val="nil"/>
                  </w:tcBorders>
                  <w:vAlign w:val="center"/>
                </w:tcPr>
                <w:p w14:paraId="3A053D5B">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新建</w:t>
                  </w:r>
                </w:p>
              </w:tc>
            </w:tr>
            <w:tr w14:paraId="638EC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4E205F79">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609" w:type="pct"/>
                  <w:vMerge w:val="continue"/>
                  <w:tcBorders>
                    <w:tl2br w:val="nil"/>
                    <w:tr2bl w:val="nil"/>
                  </w:tcBorders>
                  <w:vAlign w:val="center"/>
                </w:tcPr>
                <w:p w14:paraId="4AFB7C19">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3389" w:type="pct"/>
                  <w:tcBorders>
                    <w:tl2br w:val="nil"/>
                    <w:tr2bl w:val="nil"/>
                  </w:tcBorders>
                  <w:vAlign w:val="center"/>
                </w:tcPr>
                <w:p w14:paraId="2CD4AE70">
                  <w:pPr>
                    <w:spacing w:before="68" w:beforeLines="22" w:after="68" w:afterLines="22" w:line="300" w:lineRule="auto"/>
                    <w:rPr>
                      <w:rFonts w:ascii="Times New Roman" w:hAnsi="Times New Roman" w:eastAsia="宋体"/>
                      <w:color w:val="000000" w:themeColor="text1"/>
                      <w:kern w:val="44"/>
                      <w:szCs w:val="21"/>
                      <w:highlight w:val="none"/>
                      <w14:textFill>
                        <w14:solidFill>
                          <w14:schemeClr w14:val="tx1"/>
                        </w14:solidFill>
                      </w14:textFill>
                    </w:rPr>
                  </w:pPr>
                  <w:r>
                    <w:rPr>
                      <w:rFonts w:hint="eastAsia" w:ascii="Times New Roman" w:hAnsi="Times New Roman" w:eastAsia="宋体"/>
                      <w:b/>
                      <w:bCs/>
                      <w:color w:val="000000" w:themeColor="text1"/>
                      <w:kern w:val="44"/>
                      <w:szCs w:val="21"/>
                      <w:highlight w:val="none"/>
                      <w14:textFill>
                        <w14:solidFill>
                          <w14:schemeClr w14:val="tx1"/>
                        </w14:solidFill>
                      </w14:textFill>
                    </w:rPr>
                    <w:t>危险废物</w:t>
                  </w:r>
                  <w:r>
                    <w:rPr>
                      <w:rFonts w:hint="eastAsia" w:ascii="Times New Roman" w:hAnsi="Times New Roman" w:eastAsia="宋体"/>
                      <w:color w:val="000000" w:themeColor="text1"/>
                      <w:kern w:val="44"/>
                      <w:szCs w:val="21"/>
                      <w:highlight w:val="none"/>
                      <w14:textFill>
                        <w14:solidFill>
                          <w14:schemeClr w14:val="tx1"/>
                        </w14:solidFill>
                      </w14:textFill>
                    </w:rPr>
                    <w:t>：厂房设置1处危废贮存点，面积约5m</w:t>
                  </w:r>
                  <w:r>
                    <w:rPr>
                      <w:rFonts w:hint="eastAsia" w:ascii="Times New Roman" w:hAnsi="Times New Roman" w:eastAsia="宋体"/>
                      <w:color w:val="000000" w:themeColor="text1"/>
                      <w:kern w:val="44"/>
                      <w:szCs w:val="21"/>
                      <w:highlight w:val="none"/>
                      <w:vertAlign w:val="superscript"/>
                      <w14:textFill>
                        <w14:solidFill>
                          <w14:schemeClr w14:val="tx1"/>
                        </w14:solidFill>
                      </w14:textFill>
                    </w:rPr>
                    <w:t>2</w:t>
                  </w:r>
                  <w:r>
                    <w:rPr>
                      <w:rFonts w:hint="eastAsia" w:ascii="Times New Roman" w:hAnsi="Times New Roman" w:eastAsia="宋体"/>
                      <w:color w:val="000000" w:themeColor="text1"/>
                      <w:kern w:val="44"/>
                      <w:szCs w:val="21"/>
                      <w:highlight w:val="none"/>
                      <w14:textFill>
                        <w14:solidFill>
                          <w14:schemeClr w14:val="tx1"/>
                        </w14:solidFill>
                      </w14:textFill>
                    </w:rPr>
                    <w:t>。用于存放废油桶、空压机含油废液、含油废棉纱手套、废活性炭等危险废物，危险废物应分类存储，定期交有相应危险废物处置资质的单位转运处置。危废贮存点应满足《危险废物贮存污染控制标准》（GB18597-2023）要求。</w:t>
                  </w:r>
                </w:p>
              </w:tc>
              <w:tc>
                <w:tcPr>
                  <w:tcW w:w="395" w:type="pct"/>
                  <w:tcBorders>
                    <w:tl2br w:val="nil"/>
                    <w:tr2bl w:val="nil"/>
                  </w:tcBorders>
                  <w:vAlign w:val="center"/>
                </w:tcPr>
                <w:p w14:paraId="7634D2FB">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新建</w:t>
                  </w:r>
                </w:p>
              </w:tc>
            </w:tr>
            <w:tr w14:paraId="019A2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06" w:type="pct"/>
                  <w:vMerge w:val="continue"/>
                  <w:tcBorders>
                    <w:tl2br w:val="nil"/>
                    <w:tr2bl w:val="nil"/>
                  </w:tcBorders>
                  <w:vAlign w:val="center"/>
                </w:tcPr>
                <w:p w14:paraId="788C9DF5">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609" w:type="pct"/>
                  <w:vMerge w:val="continue"/>
                  <w:tcBorders>
                    <w:tl2br w:val="nil"/>
                    <w:tr2bl w:val="nil"/>
                  </w:tcBorders>
                  <w:vAlign w:val="center"/>
                </w:tcPr>
                <w:p w14:paraId="4594BF3B">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3389" w:type="pct"/>
                  <w:tcBorders>
                    <w:tl2br w:val="nil"/>
                    <w:tr2bl w:val="nil"/>
                  </w:tcBorders>
                  <w:vAlign w:val="center"/>
                </w:tcPr>
                <w:p w14:paraId="767924C1">
                  <w:pPr>
                    <w:spacing w:before="78" w:beforeLines="25" w:after="78" w:afterLines="25"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生活垃圾</w:t>
                  </w:r>
                  <w:r>
                    <w:rPr>
                      <w:rFonts w:hint="eastAsia" w:ascii="Times New Roman" w:hAnsi="Times New Roman" w:eastAsia="宋体"/>
                      <w:color w:val="000000" w:themeColor="text1"/>
                      <w:szCs w:val="21"/>
                      <w:highlight w:val="none"/>
                      <w14:textFill>
                        <w14:solidFill>
                          <w14:schemeClr w14:val="tx1"/>
                        </w14:solidFill>
                      </w14:textFill>
                    </w:rPr>
                    <w:t>：集中收集交环卫部门统一清运处理。</w:t>
                  </w:r>
                </w:p>
              </w:tc>
              <w:tc>
                <w:tcPr>
                  <w:tcW w:w="395" w:type="pct"/>
                  <w:tcBorders>
                    <w:tl2br w:val="nil"/>
                    <w:tr2bl w:val="nil"/>
                  </w:tcBorders>
                  <w:vAlign w:val="center"/>
                </w:tcPr>
                <w:p w14:paraId="2083F6A7">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依托</w:t>
                  </w:r>
                </w:p>
              </w:tc>
            </w:tr>
            <w:tr w14:paraId="5ADBE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4"/>
                  <w:tcBorders>
                    <w:tl2br w:val="nil"/>
                    <w:tr2bl w:val="nil"/>
                  </w:tcBorders>
                  <w:vAlign w:val="center"/>
                </w:tcPr>
                <w:p w14:paraId="11ADFD52">
                  <w:pPr>
                    <w:spacing w:before="78" w:beforeLines="25" w:after="78" w:afterLines="25" w:line="300" w:lineRule="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注</w:t>
                  </w:r>
                  <w:r>
                    <w:rPr>
                      <w:rFonts w:hint="eastAsia" w:ascii="Times New Roman" w:hAnsi="Times New Roman" w:eastAsia="宋体"/>
                      <w:color w:val="000000" w:themeColor="text1"/>
                      <w:szCs w:val="21"/>
                      <w:highlight w:val="none"/>
                      <w14:textFill>
                        <w14:solidFill>
                          <w14:schemeClr w14:val="tx1"/>
                        </w14:solidFill>
                      </w14:textFill>
                    </w:rPr>
                    <w:t>：项目设备维修委外，场内不进行设备维修。</w:t>
                  </w:r>
                </w:p>
              </w:tc>
            </w:tr>
          </w:tbl>
          <w:p w14:paraId="42654D22">
            <w:pPr>
              <w:spacing w:line="360"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2.3.2依托工程可行性</w:t>
            </w:r>
          </w:p>
          <w:p w14:paraId="434CEFE9">
            <w:pPr>
              <w:pStyle w:val="20"/>
              <w:spacing w:after="0" w:line="360" w:lineRule="auto"/>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依托设施可行性分析见表2-2。</w:t>
            </w:r>
          </w:p>
          <w:p w14:paraId="799CA052">
            <w:pPr>
              <w:tabs>
                <w:tab w:val="center" w:pos="3929"/>
              </w:tabs>
              <w:adjustRightInd w:val="0"/>
              <w:snapToGrid w:val="0"/>
              <w:spacing w:line="360" w:lineRule="auto"/>
              <w:jc w:val="center"/>
              <w:rPr>
                <w:rFonts w:ascii="Times New Roman" w:hAnsi="Times New Roman" w:eastAsia="宋体" w:cs="Times New Roman"/>
                <w:bCs/>
                <w:color w:val="000000" w:themeColor="text1"/>
                <w:sz w:val="24"/>
                <w:highlight w:val="none"/>
                <w14:textFill>
                  <w14:solidFill>
                    <w14:schemeClr w14:val="tx1"/>
                  </w14:solidFill>
                </w14:textFill>
              </w:rPr>
            </w:pPr>
            <w:r>
              <w:rPr>
                <w:rFonts w:ascii="Times New Roman" w:hAnsi="Times New Roman" w:eastAsia="宋体" w:cs="Times New Roman"/>
                <w:bCs/>
                <w:color w:val="000000" w:themeColor="text1"/>
                <w:sz w:val="24"/>
                <w:highlight w:val="none"/>
                <w14:textFill>
                  <w14:solidFill>
                    <w14:schemeClr w14:val="tx1"/>
                  </w14:solidFill>
                </w14:textFill>
              </w:rPr>
              <w:t>表2-2  依托设施可行性分析一览表</w:t>
            </w:r>
          </w:p>
          <w:tbl>
            <w:tblPr>
              <w:tblStyle w:val="26"/>
              <w:tblW w:w="82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100"/>
              <w:gridCol w:w="4888"/>
              <w:gridCol w:w="1404"/>
            </w:tblGrid>
            <w:tr w14:paraId="43FE1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18" w:type="dxa"/>
                  <w:tcBorders>
                    <w:tl2br w:val="nil"/>
                    <w:tr2bl w:val="nil"/>
                  </w:tcBorders>
                  <w:noWrap/>
                  <w:vAlign w:val="center"/>
                </w:tcPr>
                <w:p w14:paraId="08BF7276">
                  <w:pPr>
                    <w:adjustRightInd w:val="0"/>
                    <w:snapToGrid w:val="0"/>
                    <w:jc w:val="center"/>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序号</w:t>
                  </w:r>
                </w:p>
              </w:tc>
              <w:tc>
                <w:tcPr>
                  <w:tcW w:w="1100" w:type="dxa"/>
                  <w:tcBorders>
                    <w:tl2br w:val="nil"/>
                    <w:tr2bl w:val="nil"/>
                  </w:tcBorders>
                  <w:noWrap/>
                  <w:vAlign w:val="center"/>
                </w:tcPr>
                <w:p w14:paraId="3396D855">
                  <w:pPr>
                    <w:adjustRightInd w:val="0"/>
                    <w:snapToGrid w:val="0"/>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cs="Times New Roman"/>
                      <w:bCs/>
                      <w:color w:val="000000" w:themeColor="text1"/>
                      <w:szCs w:val="21"/>
                      <w:highlight w:val="none"/>
                      <w14:textFill>
                        <w14:solidFill>
                          <w14:schemeClr w14:val="tx1"/>
                        </w14:solidFill>
                      </w14:textFill>
                    </w:rPr>
                    <w:t>依托内容</w:t>
                  </w:r>
                </w:p>
              </w:tc>
              <w:tc>
                <w:tcPr>
                  <w:tcW w:w="4888" w:type="dxa"/>
                  <w:tcBorders>
                    <w:tl2br w:val="nil"/>
                    <w:tr2bl w:val="nil"/>
                  </w:tcBorders>
                  <w:noWrap/>
                  <w:vAlign w:val="center"/>
                </w:tcPr>
                <w:p w14:paraId="3CF608F3">
                  <w:pPr>
                    <w:pStyle w:val="21"/>
                    <w:adjustRightInd w:val="0"/>
                    <w:snapToGrid w:val="0"/>
                    <w:spacing w:before="0" w:beforeAutospacing="0" w:after="0" w:afterAutospacing="0"/>
                    <w:jc w:val="center"/>
                    <w:rPr>
                      <w:rFonts w:ascii="Times New Roman" w:hAnsi="Times New Roman" w:eastAsia="宋体" w:cs="Times New Roman"/>
                      <w:bCs/>
                      <w:color w:val="000000" w:themeColor="text1"/>
                      <w:kern w:val="2"/>
                      <w:sz w:val="21"/>
                      <w:szCs w:val="21"/>
                      <w:highlight w:val="none"/>
                      <w14:textFill>
                        <w14:solidFill>
                          <w14:schemeClr w14:val="tx1"/>
                        </w14:solidFill>
                      </w14:textFill>
                    </w:rPr>
                  </w:pPr>
                  <w:r>
                    <w:rPr>
                      <w:rFonts w:ascii="Times New Roman" w:hAnsi="Times New Roman" w:cs="Times New Roman"/>
                      <w:bCs/>
                      <w:color w:val="000000" w:themeColor="text1"/>
                      <w:kern w:val="2"/>
                      <w:sz w:val="21"/>
                      <w:szCs w:val="21"/>
                      <w:highlight w:val="none"/>
                      <w14:textFill>
                        <w14:solidFill>
                          <w14:schemeClr w14:val="tx1"/>
                        </w14:solidFill>
                      </w14:textFill>
                    </w:rPr>
                    <w:t>依托来源及能力</w:t>
                  </w:r>
                </w:p>
              </w:tc>
              <w:tc>
                <w:tcPr>
                  <w:tcW w:w="1404" w:type="dxa"/>
                  <w:tcBorders>
                    <w:tl2br w:val="nil"/>
                    <w:tr2bl w:val="nil"/>
                  </w:tcBorders>
                  <w:noWrap/>
                  <w:vAlign w:val="center"/>
                </w:tcPr>
                <w:p w14:paraId="45C22479">
                  <w:pPr>
                    <w:pStyle w:val="21"/>
                    <w:adjustRightInd w:val="0"/>
                    <w:snapToGrid w:val="0"/>
                    <w:spacing w:before="0" w:beforeAutospacing="0" w:after="0" w:afterAutospacing="0"/>
                    <w:jc w:val="center"/>
                    <w:rPr>
                      <w:rFonts w:ascii="Times New Roman" w:hAnsi="Times New Roman" w:eastAsia="宋体" w:cs="Times New Roman"/>
                      <w:bCs/>
                      <w:color w:val="000000" w:themeColor="text1"/>
                      <w:kern w:val="2"/>
                      <w:sz w:val="21"/>
                      <w:szCs w:val="21"/>
                      <w:highlight w:val="none"/>
                      <w14:textFill>
                        <w14:solidFill>
                          <w14:schemeClr w14:val="tx1"/>
                        </w14:solidFill>
                      </w14:textFill>
                    </w:rPr>
                  </w:pPr>
                  <w:r>
                    <w:rPr>
                      <w:rFonts w:ascii="Times New Roman" w:hAnsi="Times New Roman" w:cs="Times New Roman"/>
                      <w:bCs/>
                      <w:color w:val="000000" w:themeColor="text1"/>
                      <w:kern w:val="2"/>
                      <w:sz w:val="21"/>
                      <w:szCs w:val="21"/>
                      <w:highlight w:val="none"/>
                      <w14:textFill>
                        <w14:solidFill>
                          <w14:schemeClr w14:val="tx1"/>
                        </w14:solidFill>
                      </w14:textFill>
                    </w:rPr>
                    <w:t>依托可行性</w:t>
                  </w:r>
                </w:p>
              </w:tc>
            </w:tr>
            <w:tr w14:paraId="08F32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18" w:type="dxa"/>
                  <w:tcBorders>
                    <w:tl2br w:val="nil"/>
                    <w:tr2bl w:val="nil"/>
                  </w:tcBorders>
                  <w:noWrap/>
                  <w:vAlign w:val="center"/>
                </w:tcPr>
                <w:p w14:paraId="062F2596">
                  <w:pPr>
                    <w:pStyle w:val="49"/>
                    <w:spacing w:line="240" w:lineRule="auto"/>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1</w:t>
                  </w:r>
                </w:p>
              </w:tc>
              <w:tc>
                <w:tcPr>
                  <w:tcW w:w="1100" w:type="dxa"/>
                  <w:tcBorders>
                    <w:tl2br w:val="nil"/>
                    <w:tr2bl w:val="nil"/>
                  </w:tcBorders>
                  <w:noWrap/>
                  <w:vAlign w:val="center"/>
                </w:tcPr>
                <w:p w14:paraId="59C19381">
                  <w:pPr>
                    <w:pStyle w:val="49"/>
                    <w:spacing w:line="240" w:lineRule="auto"/>
                    <w:ind w:firstLine="0" w:firstLineChars="0"/>
                    <w:jc w:val="center"/>
                    <w:rPr>
                      <w:rFonts w:ascii="Times New Roman" w:hAnsi="Times New Roman" w:eastAsia="宋体"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供电</w:t>
                  </w:r>
                </w:p>
              </w:tc>
              <w:tc>
                <w:tcPr>
                  <w:tcW w:w="4888" w:type="dxa"/>
                  <w:tcBorders>
                    <w:tl2br w:val="nil"/>
                    <w:tr2bl w:val="nil"/>
                  </w:tcBorders>
                  <w:noWrap/>
                  <w:vAlign w:val="center"/>
                </w:tcPr>
                <w:p w14:paraId="7244958D">
                  <w:pPr>
                    <w:pStyle w:val="49"/>
                    <w:spacing w:line="240" w:lineRule="auto"/>
                    <w:ind w:firstLine="0" w:firstLineChars="0"/>
                    <w:jc w:val="center"/>
                    <w:rPr>
                      <w:rFonts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14:textFill>
                        <w14:solidFill>
                          <w14:schemeClr w14:val="tx1"/>
                        </w14:solidFill>
                      </w14:textFill>
                    </w:rPr>
                    <w:t>重庆坤坤农业装备制造有限公司</w:t>
                  </w:r>
                  <w:r>
                    <w:rPr>
                      <w:rFonts w:ascii="Times New Roman" w:hAnsi="Times New Roman" w:cs="Times New Roman"/>
                      <w:bCs/>
                      <w:color w:val="000000" w:themeColor="text1"/>
                      <w:sz w:val="21"/>
                      <w:szCs w:val="21"/>
                      <w:highlight w:val="none"/>
                      <w14:textFill>
                        <w14:solidFill>
                          <w14:schemeClr w14:val="tx1"/>
                        </w14:solidFill>
                      </w14:textFill>
                    </w:rPr>
                    <w:t>现有</w:t>
                  </w:r>
                  <w:r>
                    <w:rPr>
                      <w:rFonts w:hint="eastAsia" w:ascii="Times New Roman" w:hAnsi="Times New Roman" w:cs="Times New Roman"/>
                      <w:bCs/>
                      <w:color w:val="000000" w:themeColor="text1"/>
                      <w:sz w:val="21"/>
                      <w:szCs w:val="21"/>
                      <w:highlight w:val="none"/>
                      <w14:textFill>
                        <w14:solidFill>
                          <w14:schemeClr w14:val="tx1"/>
                        </w14:solidFill>
                      </w14:textFill>
                    </w:rPr>
                    <w:t>配套设施</w:t>
                  </w:r>
                  <w:r>
                    <w:rPr>
                      <w:rFonts w:ascii="Times New Roman" w:hAnsi="Times New Roman" w:cs="Times New Roman"/>
                      <w:bCs/>
                      <w:color w:val="000000" w:themeColor="text1"/>
                      <w:sz w:val="21"/>
                      <w:szCs w:val="21"/>
                      <w:highlight w:val="none"/>
                      <w14:textFill>
                        <w14:solidFill>
                          <w14:schemeClr w14:val="tx1"/>
                        </w14:solidFill>
                      </w14:textFill>
                    </w:rPr>
                    <w:t>供电系统接入</w:t>
                  </w:r>
                </w:p>
              </w:tc>
              <w:tc>
                <w:tcPr>
                  <w:tcW w:w="1404" w:type="dxa"/>
                  <w:tcBorders>
                    <w:tl2br w:val="nil"/>
                    <w:tr2bl w:val="nil"/>
                  </w:tcBorders>
                  <w:noWrap/>
                  <w:vAlign w:val="center"/>
                </w:tcPr>
                <w:p w14:paraId="4C2A2C52">
                  <w:pPr>
                    <w:pStyle w:val="49"/>
                    <w:spacing w:line="240" w:lineRule="auto"/>
                    <w:ind w:firstLine="0" w:firstLineChars="0"/>
                    <w:jc w:val="center"/>
                    <w:rPr>
                      <w:rFonts w:ascii="Times New Roman" w:hAnsi="Times New Roman" w:eastAsia="宋体"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可行</w:t>
                  </w:r>
                </w:p>
              </w:tc>
            </w:tr>
            <w:tr w14:paraId="69EA1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dxa"/>
                  <w:tcBorders>
                    <w:tl2br w:val="nil"/>
                    <w:tr2bl w:val="nil"/>
                  </w:tcBorders>
                  <w:noWrap/>
                  <w:vAlign w:val="center"/>
                </w:tcPr>
                <w:p w14:paraId="733C27B5">
                  <w:pPr>
                    <w:pStyle w:val="49"/>
                    <w:spacing w:line="240" w:lineRule="auto"/>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2</w:t>
                  </w:r>
                </w:p>
              </w:tc>
              <w:tc>
                <w:tcPr>
                  <w:tcW w:w="1100" w:type="dxa"/>
                  <w:tcBorders>
                    <w:tl2br w:val="nil"/>
                    <w:tr2bl w:val="nil"/>
                  </w:tcBorders>
                  <w:noWrap/>
                  <w:vAlign w:val="center"/>
                </w:tcPr>
                <w:p w14:paraId="65CC43E9">
                  <w:pPr>
                    <w:pStyle w:val="49"/>
                    <w:spacing w:line="240" w:lineRule="auto"/>
                    <w:ind w:firstLine="0" w:firstLineChars="0"/>
                    <w:jc w:val="center"/>
                    <w:rPr>
                      <w:rFonts w:ascii="Times New Roman" w:hAnsi="Times New Roman" w:eastAsia="宋体"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供水</w:t>
                  </w:r>
                </w:p>
              </w:tc>
              <w:tc>
                <w:tcPr>
                  <w:tcW w:w="4888" w:type="dxa"/>
                  <w:tcBorders>
                    <w:tl2br w:val="nil"/>
                    <w:tr2bl w:val="nil"/>
                  </w:tcBorders>
                  <w:noWrap/>
                  <w:vAlign w:val="center"/>
                </w:tcPr>
                <w:p w14:paraId="685636E8">
                  <w:pPr>
                    <w:pStyle w:val="49"/>
                    <w:spacing w:line="240" w:lineRule="auto"/>
                    <w:ind w:firstLine="0" w:firstLineChars="0"/>
                    <w:jc w:val="center"/>
                    <w:rPr>
                      <w:rFonts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14:textFill>
                        <w14:solidFill>
                          <w14:schemeClr w14:val="tx1"/>
                        </w14:solidFill>
                      </w14:textFill>
                    </w:rPr>
                    <w:t>重庆坤坤农业装备制造有限公司</w:t>
                  </w:r>
                  <w:r>
                    <w:rPr>
                      <w:rFonts w:ascii="Times New Roman" w:hAnsi="Times New Roman" w:cs="Times New Roman"/>
                      <w:bCs/>
                      <w:color w:val="000000" w:themeColor="text1"/>
                      <w:sz w:val="21"/>
                      <w:szCs w:val="21"/>
                      <w:highlight w:val="none"/>
                      <w14:textFill>
                        <w14:solidFill>
                          <w14:schemeClr w14:val="tx1"/>
                        </w14:solidFill>
                      </w14:textFill>
                    </w:rPr>
                    <w:t>现有</w:t>
                  </w:r>
                  <w:r>
                    <w:rPr>
                      <w:rFonts w:hint="eastAsia" w:ascii="Times New Roman" w:hAnsi="Times New Roman" w:cs="Times New Roman"/>
                      <w:bCs/>
                      <w:color w:val="000000" w:themeColor="text1"/>
                      <w:sz w:val="21"/>
                      <w:szCs w:val="21"/>
                      <w:highlight w:val="none"/>
                      <w14:textFill>
                        <w14:solidFill>
                          <w14:schemeClr w14:val="tx1"/>
                        </w14:solidFill>
                      </w14:textFill>
                    </w:rPr>
                    <w:t>配套设施</w:t>
                  </w:r>
                  <w:r>
                    <w:rPr>
                      <w:rFonts w:ascii="Times New Roman" w:hAnsi="Times New Roman" w:cs="Times New Roman"/>
                      <w:bCs/>
                      <w:color w:val="000000" w:themeColor="text1"/>
                      <w:sz w:val="21"/>
                      <w:szCs w:val="21"/>
                      <w:highlight w:val="none"/>
                      <w14:textFill>
                        <w14:solidFill>
                          <w14:schemeClr w14:val="tx1"/>
                        </w14:solidFill>
                      </w14:textFill>
                    </w:rPr>
                    <w:t>供水系统接入</w:t>
                  </w:r>
                </w:p>
              </w:tc>
              <w:tc>
                <w:tcPr>
                  <w:tcW w:w="1404" w:type="dxa"/>
                  <w:tcBorders>
                    <w:tl2br w:val="nil"/>
                    <w:tr2bl w:val="nil"/>
                  </w:tcBorders>
                  <w:noWrap/>
                  <w:vAlign w:val="center"/>
                </w:tcPr>
                <w:p w14:paraId="4E854663">
                  <w:pPr>
                    <w:pStyle w:val="49"/>
                    <w:spacing w:line="240" w:lineRule="auto"/>
                    <w:ind w:firstLine="0" w:firstLineChars="0"/>
                    <w:jc w:val="center"/>
                    <w:rPr>
                      <w:rFonts w:ascii="Times New Roman" w:hAnsi="Times New Roman" w:eastAsia="宋体"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可行</w:t>
                  </w:r>
                </w:p>
              </w:tc>
            </w:tr>
            <w:tr w14:paraId="65E4E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18" w:type="dxa"/>
                  <w:tcBorders>
                    <w:tl2br w:val="nil"/>
                    <w:tr2bl w:val="nil"/>
                  </w:tcBorders>
                  <w:noWrap/>
                  <w:vAlign w:val="center"/>
                </w:tcPr>
                <w:p w14:paraId="53A34F3C">
                  <w:pPr>
                    <w:pStyle w:val="49"/>
                    <w:spacing w:line="240" w:lineRule="auto"/>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3</w:t>
                  </w:r>
                </w:p>
              </w:tc>
              <w:tc>
                <w:tcPr>
                  <w:tcW w:w="1100" w:type="dxa"/>
                  <w:tcBorders>
                    <w:tl2br w:val="nil"/>
                    <w:tr2bl w:val="nil"/>
                  </w:tcBorders>
                  <w:noWrap/>
                  <w:vAlign w:val="center"/>
                </w:tcPr>
                <w:p w14:paraId="3B238BFC">
                  <w:pPr>
                    <w:pStyle w:val="49"/>
                    <w:spacing w:line="240" w:lineRule="auto"/>
                    <w:ind w:firstLine="0" w:firstLineChars="0"/>
                    <w:jc w:val="center"/>
                    <w:rPr>
                      <w:rFonts w:ascii="Times New Roman" w:hAnsi="Times New Roman" w:eastAsia="宋体"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排水</w:t>
                  </w:r>
                </w:p>
              </w:tc>
              <w:tc>
                <w:tcPr>
                  <w:tcW w:w="4888" w:type="dxa"/>
                  <w:tcBorders>
                    <w:tl2br w:val="nil"/>
                    <w:tr2bl w:val="nil"/>
                  </w:tcBorders>
                  <w:noWrap/>
                  <w:vAlign w:val="center"/>
                </w:tcPr>
                <w:p w14:paraId="5DBE1E8F">
                  <w:pPr>
                    <w:pStyle w:val="49"/>
                    <w:spacing w:line="240" w:lineRule="auto"/>
                    <w:ind w:firstLine="0" w:firstLineChars="0"/>
                    <w:rPr>
                      <w:rFonts w:ascii="Times New Roman" w:hAnsi="Times New Roman"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14:textFill>
                        <w14:solidFill>
                          <w14:schemeClr w14:val="tx1"/>
                        </w14:solidFill>
                      </w14:textFill>
                    </w:rPr>
                    <w:t>重庆坤坤农业装备制造有限公司</w:t>
                  </w:r>
                  <w:r>
                    <w:rPr>
                      <w:rFonts w:ascii="Times New Roman" w:hAnsi="Times New Roman" w:cs="Times New Roman"/>
                      <w:bCs/>
                      <w:color w:val="000000" w:themeColor="text1"/>
                      <w:sz w:val="21"/>
                      <w:szCs w:val="21"/>
                      <w:highlight w:val="none"/>
                      <w14:textFill>
                        <w14:solidFill>
                          <w14:schemeClr w14:val="tx1"/>
                        </w14:solidFill>
                      </w14:textFill>
                    </w:rPr>
                    <w:t>现有</w:t>
                  </w:r>
                  <w:r>
                    <w:rPr>
                      <w:rFonts w:hint="eastAsia" w:ascii="Times New Roman" w:hAnsi="Times New Roman" w:cs="Times New Roman"/>
                      <w:bCs/>
                      <w:color w:val="000000" w:themeColor="text1"/>
                      <w:sz w:val="21"/>
                      <w:szCs w:val="21"/>
                      <w:highlight w:val="none"/>
                      <w14:textFill>
                        <w14:solidFill>
                          <w14:schemeClr w14:val="tx1"/>
                        </w14:solidFill>
                      </w14:textFill>
                    </w:rPr>
                    <w:t>配套设施接入</w:t>
                  </w:r>
                  <w:r>
                    <w:rPr>
                      <w:rFonts w:ascii="Times New Roman" w:hAnsi="Times New Roman" w:cs="Times New Roman"/>
                      <w:bCs/>
                      <w:color w:val="000000" w:themeColor="text1"/>
                      <w:sz w:val="21"/>
                      <w:szCs w:val="21"/>
                      <w:highlight w:val="none"/>
                      <w14:textFill>
                        <w14:solidFill>
                          <w14:schemeClr w14:val="tx1"/>
                        </w14:solidFill>
                      </w14:textFill>
                    </w:rPr>
                    <w:t>园区管网</w:t>
                  </w:r>
                  <w:r>
                    <w:rPr>
                      <w:rFonts w:hint="eastAsia" w:ascii="Times New Roman" w:hAnsi="Times New Roman" w:cs="Times New Roman"/>
                      <w:bCs/>
                      <w:color w:val="000000" w:themeColor="text1"/>
                      <w:sz w:val="21"/>
                      <w:szCs w:val="21"/>
                      <w:highlight w:val="none"/>
                      <w14:textFill>
                        <w14:solidFill>
                          <w14:schemeClr w14:val="tx1"/>
                        </w14:solidFill>
                      </w14:textFill>
                    </w:rPr>
                    <w:t>，</w:t>
                  </w:r>
                  <w:r>
                    <w:rPr>
                      <w:rFonts w:ascii="Times New Roman" w:hAnsi="Times New Roman" w:cs="Times New Roman"/>
                      <w:bCs/>
                      <w:color w:val="000000" w:themeColor="text1"/>
                      <w:sz w:val="21"/>
                      <w:szCs w:val="21"/>
                      <w:highlight w:val="none"/>
                      <w14:textFill>
                        <w14:solidFill>
                          <w14:schemeClr w14:val="tx1"/>
                        </w14:solidFill>
                      </w14:textFill>
                    </w:rPr>
                    <w:t>排入</w:t>
                  </w:r>
                  <w:r>
                    <w:rPr>
                      <w:rFonts w:hint="eastAsia" w:ascii="Times New Roman" w:hAnsi="Times New Roman" w:cs="Times New Roman"/>
                      <w:bCs/>
                      <w:color w:val="000000" w:themeColor="text1"/>
                      <w:sz w:val="21"/>
                      <w:szCs w:val="21"/>
                      <w:highlight w:val="none"/>
                      <w14:textFill>
                        <w14:solidFill>
                          <w14:schemeClr w14:val="tx1"/>
                        </w14:solidFill>
                      </w14:textFill>
                    </w:rPr>
                    <w:t>西彭园区</w:t>
                  </w:r>
                  <w:r>
                    <w:rPr>
                      <w:rFonts w:ascii="Times New Roman" w:hAnsi="Times New Roman" w:cs="Times New Roman"/>
                      <w:bCs/>
                      <w:color w:val="000000" w:themeColor="text1"/>
                      <w:sz w:val="21"/>
                      <w:szCs w:val="21"/>
                      <w:highlight w:val="none"/>
                      <w14:textFill>
                        <w14:solidFill>
                          <w14:schemeClr w14:val="tx1"/>
                        </w14:solidFill>
                      </w14:textFill>
                    </w:rPr>
                    <w:t>污水处理厂处置后排放。</w:t>
                  </w:r>
                </w:p>
              </w:tc>
              <w:tc>
                <w:tcPr>
                  <w:tcW w:w="1404" w:type="dxa"/>
                  <w:tcBorders>
                    <w:tl2br w:val="nil"/>
                    <w:tr2bl w:val="nil"/>
                  </w:tcBorders>
                  <w:noWrap/>
                  <w:vAlign w:val="center"/>
                </w:tcPr>
                <w:p w14:paraId="61A72FE2">
                  <w:pPr>
                    <w:pStyle w:val="49"/>
                    <w:spacing w:line="240" w:lineRule="auto"/>
                    <w:ind w:firstLine="0" w:firstLineChars="0"/>
                    <w:jc w:val="center"/>
                    <w:rPr>
                      <w:rFonts w:ascii="Times New Roman" w:hAnsi="Times New Roman" w:eastAsia="宋体"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可行</w:t>
                  </w:r>
                </w:p>
              </w:tc>
            </w:tr>
            <w:tr w14:paraId="42948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18" w:type="dxa"/>
                  <w:tcBorders>
                    <w:tl2br w:val="nil"/>
                    <w:tr2bl w:val="nil"/>
                  </w:tcBorders>
                  <w:noWrap/>
                  <w:vAlign w:val="center"/>
                </w:tcPr>
                <w:p w14:paraId="1A4F376B">
                  <w:pPr>
                    <w:pStyle w:val="49"/>
                    <w:spacing w:line="240" w:lineRule="auto"/>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4</w:t>
                  </w:r>
                </w:p>
              </w:tc>
              <w:tc>
                <w:tcPr>
                  <w:tcW w:w="1100" w:type="dxa"/>
                  <w:tcBorders>
                    <w:tl2br w:val="nil"/>
                    <w:tr2bl w:val="nil"/>
                  </w:tcBorders>
                  <w:noWrap/>
                  <w:vAlign w:val="center"/>
                </w:tcPr>
                <w:p w14:paraId="6C0DB638">
                  <w:pPr>
                    <w:pStyle w:val="49"/>
                    <w:spacing w:line="240" w:lineRule="auto"/>
                    <w:ind w:firstLine="0" w:firstLineChars="0"/>
                    <w:jc w:val="center"/>
                    <w:rPr>
                      <w:rFonts w:ascii="Times New Roman" w:hAnsi="Times New Roman"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14:textFill>
                        <w14:solidFill>
                          <w14:schemeClr w14:val="tx1"/>
                        </w14:solidFill>
                      </w14:textFill>
                    </w:rPr>
                    <w:t>废水</w:t>
                  </w:r>
                  <w:r>
                    <w:rPr>
                      <w:rFonts w:ascii="Times New Roman" w:hAnsi="Times New Roman" w:cs="Times New Roman"/>
                      <w:bCs/>
                      <w:color w:val="000000" w:themeColor="text1"/>
                      <w:sz w:val="21"/>
                      <w:szCs w:val="21"/>
                      <w:highlight w:val="none"/>
                      <w14:textFill>
                        <w14:solidFill>
                          <w14:schemeClr w14:val="tx1"/>
                        </w14:solidFill>
                      </w14:textFill>
                    </w:rPr>
                    <w:t>处理设施</w:t>
                  </w:r>
                </w:p>
              </w:tc>
              <w:tc>
                <w:tcPr>
                  <w:tcW w:w="4888" w:type="dxa"/>
                  <w:tcBorders>
                    <w:tl2br w:val="nil"/>
                    <w:tr2bl w:val="nil"/>
                  </w:tcBorders>
                  <w:noWrap/>
                  <w:vAlign w:val="center"/>
                </w:tcPr>
                <w:p w14:paraId="651484F1">
                  <w:pPr>
                    <w:pStyle w:val="49"/>
                    <w:spacing w:line="240" w:lineRule="auto"/>
                    <w:ind w:firstLine="0" w:firstLineChars="0"/>
                    <w:rPr>
                      <w:rFonts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14:textFill>
                        <w14:solidFill>
                          <w14:schemeClr w14:val="tx1"/>
                        </w14:solidFill>
                      </w14:textFill>
                    </w:rPr>
                    <w:t>项目无生产废水产生，生活污水产生量为0.45</w:t>
                  </w:r>
                  <w:r>
                    <w:rPr>
                      <w:rFonts w:ascii="Times New Roman" w:hAnsi="Times New Roman" w:cs="Times New Roman"/>
                      <w:bCs/>
                      <w:color w:val="000000" w:themeColor="text1"/>
                      <w:sz w:val="21"/>
                      <w:szCs w:val="21"/>
                      <w:highlight w:val="none"/>
                      <w14:textFill>
                        <w14:solidFill>
                          <w14:schemeClr w14:val="tx1"/>
                        </w14:solidFill>
                      </w14:textFill>
                    </w:rPr>
                    <w:t>m</w:t>
                  </w:r>
                  <w:r>
                    <w:rPr>
                      <w:rFonts w:ascii="Times New Roman" w:hAnsi="Times New Roman" w:cs="Times New Roman"/>
                      <w:bCs/>
                      <w:color w:val="000000" w:themeColor="text1"/>
                      <w:sz w:val="21"/>
                      <w:szCs w:val="21"/>
                      <w:highlight w:val="none"/>
                      <w:vertAlign w:val="superscript"/>
                      <w14:textFill>
                        <w14:solidFill>
                          <w14:schemeClr w14:val="tx1"/>
                        </w14:solidFill>
                      </w14:textFill>
                    </w:rPr>
                    <w:t>3</w:t>
                  </w:r>
                  <w:r>
                    <w:rPr>
                      <w:rFonts w:ascii="Times New Roman" w:hAnsi="Times New Roman" w:cs="Times New Roman"/>
                      <w:bCs/>
                      <w:color w:val="000000" w:themeColor="text1"/>
                      <w:sz w:val="21"/>
                      <w:szCs w:val="21"/>
                      <w:highlight w:val="none"/>
                      <w14:textFill>
                        <w14:solidFill>
                          <w14:schemeClr w14:val="tx1"/>
                        </w14:solidFill>
                      </w14:textFill>
                    </w:rPr>
                    <w:t>/d</w:t>
                  </w:r>
                  <w:r>
                    <w:rPr>
                      <w:rFonts w:hint="eastAsia" w:ascii="Times New Roman" w:hAnsi="Times New Roman" w:cs="Times New Roman"/>
                      <w:bCs/>
                      <w:color w:val="000000" w:themeColor="text1"/>
                      <w:sz w:val="21"/>
                      <w:szCs w:val="21"/>
                      <w:highlight w:val="none"/>
                      <w14:textFill>
                        <w14:solidFill>
                          <w14:schemeClr w14:val="tx1"/>
                        </w14:solidFill>
                      </w14:textFill>
                    </w:rPr>
                    <w:t>，重庆坤坤农业装备制造有限公司生化池处置规模</w:t>
                  </w:r>
                  <w:r>
                    <w:rPr>
                      <w:rFonts w:ascii="Times New Roman" w:hAnsi="Times New Roman" w:cs="Times New Roman"/>
                      <w:bCs/>
                      <w:color w:val="000000" w:themeColor="text1"/>
                      <w:sz w:val="21"/>
                      <w:szCs w:val="21"/>
                      <w:highlight w:val="none"/>
                      <w14:textFill>
                        <w14:solidFill>
                          <w14:schemeClr w14:val="tx1"/>
                        </w14:solidFill>
                      </w14:textFill>
                    </w:rPr>
                    <w:t>为</w:t>
                  </w:r>
                  <w:r>
                    <w:rPr>
                      <w:rFonts w:hint="eastAsia" w:ascii="Times New Roman" w:hAnsi="Times New Roman" w:cs="Times New Roman"/>
                      <w:bCs/>
                      <w:color w:val="000000" w:themeColor="text1"/>
                      <w:sz w:val="21"/>
                      <w:szCs w:val="21"/>
                      <w:highlight w:val="none"/>
                      <w14:textFill>
                        <w14:solidFill>
                          <w14:schemeClr w14:val="tx1"/>
                        </w14:solidFill>
                      </w14:textFill>
                    </w:rPr>
                    <w:t>20</w:t>
                  </w:r>
                  <w:r>
                    <w:rPr>
                      <w:rFonts w:ascii="Times New Roman" w:hAnsi="Times New Roman" w:cs="Times New Roman"/>
                      <w:bCs/>
                      <w:color w:val="000000" w:themeColor="text1"/>
                      <w:sz w:val="21"/>
                      <w:szCs w:val="21"/>
                      <w:highlight w:val="none"/>
                      <w14:textFill>
                        <w14:solidFill>
                          <w14:schemeClr w14:val="tx1"/>
                        </w14:solidFill>
                      </w14:textFill>
                    </w:rPr>
                    <w:t>m</w:t>
                  </w:r>
                  <w:r>
                    <w:rPr>
                      <w:rFonts w:ascii="Times New Roman" w:hAnsi="Times New Roman" w:cs="Times New Roman"/>
                      <w:bCs/>
                      <w:color w:val="000000" w:themeColor="text1"/>
                      <w:sz w:val="21"/>
                      <w:szCs w:val="21"/>
                      <w:highlight w:val="none"/>
                      <w:vertAlign w:val="superscript"/>
                      <w14:textFill>
                        <w14:solidFill>
                          <w14:schemeClr w14:val="tx1"/>
                        </w14:solidFill>
                      </w14:textFill>
                    </w:rPr>
                    <w:t>3</w:t>
                  </w:r>
                  <w:r>
                    <w:rPr>
                      <w:rFonts w:ascii="Times New Roman" w:hAnsi="Times New Roman" w:cs="Times New Roman"/>
                      <w:bCs/>
                      <w:color w:val="000000" w:themeColor="text1"/>
                      <w:sz w:val="21"/>
                      <w:szCs w:val="21"/>
                      <w:highlight w:val="none"/>
                      <w14:textFill>
                        <w14:solidFill>
                          <w14:schemeClr w14:val="tx1"/>
                        </w14:solidFill>
                      </w14:textFill>
                    </w:rPr>
                    <w:t>/d，</w:t>
                  </w:r>
                  <w:r>
                    <w:rPr>
                      <w:rFonts w:hint="eastAsia" w:ascii="Times New Roman" w:hAnsi="Times New Roman" w:cs="Times New Roman"/>
                      <w:bCs/>
                      <w:color w:val="000000" w:themeColor="text1"/>
                      <w:sz w:val="21"/>
                      <w:szCs w:val="21"/>
                      <w:highlight w:val="none"/>
                      <w14:textFill>
                        <w14:solidFill>
                          <w14:schemeClr w14:val="tx1"/>
                        </w14:solidFill>
                      </w14:textFill>
                    </w:rPr>
                    <w:t>目前富余处理能力约7.5</w:t>
                  </w:r>
                  <w:r>
                    <w:rPr>
                      <w:rFonts w:ascii="Times New Roman" w:hAnsi="Times New Roman" w:cs="Times New Roman"/>
                      <w:bCs/>
                      <w:color w:val="000000" w:themeColor="text1"/>
                      <w:sz w:val="21"/>
                      <w:szCs w:val="21"/>
                      <w:highlight w:val="none"/>
                      <w14:textFill>
                        <w14:solidFill>
                          <w14:schemeClr w14:val="tx1"/>
                        </w14:solidFill>
                      </w14:textFill>
                    </w:rPr>
                    <w:t>m</w:t>
                  </w:r>
                  <w:r>
                    <w:rPr>
                      <w:rFonts w:ascii="Times New Roman" w:hAnsi="Times New Roman" w:cs="Times New Roman"/>
                      <w:bCs/>
                      <w:color w:val="000000" w:themeColor="text1"/>
                      <w:sz w:val="21"/>
                      <w:szCs w:val="21"/>
                      <w:highlight w:val="none"/>
                      <w:vertAlign w:val="superscript"/>
                      <w14:textFill>
                        <w14:solidFill>
                          <w14:schemeClr w14:val="tx1"/>
                        </w14:solidFill>
                      </w14:textFill>
                    </w:rPr>
                    <w:t>3</w:t>
                  </w:r>
                  <w:r>
                    <w:rPr>
                      <w:rFonts w:ascii="Times New Roman" w:hAnsi="Times New Roman" w:cs="Times New Roman"/>
                      <w:bCs/>
                      <w:color w:val="000000" w:themeColor="text1"/>
                      <w:sz w:val="21"/>
                      <w:szCs w:val="21"/>
                      <w:highlight w:val="none"/>
                      <w14:textFill>
                        <w14:solidFill>
                          <w14:schemeClr w14:val="tx1"/>
                        </w14:solidFill>
                      </w14:textFill>
                    </w:rPr>
                    <w:t>/</w:t>
                  </w:r>
                  <w:r>
                    <w:rPr>
                      <w:rFonts w:hint="eastAsia" w:ascii="Times New Roman" w:hAnsi="Times New Roman" w:cs="Times New Roman"/>
                      <w:bCs/>
                      <w:color w:val="000000" w:themeColor="text1"/>
                      <w:sz w:val="21"/>
                      <w:szCs w:val="21"/>
                      <w:highlight w:val="none"/>
                      <w14:textFill>
                        <w14:solidFill>
                          <w14:schemeClr w14:val="tx1"/>
                        </w14:solidFill>
                      </w14:textFill>
                    </w:rPr>
                    <w:t>d，</w:t>
                  </w:r>
                  <w:r>
                    <w:rPr>
                      <w:rFonts w:hint="eastAsia" w:ascii="Times New Roman" w:hAnsi="Times New Roman" w:cs="Times New Roman"/>
                      <w:b/>
                      <w:color w:val="000000" w:themeColor="text1"/>
                      <w:sz w:val="21"/>
                      <w:szCs w:val="21"/>
                      <w:highlight w:val="none"/>
                      <w14:textFill>
                        <w14:solidFill>
                          <w14:schemeClr w14:val="tx1"/>
                        </w14:solidFill>
                      </w14:textFill>
                    </w:rPr>
                    <w:t>废水依托处置协议详见附件3。</w:t>
                  </w:r>
                  <w:r>
                    <w:rPr>
                      <w:rFonts w:hint="eastAsia" w:ascii="Times New Roman" w:hAnsi="Times New Roman" w:cs="Times New Roman"/>
                      <w:bCs/>
                      <w:color w:val="000000" w:themeColor="text1"/>
                      <w:sz w:val="21"/>
                      <w:szCs w:val="21"/>
                      <w:highlight w:val="none"/>
                      <w14:textFill>
                        <w14:solidFill>
                          <w14:schemeClr w14:val="tx1"/>
                        </w14:solidFill>
                      </w14:textFill>
                    </w:rPr>
                    <w:t>从处置规模及达标可行性分析，该生化池本</w:t>
                  </w:r>
                  <w:r>
                    <w:rPr>
                      <w:rFonts w:ascii="Times New Roman" w:hAnsi="Times New Roman" w:cs="Times New Roman"/>
                      <w:bCs/>
                      <w:color w:val="000000" w:themeColor="text1"/>
                      <w:sz w:val="21"/>
                      <w:szCs w:val="21"/>
                      <w:highlight w:val="none"/>
                      <w14:textFill>
                        <w14:solidFill>
                          <w14:schemeClr w14:val="tx1"/>
                        </w14:solidFill>
                      </w14:textFill>
                    </w:rPr>
                    <w:t>项目依托可行。</w:t>
                  </w:r>
                </w:p>
              </w:tc>
              <w:tc>
                <w:tcPr>
                  <w:tcW w:w="1404" w:type="dxa"/>
                  <w:tcBorders>
                    <w:tl2br w:val="nil"/>
                    <w:tr2bl w:val="nil"/>
                  </w:tcBorders>
                  <w:noWrap/>
                  <w:vAlign w:val="center"/>
                </w:tcPr>
                <w:p w14:paraId="5F3D0277">
                  <w:pPr>
                    <w:pStyle w:val="49"/>
                    <w:spacing w:line="240" w:lineRule="auto"/>
                    <w:ind w:firstLine="0" w:firstLineChars="0"/>
                    <w:jc w:val="center"/>
                    <w:rPr>
                      <w:rFonts w:ascii="Times New Roman" w:hAnsi="Times New Roman" w:eastAsia="宋体"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可行</w:t>
                  </w:r>
                </w:p>
              </w:tc>
            </w:tr>
          </w:tbl>
          <w:p w14:paraId="56C598B6">
            <w:pPr>
              <w:spacing w:before="31" w:beforeLines="10" w:after="31" w:afterLines="10"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2.4、产品方案</w:t>
            </w:r>
          </w:p>
          <w:p w14:paraId="75807301">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（1）产品方案</w:t>
            </w:r>
          </w:p>
          <w:p w14:paraId="0F0AA744">
            <w:pPr>
              <w:spacing w:line="372" w:lineRule="auto"/>
              <w:ind w:firstLine="480" w:firstLineChars="200"/>
              <w:rPr>
                <w:rFonts w:hint="eastAsia" w:ascii="Times New Roman" w:hAnsi="Times New Roman" w:eastAsia="宋体"/>
                <w:color w:val="000000" w:themeColor="text1"/>
                <w:sz w:val="24"/>
                <w:highlight w:val="none"/>
                <w:lang w:eastAsia="zh-CN"/>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w:t>
            </w:r>
            <w:r>
              <w:rPr>
                <w:rFonts w:hint="eastAsia" w:ascii="Times New Roman" w:hAnsi="Times New Roman" w:eastAsia="宋体"/>
                <w:color w:val="000000" w:themeColor="text1"/>
                <w:sz w:val="24"/>
                <w:highlight w:val="none"/>
                <w:lang w:eastAsia="zh-CN"/>
                <w14:textFill>
                  <w14:solidFill>
                    <w14:schemeClr w14:val="tx1"/>
                  </w14:solidFill>
                </w14:textFill>
              </w:rPr>
              <w:t>主要对外购摩托车钢圈白坯进行抛丸、喷粉加工，加工好的产品为摩托车车轮配件，主要为各摩托车生产厂家配套。</w:t>
            </w:r>
          </w:p>
          <w:p w14:paraId="5BC8D4FD">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具体产品方案见下表：</w:t>
            </w:r>
          </w:p>
          <w:p w14:paraId="429FCFD7">
            <w:pPr>
              <w:spacing w:line="360" w:lineRule="auto"/>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表2-</w:t>
            </w:r>
            <w:r>
              <w:rPr>
                <w:rFonts w:hint="eastAsia" w:ascii="Times New Roman" w:hAnsi="Times New Roman" w:eastAsia="宋体" w:cs="Times New Roman"/>
                <w:color w:val="000000" w:themeColor="text1"/>
                <w:sz w:val="24"/>
                <w:highlight w:val="none"/>
                <w14:textFill>
                  <w14:solidFill>
                    <w14:schemeClr w14:val="tx1"/>
                  </w14:solidFill>
                </w14:textFill>
              </w:rPr>
              <w:t>3</w:t>
            </w:r>
            <w:r>
              <w:rPr>
                <w:rFonts w:ascii="Times New Roman" w:hAnsi="Times New Roman" w:eastAsia="宋体" w:cs="Times New Roman"/>
                <w:color w:val="000000" w:themeColor="text1"/>
                <w:sz w:val="24"/>
                <w:highlight w:val="none"/>
                <w14:textFill>
                  <w14:solidFill>
                    <w14:schemeClr w14:val="tx1"/>
                  </w14:solidFill>
                </w14:textFill>
              </w:rPr>
              <w:t xml:space="preserve">  项目产品方案一览表</w:t>
            </w:r>
          </w:p>
          <w:tbl>
            <w:tblPr>
              <w:tblStyle w:val="27"/>
              <w:tblW w:w="48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06"/>
              <w:gridCol w:w="1245"/>
              <w:gridCol w:w="1050"/>
              <w:gridCol w:w="2685"/>
              <w:gridCol w:w="2184"/>
            </w:tblGrid>
            <w:tr w14:paraId="6B550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9" w:hRule="atLeast"/>
                <w:jc w:val="center"/>
              </w:trPr>
              <w:tc>
                <w:tcPr>
                  <w:tcW w:w="668" w:type="pct"/>
                  <w:tcBorders>
                    <w:tl2br w:val="nil"/>
                    <w:tr2bl w:val="nil"/>
                  </w:tcBorders>
                  <w:vAlign w:val="center"/>
                </w:tcPr>
                <w:p w14:paraId="07F55475">
                  <w:pPr>
                    <w:spacing w:before="68" w:beforeLines="22" w:after="68" w:afterLines="22" w:line="293"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产品名称</w:t>
                  </w:r>
                </w:p>
              </w:tc>
              <w:tc>
                <w:tcPr>
                  <w:tcW w:w="752" w:type="pct"/>
                  <w:tcBorders>
                    <w:tl2br w:val="nil"/>
                    <w:tr2bl w:val="nil"/>
                  </w:tcBorders>
                  <w:vAlign w:val="center"/>
                </w:tcPr>
                <w:p w14:paraId="69B5CED0">
                  <w:pPr>
                    <w:spacing w:before="68" w:beforeLines="22" w:after="68" w:afterLines="22" w:line="293"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产品规格</w:t>
                  </w:r>
                </w:p>
              </w:tc>
              <w:tc>
                <w:tcPr>
                  <w:tcW w:w="634" w:type="pct"/>
                  <w:tcBorders>
                    <w:tl2br w:val="nil"/>
                    <w:tr2bl w:val="nil"/>
                  </w:tcBorders>
                  <w:vAlign w:val="center"/>
                </w:tcPr>
                <w:p w14:paraId="7ECBF83F">
                  <w:pPr>
                    <w:spacing w:before="68" w:beforeLines="22" w:after="68" w:afterLines="22" w:line="293"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产能</w:t>
                  </w:r>
                </w:p>
              </w:tc>
              <w:tc>
                <w:tcPr>
                  <w:tcW w:w="1623" w:type="pct"/>
                  <w:tcBorders>
                    <w:tl2br w:val="nil"/>
                    <w:tr2bl w:val="nil"/>
                  </w:tcBorders>
                  <w:vAlign w:val="center"/>
                </w:tcPr>
                <w:p w14:paraId="71FF7E4C">
                  <w:pPr>
                    <w:spacing w:before="68" w:beforeLines="22" w:after="68" w:afterLines="22" w:line="293" w:lineRule="auto"/>
                    <w:jc w:val="cente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t>产品实物</w:t>
                  </w:r>
                </w:p>
              </w:tc>
              <w:tc>
                <w:tcPr>
                  <w:tcW w:w="1320" w:type="pct"/>
                  <w:tcBorders>
                    <w:tl2br w:val="nil"/>
                    <w:tr2bl w:val="nil"/>
                  </w:tcBorders>
                  <w:vAlign w:val="center"/>
                </w:tcPr>
                <w:p w14:paraId="5B0F75FA">
                  <w:pPr>
                    <w:spacing w:before="68" w:beforeLines="22" w:after="68" w:afterLines="22" w:line="293" w:lineRule="auto"/>
                    <w:jc w:val="cente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备注</w:t>
                  </w:r>
                </w:p>
              </w:tc>
            </w:tr>
            <w:tr w14:paraId="74ABB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68" w:type="pct"/>
                  <w:tcBorders>
                    <w:tl2br w:val="nil"/>
                    <w:tr2bl w:val="nil"/>
                  </w:tcBorders>
                  <w:vAlign w:val="center"/>
                </w:tcPr>
                <w:p w14:paraId="333D7AA0">
                  <w:pPr>
                    <w:spacing w:before="74" w:beforeLines="24" w:after="74" w:afterLines="24"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摩托车钢圈</w:t>
                  </w:r>
                </w:p>
              </w:tc>
              <w:tc>
                <w:tcPr>
                  <w:tcW w:w="752" w:type="pct"/>
                  <w:tcBorders>
                    <w:tl2br w:val="nil"/>
                    <w:tr2bl w:val="nil"/>
                  </w:tcBorders>
                  <w:vAlign w:val="center"/>
                </w:tcPr>
                <w:p w14:paraId="58960DB0">
                  <w:pPr>
                    <w:spacing w:before="74" w:beforeLines="24" w:after="74" w:afterLines="24"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内径：</w:t>
                  </w:r>
                  <w:r>
                    <w:rPr>
                      <w:rFonts w:hint="eastAsia" w:ascii="Times New Roman" w:hAnsi="Times New Roman" w:eastAsia="宋体"/>
                      <w:color w:val="000000" w:themeColor="text1"/>
                      <w:szCs w:val="21"/>
                      <w:highlight w:val="none"/>
                      <w:lang w:val="en-US" w:eastAsia="zh-CN"/>
                      <w14:textFill>
                        <w14:solidFill>
                          <w14:schemeClr w14:val="tx1"/>
                        </w14:solidFill>
                      </w14:textFill>
                    </w:rPr>
                    <w:t>52</w:t>
                  </w:r>
                  <w:r>
                    <w:rPr>
                      <w:rFonts w:hint="eastAsia" w:ascii="Times New Roman" w:hAnsi="Times New Roman" w:eastAsia="宋体"/>
                      <w:color w:val="000000" w:themeColor="text1"/>
                      <w:szCs w:val="21"/>
                      <w:highlight w:val="none"/>
                      <w14:textFill>
                        <w14:solidFill>
                          <w14:schemeClr w14:val="tx1"/>
                        </w14:solidFill>
                      </w14:textFill>
                    </w:rPr>
                    <w:t>cm；外径：5</w:t>
                  </w:r>
                  <w:r>
                    <w:rPr>
                      <w:rFonts w:hint="eastAsia" w:ascii="Times New Roman" w:hAnsi="Times New Roman" w:eastAsia="宋体"/>
                      <w:color w:val="000000" w:themeColor="text1"/>
                      <w:szCs w:val="21"/>
                      <w:highlight w:val="none"/>
                      <w:lang w:val="en-US" w:eastAsia="zh-CN"/>
                      <w14:textFill>
                        <w14:solidFill>
                          <w14:schemeClr w14:val="tx1"/>
                        </w14:solidFill>
                      </w14:textFill>
                    </w:rPr>
                    <w:t>4</w:t>
                  </w:r>
                  <w:r>
                    <w:rPr>
                      <w:rFonts w:hint="eastAsia" w:ascii="Times New Roman" w:hAnsi="Times New Roman" w:eastAsia="宋体"/>
                      <w:color w:val="000000" w:themeColor="text1"/>
                      <w:szCs w:val="21"/>
                      <w:highlight w:val="none"/>
                      <w14:textFill>
                        <w14:solidFill>
                          <w14:schemeClr w14:val="tx1"/>
                        </w14:solidFill>
                      </w14:textFill>
                    </w:rPr>
                    <w:t>cm；宽度：</w:t>
                  </w:r>
                  <w:r>
                    <w:rPr>
                      <w:rFonts w:hint="eastAsia" w:ascii="Times New Roman" w:hAnsi="Times New Roman" w:eastAsia="宋体"/>
                      <w:color w:val="000000" w:themeColor="text1"/>
                      <w:szCs w:val="21"/>
                      <w:highlight w:val="none"/>
                      <w:lang w:val="en-US" w:eastAsia="zh-CN"/>
                      <w14:textFill>
                        <w14:solidFill>
                          <w14:schemeClr w14:val="tx1"/>
                        </w14:solidFill>
                      </w14:textFill>
                    </w:rPr>
                    <w:t>7</w:t>
                  </w:r>
                  <w:r>
                    <w:rPr>
                      <w:rFonts w:hint="eastAsia" w:ascii="Times New Roman" w:hAnsi="Times New Roman" w:eastAsia="宋体"/>
                      <w:color w:val="000000" w:themeColor="text1"/>
                      <w:szCs w:val="21"/>
                      <w:highlight w:val="none"/>
                      <w14:textFill>
                        <w14:solidFill>
                          <w14:schemeClr w14:val="tx1"/>
                        </w14:solidFill>
                      </w14:textFill>
                    </w:rPr>
                    <w:t>cm</w:t>
                  </w:r>
                </w:p>
              </w:tc>
              <w:tc>
                <w:tcPr>
                  <w:tcW w:w="634" w:type="pct"/>
                  <w:tcBorders>
                    <w:tl2br w:val="nil"/>
                    <w:tr2bl w:val="nil"/>
                  </w:tcBorders>
                  <w:vAlign w:val="center"/>
                </w:tcPr>
                <w:p w14:paraId="0F97F04F">
                  <w:pPr>
                    <w:spacing w:before="74" w:beforeLines="24" w:after="74" w:afterLines="24"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20万件/a</w:t>
                  </w:r>
                </w:p>
              </w:tc>
              <w:tc>
                <w:tcPr>
                  <w:tcW w:w="1623" w:type="pct"/>
                  <w:tcBorders>
                    <w:tl2br w:val="nil"/>
                    <w:tr2bl w:val="nil"/>
                  </w:tcBorders>
                  <w:vAlign w:val="center"/>
                </w:tcPr>
                <w:p w14:paraId="1CCFF37A">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66165" cy="1083310"/>
                        <wp:effectExtent l="0" t="0" r="635" b="25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1066165" cy="1083310"/>
                                </a:xfrm>
                                <a:prstGeom prst="rect">
                                  <a:avLst/>
                                </a:prstGeom>
                                <a:noFill/>
                                <a:ln>
                                  <a:noFill/>
                                </a:ln>
                              </pic:spPr>
                            </pic:pic>
                          </a:graphicData>
                        </a:graphic>
                      </wp:inline>
                    </w:drawing>
                  </w:r>
                </w:p>
                <w:p w14:paraId="2EACDC5A">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加工前</w:t>
                  </w:r>
                </w:p>
                <w:p w14:paraId="4C9F0CB8">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28065" cy="1067435"/>
                        <wp:effectExtent l="0" t="0" r="635" b="1841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0"/>
                                <a:stretch>
                                  <a:fillRect/>
                                </a:stretch>
                              </pic:blipFill>
                              <pic:spPr>
                                <a:xfrm>
                                  <a:off x="0" y="0"/>
                                  <a:ext cx="1028065" cy="1067435"/>
                                </a:xfrm>
                                <a:prstGeom prst="rect">
                                  <a:avLst/>
                                </a:prstGeom>
                                <a:noFill/>
                                <a:ln>
                                  <a:noFill/>
                                </a:ln>
                              </pic:spPr>
                            </pic:pic>
                          </a:graphicData>
                        </a:graphic>
                      </wp:inline>
                    </w:drawing>
                  </w:r>
                </w:p>
                <w:p w14:paraId="7A83F7BF">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加工后</w:t>
                  </w:r>
                </w:p>
              </w:tc>
              <w:tc>
                <w:tcPr>
                  <w:tcW w:w="1320" w:type="pct"/>
                  <w:tcBorders>
                    <w:tl2br w:val="nil"/>
                    <w:tr2bl w:val="nil"/>
                  </w:tcBorders>
                  <w:vAlign w:val="center"/>
                </w:tcPr>
                <w:p w14:paraId="6C8573F7">
                  <w:pPr>
                    <w:spacing w:before="74" w:beforeLines="24" w:after="74" w:afterLines="24" w:line="300" w:lineRule="auto"/>
                    <w:jc w:val="center"/>
                    <w:rPr>
                      <w:rFonts w:hint="eastAsia" w:ascii="Times New Roman" w:hAnsi="Times New Roman" w:eastAsia="宋体" w:cs="宋体"/>
                      <w:color w:val="000000" w:themeColor="text1"/>
                      <w:kern w:val="0"/>
                      <w:szCs w:val="21"/>
                      <w:highlight w:val="none"/>
                      <w:lang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项目仅对外购摩托车钢圈进行抛丸、喷粉、固化加工。</w:t>
                  </w:r>
                  <w:r>
                    <w:rPr>
                      <w:rFonts w:hint="eastAsia" w:ascii="Times New Roman" w:hAnsi="Times New Roman" w:eastAsia="宋体" w:cs="宋体"/>
                      <w:color w:val="000000" w:themeColor="text1"/>
                      <w:kern w:val="0"/>
                      <w:szCs w:val="21"/>
                      <w:highlight w:val="none"/>
                      <w:lang w:eastAsia="zh-CN" w:bidi="ar"/>
                      <w14:textFill>
                        <w14:solidFill>
                          <w14:schemeClr w14:val="tx1"/>
                        </w14:solidFill>
                      </w14:textFill>
                    </w:rPr>
                    <w:t>产品质量执行企业标准，钢圈外观顺滑，无颗粒感。</w:t>
                  </w:r>
                </w:p>
              </w:tc>
            </w:tr>
          </w:tbl>
          <w:p w14:paraId="5AFF1ACB">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（2）喷粉面积核算</w:t>
            </w:r>
          </w:p>
          <w:p w14:paraId="07B3D0FD">
            <w:pPr>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根据建设单位提供的产品喷涂面积及产品产量进行核算，本项目喷粉面积核算情况详见表2-4。</w:t>
            </w:r>
          </w:p>
          <w:p w14:paraId="734A6828">
            <w:pPr>
              <w:pStyle w:val="32"/>
              <w:spacing w:line="360" w:lineRule="auto"/>
              <w:jc w:val="center"/>
              <w:rPr>
                <w:rFonts w:hint="eastAsia" w:ascii="Times New Roman" w:hAnsi="Times New Roman" w:eastAsia="宋体"/>
                <w:color w:val="000000" w:themeColor="text1"/>
                <w:szCs w:val="24"/>
                <w:highlight w:val="none"/>
                <w14:textFill>
                  <w14:solidFill>
                    <w14:schemeClr w14:val="tx1"/>
                  </w14:solidFill>
                </w14:textFill>
              </w:rPr>
            </w:pPr>
          </w:p>
          <w:p w14:paraId="18653B53">
            <w:pPr>
              <w:pStyle w:val="32"/>
              <w:spacing w:line="360" w:lineRule="auto"/>
              <w:jc w:val="center"/>
              <w:rPr>
                <w:rFonts w:hint="eastAsia"/>
                <w:color w:val="000000" w:themeColor="text1"/>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表2-4  项目产品喷粉面积核算一览表</w:t>
            </w:r>
          </w:p>
          <w:tbl>
            <w:tblPr>
              <w:tblStyle w:val="27"/>
              <w:tblW w:w="49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65"/>
              <w:gridCol w:w="1052"/>
              <w:gridCol w:w="1154"/>
              <w:gridCol w:w="3073"/>
              <w:gridCol w:w="2270"/>
            </w:tblGrid>
            <w:tr w14:paraId="4538B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92" w:type="pct"/>
                  <w:gridSpan w:val="2"/>
                  <w:tcBorders>
                    <w:tl2br w:val="nil"/>
                    <w:tr2bl w:val="nil"/>
                  </w:tcBorders>
                  <w:vAlign w:val="center"/>
                </w:tcPr>
                <w:p w14:paraId="7EA1A894">
                  <w:pPr>
                    <w:spacing w:before="68" w:beforeLines="22" w:after="68" w:afterLines="22" w:line="293"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产品名称</w:t>
                  </w:r>
                </w:p>
              </w:tc>
              <w:tc>
                <w:tcPr>
                  <w:tcW w:w="694" w:type="pct"/>
                  <w:tcBorders>
                    <w:tl2br w:val="nil"/>
                    <w:tr2bl w:val="nil"/>
                  </w:tcBorders>
                  <w:vAlign w:val="center"/>
                </w:tcPr>
                <w:p w14:paraId="1ACD3645">
                  <w:pPr>
                    <w:spacing w:before="68" w:beforeLines="22" w:after="68" w:afterLines="22" w:line="293"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加工产能</w:t>
                  </w:r>
                </w:p>
              </w:tc>
              <w:tc>
                <w:tcPr>
                  <w:tcW w:w="1848" w:type="pct"/>
                  <w:tcBorders>
                    <w:tl2br w:val="nil"/>
                    <w:tr2bl w:val="nil"/>
                  </w:tcBorders>
                  <w:vAlign w:val="center"/>
                </w:tcPr>
                <w:p w14:paraId="4DA7BC53">
                  <w:pPr>
                    <w:spacing w:before="68" w:beforeLines="22" w:after="68" w:afterLines="22" w:line="293"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单件面积（m</w:t>
                  </w:r>
                  <w:r>
                    <w:rPr>
                      <w:rFonts w:hint="eastAsia" w:ascii="Times New Roman" w:hAnsi="Times New Roman" w:eastAsia="宋体" w:cs="Times New Roman"/>
                      <w:b/>
                      <w:bCs/>
                      <w:color w:val="000000" w:themeColor="text1"/>
                      <w:szCs w:val="21"/>
                      <w:highlight w:val="none"/>
                      <w:vertAlign w:val="superscript"/>
                      <w14:textFill>
                        <w14:solidFill>
                          <w14:schemeClr w14:val="tx1"/>
                        </w14:solidFill>
                      </w14:textFill>
                    </w:rPr>
                    <w:t>2</w:t>
                  </w:r>
                  <w:r>
                    <w:rPr>
                      <w:rFonts w:hint="eastAsia" w:ascii="Times New Roman" w:hAnsi="Times New Roman" w:eastAsia="宋体" w:cs="Times New Roman"/>
                      <w:b/>
                      <w:bCs/>
                      <w:color w:val="000000" w:themeColor="text1"/>
                      <w:szCs w:val="21"/>
                      <w:highlight w:val="none"/>
                      <w14:textFill>
                        <w14:solidFill>
                          <w14:schemeClr w14:val="tx1"/>
                        </w14:solidFill>
                      </w14:textFill>
                    </w:rPr>
                    <w:t>）</w:t>
                  </w:r>
                </w:p>
              </w:tc>
              <w:tc>
                <w:tcPr>
                  <w:tcW w:w="1365" w:type="pct"/>
                  <w:tcBorders>
                    <w:tl2br w:val="nil"/>
                    <w:tr2bl w:val="nil"/>
                  </w:tcBorders>
                  <w:vAlign w:val="center"/>
                </w:tcPr>
                <w:p w14:paraId="36F08C07">
                  <w:pPr>
                    <w:spacing w:before="68" w:beforeLines="22" w:after="68" w:afterLines="22" w:line="293"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产品喷粉面积（m</w:t>
                  </w:r>
                  <w:r>
                    <w:rPr>
                      <w:rFonts w:hint="eastAsia" w:ascii="Times New Roman" w:hAnsi="Times New Roman" w:eastAsia="宋体" w:cs="Times New Roman"/>
                      <w:b/>
                      <w:bCs/>
                      <w:color w:val="000000" w:themeColor="text1"/>
                      <w:szCs w:val="21"/>
                      <w:highlight w:val="none"/>
                      <w:vertAlign w:val="superscript"/>
                      <w14:textFill>
                        <w14:solidFill>
                          <w14:schemeClr w14:val="tx1"/>
                        </w14:solidFill>
                      </w14:textFill>
                    </w:rPr>
                    <w:t>2</w:t>
                  </w:r>
                  <w:r>
                    <w:rPr>
                      <w:rFonts w:hint="eastAsia" w:ascii="Times New Roman" w:hAnsi="Times New Roman" w:eastAsia="宋体" w:cs="Times New Roman"/>
                      <w:b/>
                      <w:bCs/>
                      <w:color w:val="000000" w:themeColor="text1"/>
                      <w:szCs w:val="21"/>
                      <w:highlight w:val="none"/>
                      <w14:textFill>
                        <w14:solidFill>
                          <w14:schemeClr w14:val="tx1"/>
                        </w14:solidFill>
                      </w14:textFill>
                    </w:rPr>
                    <w:t>）</w:t>
                  </w:r>
                </w:p>
              </w:tc>
            </w:tr>
            <w:tr w14:paraId="47D10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60" w:type="pct"/>
                  <w:vMerge w:val="restart"/>
                  <w:tcBorders>
                    <w:tl2br w:val="nil"/>
                    <w:tr2bl w:val="nil"/>
                  </w:tcBorders>
                  <w:vAlign w:val="center"/>
                </w:tcPr>
                <w:p w14:paraId="2B63D3D9">
                  <w:pPr>
                    <w:spacing w:before="74" w:beforeLines="24" w:after="74" w:afterLines="24"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摩托车钢圈</w:t>
                  </w:r>
                </w:p>
              </w:tc>
              <w:tc>
                <w:tcPr>
                  <w:tcW w:w="632" w:type="pct"/>
                  <w:tcBorders>
                    <w:tl2br w:val="nil"/>
                    <w:tr2bl w:val="nil"/>
                  </w:tcBorders>
                  <w:vAlign w:val="center"/>
                </w:tcPr>
                <w:p w14:paraId="2FC2EE98">
                  <w:pPr>
                    <w:spacing w:before="74" w:beforeLines="24" w:after="74" w:afterLines="24"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外面</w:t>
                  </w:r>
                </w:p>
              </w:tc>
              <w:tc>
                <w:tcPr>
                  <w:tcW w:w="694" w:type="pct"/>
                  <w:vMerge w:val="restart"/>
                  <w:tcBorders>
                    <w:tl2br w:val="nil"/>
                    <w:tr2bl w:val="nil"/>
                  </w:tcBorders>
                  <w:vAlign w:val="center"/>
                </w:tcPr>
                <w:p w14:paraId="644810FD">
                  <w:pPr>
                    <w:spacing w:before="74" w:beforeLines="24" w:after="74" w:afterLines="24"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20万件/a</w:t>
                  </w:r>
                </w:p>
              </w:tc>
              <w:tc>
                <w:tcPr>
                  <w:tcW w:w="1848" w:type="pct"/>
                  <w:tcBorders>
                    <w:tl2br w:val="nil"/>
                    <w:tr2bl w:val="nil"/>
                  </w:tcBorders>
                  <w:vAlign w:val="center"/>
                </w:tcPr>
                <w:p w14:paraId="3BC09699">
                  <w:pPr>
                    <w:spacing w:before="74" w:beforeLines="24" w:after="74" w:afterLines="24" w:line="300" w:lineRule="auto"/>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3.14</w:t>
                  </w:r>
                  <w:r>
                    <w:rPr>
                      <w:rFonts w:ascii="Arial" w:hAnsi="Arial" w:eastAsia="宋体" w:cs="Arial"/>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0.5</w:t>
                  </w:r>
                  <w:r>
                    <w:rPr>
                      <w:rFonts w:hint="eastAsia" w:ascii="Times New Roman" w:hAnsi="Times New Roman" w:eastAsia="宋体"/>
                      <w:color w:val="000000" w:themeColor="text1"/>
                      <w:szCs w:val="21"/>
                      <w:highlight w:val="none"/>
                      <w:lang w:val="en-US" w:eastAsia="zh-CN"/>
                      <w14:textFill>
                        <w14:solidFill>
                          <w14:schemeClr w14:val="tx1"/>
                        </w14:solidFill>
                      </w14:textFill>
                    </w:rPr>
                    <w:t>4</w:t>
                  </w:r>
                  <w:r>
                    <w:rPr>
                      <w:rFonts w:ascii="Arial" w:hAnsi="Arial" w:eastAsia="宋体" w:cs="Arial"/>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0.0</w:t>
                  </w:r>
                  <w:r>
                    <w:rPr>
                      <w:rFonts w:hint="eastAsia" w:ascii="Times New Roman" w:hAnsi="Times New Roman" w:eastAsia="宋体"/>
                      <w:color w:val="000000" w:themeColor="text1"/>
                      <w:szCs w:val="21"/>
                      <w:highlight w:val="none"/>
                      <w:lang w:val="en-US" w:eastAsia="zh-CN"/>
                      <w14:textFill>
                        <w14:solidFill>
                          <w14:schemeClr w14:val="tx1"/>
                        </w14:solidFill>
                      </w14:textFill>
                    </w:rPr>
                    <w:t>7</w:t>
                  </w:r>
                  <w:r>
                    <w:rPr>
                      <w:rFonts w:hint="eastAsia" w:ascii="Times New Roman" w:hAnsi="Times New Roman" w:eastAsia="宋体"/>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lang w:val="en-US" w:eastAsia="zh-CN"/>
                      <w14:textFill>
                        <w14:solidFill>
                          <w14:schemeClr w14:val="tx1"/>
                        </w14:solidFill>
                      </w14:textFill>
                    </w:rPr>
                    <w:t>0.119</w:t>
                  </w:r>
                </w:p>
              </w:tc>
              <w:tc>
                <w:tcPr>
                  <w:tcW w:w="1365" w:type="pct"/>
                  <w:tcBorders>
                    <w:tl2br w:val="nil"/>
                    <w:tr2bl w:val="nil"/>
                  </w:tcBorders>
                  <w:vAlign w:val="center"/>
                </w:tcPr>
                <w:p w14:paraId="665E3981">
                  <w:pPr>
                    <w:spacing w:before="74" w:beforeLines="24" w:after="74" w:afterLines="24" w:line="300" w:lineRule="auto"/>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23800</w:t>
                  </w:r>
                </w:p>
              </w:tc>
            </w:tr>
            <w:tr w14:paraId="3A5BC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60" w:type="pct"/>
                  <w:vMerge w:val="continue"/>
                  <w:tcBorders>
                    <w:tl2br w:val="nil"/>
                    <w:tr2bl w:val="nil"/>
                  </w:tcBorders>
                  <w:vAlign w:val="center"/>
                </w:tcPr>
                <w:p w14:paraId="38F2060E">
                  <w:pPr>
                    <w:spacing w:before="74" w:beforeLines="24" w:after="74" w:afterLines="24"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632" w:type="pct"/>
                  <w:tcBorders>
                    <w:tl2br w:val="nil"/>
                    <w:tr2bl w:val="nil"/>
                  </w:tcBorders>
                  <w:vAlign w:val="center"/>
                </w:tcPr>
                <w:p w14:paraId="37DF2678">
                  <w:pPr>
                    <w:spacing w:before="74" w:beforeLines="24" w:after="74" w:afterLines="24"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内面</w:t>
                  </w:r>
                </w:p>
              </w:tc>
              <w:tc>
                <w:tcPr>
                  <w:tcW w:w="694" w:type="pct"/>
                  <w:vMerge w:val="continue"/>
                  <w:tcBorders>
                    <w:tl2br w:val="nil"/>
                    <w:tr2bl w:val="nil"/>
                  </w:tcBorders>
                  <w:vAlign w:val="center"/>
                </w:tcPr>
                <w:p w14:paraId="06D3AC34">
                  <w:pPr>
                    <w:spacing w:before="74" w:beforeLines="24" w:after="74" w:afterLines="24"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848" w:type="pct"/>
                  <w:tcBorders>
                    <w:tl2br w:val="nil"/>
                    <w:tr2bl w:val="nil"/>
                  </w:tcBorders>
                  <w:vAlign w:val="center"/>
                </w:tcPr>
                <w:p w14:paraId="0181FBDE">
                  <w:pPr>
                    <w:spacing w:before="74" w:beforeLines="24" w:after="74" w:afterLines="24" w:line="300" w:lineRule="auto"/>
                    <w:jc w:val="center"/>
                    <w:rPr>
                      <w:rFonts w:hint="default" w:ascii="Times New Roman" w:hAnsi="Times New Roman" w:eastAsia="宋体" w:cs="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3.14</w:t>
                  </w:r>
                  <w:r>
                    <w:rPr>
                      <w:rFonts w:ascii="Arial" w:hAnsi="Arial" w:eastAsia="宋体" w:cs="Arial"/>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0.5</w:t>
                  </w:r>
                  <w:r>
                    <w:rPr>
                      <w:rFonts w:hint="eastAsia" w:ascii="Times New Roman" w:hAnsi="Times New Roman" w:eastAsia="宋体"/>
                      <w:color w:val="000000" w:themeColor="text1"/>
                      <w:szCs w:val="21"/>
                      <w:highlight w:val="none"/>
                      <w:lang w:val="en-US" w:eastAsia="zh-CN"/>
                      <w14:textFill>
                        <w14:solidFill>
                          <w14:schemeClr w14:val="tx1"/>
                        </w14:solidFill>
                      </w14:textFill>
                    </w:rPr>
                    <w:t>2</w:t>
                  </w:r>
                  <w:r>
                    <w:rPr>
                      <w:rFonts w:ascii="Arial" w:hAnsi="Arial" w:eastAsia="宋体" w:cs="Arial"/>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0.0</w:t>
                  </w:r>
                  <w:r>
                    <w:rPr>
                      <w:rFonts w:hint="eastAsia" w:ascii="Times New Roman" w:hAnsi="Times New Roman" w:eastAsia="宋体"/>
                      <w:color w:val="000000" w:themeColor="text1"/>
                      <w:szCs w:val="21"/>
                      <w:highlight w:val="none"/>
                      <w:lang w:val="en-US" w:eastAsia="zh-CN"/>
                      <w14:textFill>
                        <w14:solidFill>
                          <w14:schemeClr w14:val="tx1"/>
                        </w14:solidFill>
                      </w14:textFill>
                    </w:rPr>
                    <w:t>7</w:t>
                  </w:r>
                  <w:r>
                    <w:rPr>
                      <w:rFonts w:hint="eastAsia" w:ascii="Times New Roman" w:hAnsi="Times New Roman" w:eastAsia="宋体"/>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lang w:val="en-US" w:eastAsia="zh-CN"/>
                      <w14:textFill>
                        <w14:solidFill>
                          <w14:schemeClr w14:val="tx1"/>
                        </w14:solidFill>
                      </w14:textFill>
                    </w:rPr>
                    <w:t>0.114</w:t>
                  </w:r>
                </w:p>
              </w:tc>
              <w:tc>
                <w:tcPr>
                  <w:tcW w:w="1365" w:type="pct"/>
                  <w:tcBorders>
                    <w:tl2br w:val="nil"/>
                    <w:tr2bl w:val="nil"/>
                  </w:tcBorders>
                  <w:vAlign w:val="center"/>
                </w:tcPr>
                <w:p w14:paraId="72A8373B">
                  <w:pPr>
                    <w:spacing w:before="74" w:beforeLines="24" w:after="74" w:afterLines="24" w:line="300" w:lineRule="auto"/>
                    <w:jc w:val="center"/>
                    <w:rPr>
                      <w:rFonts w:hint="default" w:ascii="Times New Roman" w:hAnsi="Times New Roman" w:eastAsia="宋体" w:cs="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22800</w:t>
                  </w:r>
                </w:p>
              </w:tc>
            </w:tr>
            <w:tr w14:paraId="2AC20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60" w:type="pct"/>
                  <w:vMerge w:val="continue"/>
                  <w:tcBorders>
                    <w:tl2br w:val="nil"/>
                    <w:tr2bl w:val="nil"/>
                  </w:tcBorders>
                  <w:vAlign w:val="center"/>
                </w:tcPr>
                <w:p w14:paraId="6EC0DF1A">
                  <w:pPr>
                    <w:spacing w:before="74" w:beforeLines="24" w:after="74" w:afterLines="24"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632" w:type="pct"/>
                  <w:tcBorders>
                    <w:tl2br w:val="nil"/>
                    <w:tr2bl w:val="nil"/>
                  </w:tcBorders>
                  <w:vAlign w:val="center"/>
                </w:tcPr>
                <w:p w14:paraId="783BE6C5">
                  <w:pPr>
                    <w:spacing w:before="74" w:beforeLines="24" w:after="74" w:afterLines="24"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侧面</w:t>
                  </w:r>
                </w:p>
              </w:tc>
              <w:tc>
                <w:tcPr>
                  <w:tcW w:w="694" w:type="pct"/>
                  <w:vMerge w:val="continue"/>
                  <w:tcBorders>
                    <w:tl2br w:val="nil"/>
                    <w:tr2bl w:val="nil"/>
                  </w:tcBorders>
                  <w:vAlign w:val="center"/>
                </w:tcPr>
                <w:p w14:paraId="2D111D5C">
                  <w:pPr>
                    <w:spacing w:before="74" w:beforeLines="24" w:after="74" w:afterLines="24"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848" w:type="pct"/>
                  <w:tcBorders>
                    <w:tl2br w:val="nil"/>
                    <w:tr2bl w:val="nil"/>
                  </w:tcBorders>
                  <w:vAlign w:val="center"/>
                </w:tcPr>
                <w:p w14:paraId="04A02DC3">
                  <w:pPr>
                    <w:spacing w:before="74" w:beforeLines="24" w:after="74" w:afterLines="24" w:line="300" w:lineRule="auto"/>
                    <w:jc w:val="center"/>
                    <w:rPr>
                      <w:rFonts w:hint="default" w:ascii="Times New Roman" w:hAnsi="Times New Roman" w:eastAsia="宋体" w:cs="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3.14</w:t>
                  </w:r>
                  <w:r>
                    <w:rPr>
                      <w:rFonts w:ascii="Arial" w:hAnsi="Arial" w:eastAsia="宋体" w:cs="Arial"/>
                      <w:color w:val="000000" w:themeColor="text1"/>
                      <w:szCs w:val="21"/>
                      <w:highlight w:val="none"/>
                      <w14:textFill>
                        <w14:solidFill>
                          <w14:schemeClr w14:val="tx1"/>
                        </w14:solidFill>
                      </w14:textFill>
                    </w:rPr>
                    <w:t>×</w:t>
                  </w:r>
                  <w:r>
                    <w:rPr>
                      <w:rFonts w:hint="eastAsia" w:ascii="Arial" w:hAnsi="Arial" w:eastAsia="宋体" w:cs="Arial"/>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0.</w:t>
                  </w:r>
                  <w:r>
                    <w:rPr>
                      <w:rFonts w:hint="eastAsia" w:ascii="Times New Roman" w:hAnsi="Times New Roman" w:eastAsia="宋体"/>
                      <w:color w:val="000000" w:themeColor="text1"/>
                      <w:szCs w:val="21"/>
                      <w:highlight w:val="none"/>
                      <w:lang w:val="en-US" w:eastAsia="zh-CN"/>
                      <w14:textFill>
                        <w14:solidFill>
                          <w14:schemeClr w14:val="tx1"/>
                        </w14:solidFill>
                      </w14:textFill>
                    </w:rPr>
                    <w:t>27</w:t>
                  </w:r>
                  <w:r>
                    <w:rPr>
                      <w:rFonts w:hint="eastAsia" w:ascii="Times New Roman" w:hAnsi="Times New Roman" w:eastAsia="宋体"/>
                      <w:color w:val="000000" w:themeColor="text1"/>
                      <w:szCs w:val="21"/>
                      <w:highlight w:val="none"/>
                      <w:vertAlign w:val="superscript"/>
                      <w14:textFill>
                        <w14:solidFill>
                          <w14:schemeClr w14:val="tx1"/>
                        </w14:solidFill>
                      </w14:textFill>
                    </w:rPr>
                    <w:t>2</w:t>
                  </w:r>
                  <w:r>
                    <w:rPr>
                      <w:rFonts w:hint="eastAsia" w:ascii="Times New Roman" w:hAnsi="Times New Roman" w:eastAsia="宋体"/>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lang w:val="en-US" w:eastAsia="zh-CN"/>
                      <w14:textFill>
                        <w14:solidFill>
                          <w14:schemeClr w14:val="tx1"/>
                        </w14:solidFill>
                      </w14:textFill>
                    </w:rPr>
                    <w:t>0.26</w:t>
                  </w:r>
                  <w:r>
                    <w:rPr>
                      <w:rFonts w:hint="eastAsia" w:ascii="Times New Roman" w:hAnsi="Times New Roman" w:eastAsia="宋体"/>
                      <w:color w:val="000000" w:themeColor="text1"/>
                      <w:szCs w:val="21"/>
                      <w:highlight w:val="none"/>
                      <w:vertAlign w:val="superscript"/>
                      <w14:textFill>
                        <w14:solidFill>
                          <w14:schemeClr w14:val="tx1"/>
                        </w14:solidFill>
                      </w14:textFill>
                    </w:rPr>
                    <w:t>2</w:t>
                  </w:r>
                  <w:r>
                    <w:rPr>
                      <w:rFonts w:hint="eastAsia" w:ascii="Arial" w:hAnsi="Arial" w:eastAsia="宋体" w:cs="Arial"/>
                      <w:color w:val="000000" w:themeColor="text1"/>
                      <w:szCs w:val="21"/>
                      <w:highlight w:val="none"/>
                      <w14:textFill>
                        <w14:solidFill>
                          <w14:schemeClr w14:val="tx1"/>
                        </w14:solidFill>
                      </w14:textFill>
                    </w:rPr>
                    <w:t>）</w:t>
                  </w:r>
                  <w:r>
                    <w:rPr>
                      <w:rFonts w:ascii="Arial" w:hAnsi="Arial" w:eastAsia="宋体" w:cs="Arial"/>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2=</w:t>
                  </w:r>
                  <w:r>
                    <w:rPr>
                      <w:rFonts w:hint="eastAsia" w:ascii="Times New Roman" w:hAnsi="Times New Roman" w:eastAsia="宋体"/>
                      <w:color w:val="000000" w:themeColor="text1"/>
                      <w:szCs w:val="21"/>
                      <w:highlight w:val="none"/>
                      <w:lang w:val="en-US" w:eastAsia="zh-CN"/>
                      <w14:textFill>
                        <w14:solidFill>
                          <w14:schemeClr w14:val="tx1"/>
                        </w14:solidFill>
                      </w14:textFill>
                    </w:rPr>
                    <w:t>0.033</w:t>
                  </w:r>
                </w:p>
              </w:tc>
              <w:tc>
                <w:tcPr>
                  <w:tcW w:w="1365" w:type="pct"/>
                  <w:tcBorders>
                    <w:tl2br w:val="nil"/>
                    <w:tr2bl w:val="nil"/>
                  </w:tcBorders>
                  <w:vAlign w:val="center"/>
                </w:tcPr>
                <w:p w14:paraId="1008556E">
                  <w:pPr>
                    <w:spacing w:before="74" w:beforeLines="24" w:after="74" w:afterLines="24" w:line="300" w:lineRule="auto"/>
                    <w:jc w:val="center"/>
                    <w:rPr>
                      <w:rFonts w:hint="default" w:ascii="Times New Roman" w:hAnsi="Times New Roman" w:eastAsia="宋体" w:cs="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6600</w:t>
                  </w:r>
                </w:p>
              </w:tc>
            </w:tr>
            <w:tr w14:paraId="43DEA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786" w:type="pct"/>
                  <w:gridSpan w:val="3"/>
                  <w:tcBorders>
                    <w:tl2br w:val="nil"/>
                    <w:tr2bl w:val="nil"/>
                  </w:tcBorders>
                  <w:vAlign w:val="center"/>
                </w:tcPr>
                <w:p w14:paraId="7111B4F6">
                  <w:pPr>
                    <w:spacing w:before="74" w:beforeLines="24" w:after="74" w:afterLines="24"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合计</w:t>
                  </w:r>
                </w:p>
              </w:tc>
              <w:tc>
                <w:tcPr>
                  <w:tcW w:w="1848" w:type="pct"/>
                  <w:tcBorders>
                    <w:tl2br w:val="nil"/>
                    <w:tr2bl w:val="nil"/>
                  </w:tcBorders>
                  <w:vAlign w:val="center"/>
                </w:tcPr>
                <w:p w14:paraId="4F5839C7">
                  <w:pPr>
                    <w:spacing w:before="74" w:beforeLines="24" w:after="74" w:afterLines="24" w:line="300" w:lineRule="auto"/>
                    <w:jc w:val="center"/>
                    <w:rPr>
                      <w:rFonts w:hint="default" w:ascii="Times New Roman" w:hAnsi="Times New Roman" w:eastAsia="宋体" w:cs="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0.266</w:t>
                  </w:r>
                </w:p>
              </w:tc>
              <w:tc>
                <w:tcPr>
                  <w:tcW w:w="1365" w:type="pct"/>
                  <w:tcBorders>
                    <w:tl2br w:val="nil"/>
                    <w:tr2bl w:val="nil"/>
                  </w:tcBorders>
                  <w:vAlign w:val="center"/>
                </w:tcPr>
                <w:p w14:paraId="06AD5D3D">
                  <w:pPr>
                    <w:spacing w:before="74" w:beforeLines="24" w:after="74" w:afterLines="24" w:line="300" w:lineRule="auto"/>
                    <w:jc w:val="center"/>
                    <w:rPr>
                      <w:rFonts w:hint="default" w:ascii="Times New Roman" w:hAnsi="Times New Roman" w:eastAsia="宋体" w:cs="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53200</w:t>
                  </w:r>
                </w:p>
              </w:tc>
            </w:tr>
          </w:tbl>
          <w:p w14:paraId="50BC6841">
            <w:pPr>
              <w:spacing w:before="31" w:beforeLines="10" w:after="31" w:afterLines="10"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2.5、主要生产设备</w:t>
            </w:r>
          </w:p>
          <w:p w14:paraId="66F866B8">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（1）主要生产设备</w:t>
            </w:r>
          </w:p>
          <w:p w14:paraId="62898A44">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项目营运期主要设备清单详见下表：</w:t>
            </w:r>
          </w:p>
          <w:p w14:paraId="31C3698F">
            <w:pPr>
              <w:spacing w:line="360" w:lineRule="auto"/>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表2-</w:t>
            </w:r>
            <w:r>
              <w:rPr>
                <w:rFonts w:hint="eastAsia" w:ascii="Times New Roman" w:hAnsi="Times New Roman" w:eastAsia="宋体" w:cs="Times New Roman"/>
                <w:color w:val="000000" w:themeColor="text1"/>
                <w:sz w:val="24"/>
                <w:highlight w:val="none"/>
                <w14:textFill>
                  <w14:solidFill>
                    <w14:schemeClr w14:val="tx1"/>
                  </w14:solidFill>
                </w14:textFill>
              </w:rPr>
              <w:t>5</w:t>
            </w:r>
            <w:r>
              <w:rPr>
                <w:rFonts w:ascii="Times New Roman" w:hAnsi="Times New Roman" w:eastAsia="宋体" w:cs="Times New Roman"/>
                <w:color w:val="000000" w:themeColor="text1"/>
                <w:sz w:val="24"/>
                <w:highlight w:val="none"/>
                <w14:textFill>
                  <w14:solidFill>
                    <w14:schemeClr w14:val="tx1"/>
                  </w14:solidFill>
                </w14:textFill>
              </w:rPr>
              <w:t xml:space="preserve">  项目主要设备一览表</w:t>
            </w:r>
          </w:p>
          <w:tbl>
            <w:tblPr>
              <w:tblStyle w:val="27"/>
              <w:tblW w:w="494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16"/>
              <w:gridCol w:w="1439"/>
              <w:gridCol w:w="2492"/>
              <w:gridCol w:w="1410"/>
              <w:gridCol w:w="2201"/>
            </w:tblGrid>
            <w:tr w14:paraId="557DA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8" w:hRule="atLeast"/>
                <w:jc w:val="center"/>
              </w:trPr>
              <w:tc>
                <w:tcPr>
                  <w:tcW w:w="488" w:type="pct"/>
                  <w:tcBorders>
                    <w:tl2br w:val="nil"/>
                    <w:tr2bl w:val="nil"/>
                  </w:tcBorders>
                  <w:vAlign w:val="center"/>
                </w:tcPr>
                <w:p w14:paraId="30B55377">
                  <w:pPr>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序号</w:t>
                  </w:r>
                </w:p>
              </w:tc>
              <w:tc>
                <w:tcPr>
                  <w:tcW w:w="860" w:type="pct"/>
                  <w:tcBorders>
                    <w:tl2br w:val="nil"/>
                    <w:tr2bl w:val="nil"/>
                  </w:tcBorders>
                  <w:vAlign w:val="center"/>
                </w:tcPr>
                <w:p w14:paraId="374FBEC5">
                  <w:pPr>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设备名称</w:t>
                  </w:r>
                </w:p>
              </w:tc>
              <w:tc>
                <w:tcPr>
                  <w:tcW w:w="1490" w:type="pct"/>
                  <w:tcBorders>
                    <w:tl2br w:val="nil"/>
                    <w:tr2bl w:val="nil"/>
                  </w:tcBorders>
                  <w:vAlign w:val="center"/>
                </w:tcPr>
                <w:p w14:paraId="09564A6F">
                  <w:pPr>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参数/规格</w:t>
                  </w:r>
                </w:p>
              </w:tc>
              <w:tc>
                <w:tcPr>
                  <w:tcW w:w="843" w:type="pct"/>
                  <w:tcBorders>
                    <w:tl2br w:val="nil"/>
                    <w:tr2bl w:val="nil"/>
                  </w:tcBorders>
                  <w:vAlign w:val="center"/>
                </w:tcPr>
                <w:p w14:paraId="4E724703">
                  <w:pPr>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数量/台</w:t>
                  </w:r>
                </w:p>
              </w:tc>
              <w:tc>
                <w:tcPr>
                  <w:tcW w:w="1316" w:type="pct"/>
                  <w:tcBorders>
                    <w:tl2br w:val="nil"/>
                    <w:tr2bl w:val="nil"/>
                  </w:tcBorders>
                  <w:vAlign w:val="center"/>
                </w:tcPr>
                <w:p w14:paraId="111B0AE5">
                  <w:pPr>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备注</w:t>
                  </w:r>
                </w:p>
              </w:tc>
            </w:tr>
            <w:tr w14:paraId="1C2A7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8" w:type="pct"/>
                  <w:tcBorders>
                    <w:tl2br w:val="nil"/>
                    <w:tr2bl w:val="nil"/>
                  </w:tcBorders>
                  <w:vAlign w:val="center"/>
                </w:tcPr>
                <w:p w14:paraId="517B13C4">
                  <w:pPr>
                    <w:spacing w:before="78" w:beforeLines="25" w:after="78" w:afterLines="25" w:line="298"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860" w:type="pct"/>
                  <w:tcBorders>
                    <w:tl2br w:val="nil"/>
                    <w:tr2bl w:val="nil"/>
                  </w:tcBorders>
                  <w:vAlign w:val="center"/>
                </w:tcPr>
                <w:p w14:paraId="79B21FF7">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抛丸机</w:t>
                  </w:r>
                </w:p>
              </w:tc>
              <w:tc>
                <w:tcPr>
                  <w:tcW w:w="1490" w:type="pct"/>
                  <w:tcBorders>
                    <w:tl2br w:val="nil"/>
                    <w:tr2bl w:val="nil"/>
                  </w:tcBorders>
                  <w:vAlign w:val="center"/>
                </w:tcPr>
                <w:p w14:paraId="418137CC">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w:t>
                  </w:r>
                </w:p>
              </w:tc>
              <w:tc>
                <w:tcPr>
                  <w:tcW w:w="843" w:type="pct"/>
                  <w:tcBorders>
                    <w:tl2br w:val="nil"/>
                    <w:tr2bl w:val="nil"/>
                  </w:tcBorders>
                  <w:vAlign w:val="center"/>
                </w:tcPr>
                <w:p w14:paraId="15466AB3">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1</w:t>
                  </w:r>
                </w:p>
              </w:tc>
              <w:tc>
                <w:tcPr>
                  <w:tcW w:w="1316" w:type="pct"/>
                  <w:tcBorders>
                    <w:tl2br w:val="nil"/>
                    <w:tr2bl w:val="nil"/>
                  </w:tcBorders>
                  <w:vAlign w:val="center"/>
                </w:tcPr>
                <w:p w14:paraId="4978037C">
                  <w:pPr>
                    <w:spacing w:before="78" w:beforeLines="25" w:after="78" w:afterLines="25" w:line="28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抛丸工序</w:t>
                  </w:r>
                </w:p>
              </w:tc>
            </w:tr>
            <w:tr w14:paraId="2FCE6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8" w:type="pct"/>
                  <w:tcBorders>
                    <w:tl2br w:val="nil"/>
                    <w:tr2bl w:val="nil"/>
                  </w:tcBorders>
                  <w:vAlign w:val="center"/>
                </w:tcPr>
                <w:p w14:paraId="242BC07D">
                  <w:pPr>
                    <w:spacing w:before="78" w:beforeLines="25" w:after="78" w:afterLines="25" w:line="298"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w:t>
                  </w:r>
                </w:p>
              </w:tc>
              <w:tc>
                <w:tcPr>
                  <w:tcW w:w="860" w:type="pct"/>
                  <w:tcBorders>
                    <w:tl2br w:val="nil"/>
                    <w:tr2bl w:val="nil"/>
                  </w:tcBorders>
                  <w:vAlign w:val="center"/>
                </w:tcPr>
                <w:p w14:paraId="3D843089">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喷粉室</w:t>
                  </w:r>
                </w:p>
              </w:tc>
              <w:tc>
                <w:tcPr>
                  <w:tcW w:w="1490" w:type="pct"/>
                  <w:tcBorders>
                    <w:tl2br w:val="nil"/>
                    <w:tr2bl w:val="nil"/>
                  </w:tcBorders>
                  <w:vAlign w:val="center"/>
                </w:tcPr>
                <w:p w14:paraId="1346C94B">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val="en-US" w:eastAsia="zh-CN" w:bidi="ar"/>
                      <w14:textFill>
                        <w14:solidFill>
                          <w14:schemeClr w14:val="tx1"/>
                        </w14:solidFill>
                      </w14:textFill>
                    </w:rPr>
                    <w:t>2.</w:t>
                  </w: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5m*1.25m*2m</w:t>
                  </w:r>
                </w:p>
              </w:tc>
              <w:tc>
                <w:tcPr>
                  <w:tcW w:w="843" w:type="pct"/>
                  <w:tcBorders>
                    <w:tl2br w:val="nil"/>
                    <w:tr2bl w:val="nil"/>
                  </w:tcBorders>
                  <w:vAlign w:val="center"/>
                </w:tcPr>
                <w:p w14:paraId="1DA50DB4">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val="en-US" w:eastAsia="zh-CN" w:bidi="ar"/>
                      <w14:textFill>
                        <w14:solidFill>
                          <w14:schemeClr w14:val="tx1"/>
                        </w14:solidFill>
                      </w14:textFill>
                    </w:rPr>
                    <w:t>5（1用4备）</w:t>
                  </w:r>
                </w:p>
              </w:tc>
              <w:tc>
                <w:tcPr>
                  <w:tcW w:w="1316" w:type="pct"/>
                  <w:tcBorders>
                    <w:tl2br w:val="nil"/>
                    <w:tr2bl w:val="nil"/>
                  </w:tcBorders>
                  <w:vAlign w:val="center"/>
                </w:tcPr>
                <w:p w14:paraId="600B627E">
                  <w:pPr>
                    <w:spacing w:before="78" w:beforeLines="25" w:after="78" w:afterLines="25" w:line="288" w:lineRule="auto"/>
                    <w:jc w:val="center"/>
                    <w:rPr>
                      <w:rFonts w:hint="eastAsia" w:ascii="Times New Roman" w:hAnsi="Times New Roman" w:eastAsia="宋体" w:cs="宋体"/>
                      <w:bCs/>
                      <w:color w:val="000000" w:themeColor="text1"/>
                      <w:kern w:val="0"/>
                      <w:szCs w:val="21"/>
                      <w:highlight w:val="none"/>
                      <w:lang w:eastAsia="zh-CN"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喷粉工序</w:t>
                  </w:r>
                  <w:r>
                    <w:rPr>
                      <w:rFonts w:hint="eastAsia" w:ascii="Times New Roman" w:hAnsi="Times New Roman" w:eastAsia="宋体" w:cs="宋体"/>
                      <w:bCs/>
                      <w:color w:val="000000" w:themeColor="text1"/>
                      <w:kern w:val="0"/>
                      <w:szCs w:val="21"/>
                      <w:highlight w:val="none"/>
                      <w:lang w:eastAsia="zh-CN" w:bidi="ar"/>
                      <w14:textFill>
                        <w14:solidFill>
                          <w14:schemeClr w14:val="tx1"/>
                        </w14:solidFill>
                      </w14:textFill>
                    </w:rPr>
                    <w:t>（</w:t>
                  </w:r>
                  <w:r>
                    <w:rPr>
                      <w:rFonts w:hint="eastAsia" w:ascii="Times New Roman" w:hAnsi="Times New Roman" w:eastAsia="宋体" w:cs="宋体"/>
                      <w:bCs/>
                      <w:color w:val="000000" w:themeColor="text1"/>
                      <w:kern w:val="0"/>
                      <w:szCs w:val="21"/>
                      <w:highlight w:val="none"/>
                      <w:lang w:val="en-US" w:eastAsia="zh-CN" w:bidi="ar"/>
                      <w14:textFill>
                        <w14:solidFill>
                          <w14:schemeClr w14:val="tx1"/>
                        </w14:solidFill>
                      </w14:textFill>
                    </w:rPr>
                    <w:t>1个喷房配1把喷枪，对应不同颜色塑粉，1用4备</w:t>
                  </w:r>
                  <w:r>
                    <w:rPr>
                      <w:rFonts w:hint="eastAsia" w:ascii="Times New Roman" w:hAnsi="Times New Roman" w:eastAsia="宋体" w:cs="宋体"/>
                      <w:bCs/>
                      <w:color w:val="000000" w:themeColor="text1"/>
                      <w:kern w:val="0"/>
                      <w:szCs w:val="21"/>
                      <w:highlight w:val="none"/>
                      <w:lang w:eastAsia="zh-CN" w:bidi="ar"/>
                      <w14:textFill>
                        <w14:solidFill>
                          <w14:schemeClr w14:val="tx1"/>
                        </w14:solidFill>
                      </w14:textFill>
                    </w:rPr>
                    <w:t>）</w:t>
                  </w:r>
                </w:p>
              </w:tc>
            </w:tr>
            <w:tr w14:paraId="0A908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8" w:type="pct"/>
                  <w:tcBorders>
                    <w:tl2br w:val="nil"/>
                    <w:tr2bl w:val="nil"/>
                  </w:tcBorders>
                  <w:vAlign w:val="center"/>
                </w:tcPr>
                <w:p w14:paraId="1D3DD11A">
                  <w:pPr>
                    <w:spacing w:before="78" w:beforeLines="25" w:after="78" w:afterLines="25" w:line="298"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3</w:t>
                  </w:r>
                </w:p>
              </w:tc>
              <w:tc>
                <w:tcPr>
                  <w:tcW w:w="860" w:type="pct"/>
                  <w:tcBorders>
                    <w:tl2br w:val="nil"/>
                    <w:tr2bl w:val="nil"/>
                  </w:tcBorders>
                  <w:vAlign w:val="center"/>
                </w:tcPr>
                <w:p w14:paraId="678B8FCF">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喷枪</w:t>
                  </w:r>
                </w:p>
              </w:tc>
              <w:tc>
                <w:tcPr>
                  <w:tcW w:w="1490" w:type="pct"/>
                  <w:tcBorders>
                    <w:tl2br w:val="nil"/>
                    <w:tr2bl w:val="nil"/>
                  </w:tcBorders>
                  <w:vAlign w:val="center"/>
                </w:tcPr>
                <w:p w14:paraId="7018EF55">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喷粉量</w:t>
                  </w:r>
                  <w:r>
                    <w:rPr>
                      <w:rFonts w:hint="eastAsia" w:ascii="Times New Roman" w:hAnsi="Times New Roman" w:eastAsia="宋体" w:cs="宋体"/>
                      <w:bCs/>
                      <w:color w:val="000000" w:themeColor="text1"/>
                      <w:kern w:val="0"/>
                      <w:szCs w:val="21"/>
                      <w:highlight w:val="none"/>
                      <w:lang w:val="en-US" w:eastAsia="zh-CN" w:bidi="ar"/>
                      <w14:textFill>
                        <w14:solidFill>
                          <w14:schemeClr w14:val="tx1"/>
                        </w14:solidFill>
                      </w14:textFill>
                    </w:rPr>
                    <w:t>80</w:t>
                  </w: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g/min</w:t>
                  </w:r>
                </w:p>
              </w:tc>
              <w:tc>
                <w:tcPr>
                  <w:tcW w:w="843" w:type="pct"/>
                  <w:tcBorders>
                    <w:tl2br w:val="nil"/>
                    <w:tr2bl w:val="nil"/>
                  </w:tcBorders>
                  <w:vAlign w:val="center"/>
                </w:tcPr>
                <w:p w14:paraId="07A288BE">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5（1用4备）</w:t>
                  </w:r>
                </w:p>
              </w:tc>
              <w:tc>
                <w:tcPr>
                  <w:tcW w:w="1316" w:type="pct"/>
                  <w:tcBorders>
                    <w:tl2br w:val="nil"/>
                    <w:tr2bl w:val="nil"/>
                  </w:tcBorders>
                  <w:vAlign w:val="center"/>
                </w:tcPr>
                <w:p w14:paraId="0164940E">
                  <w:pPr>
                    <w:spacing w:before="78" w:beforeLines="25" w:after="78" w:afterLines="25" w:line="28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喷粉工序</w:t>
                  </w:r>
                  <w:r>
                    <w:rPr>
                      <w:rFonts w:hint="eastAsia" w:ascii="Times New Roman" w:hAnsi="Times New Roman" w:eastAsia="宋体" w:cs="宋体"/>
                      <w:bCs/>
                      <w:color w:val="000000" w:themeColor="text1"/>
                      <w:kern w:val="0"/>
                      <w:szCs w:val="21"/>
                      <w:highlight w:val="none"/>
                      <w:lang w:eastAsia="zh-CN" w:bidi="ar"/>
                      <w14:textFill>
                        <w14:solidFill>
                          <w14:schemeClr w14:val="tx1"/>
                        </w14:solidFill>
                      </w14:textFill>
                    </w:rPr>
                    <w:t>（</w:t>
                  </w:r>
                  <w:r>
                    <w:rPr>
                      <w:rFonts w:hint="eastAsia" w:ascii="Times New Roman" w:hAnsi="Times New Roman" w:eastAsia="宋体" w:cs="宋体"/>
                      <w:bCs/>
                      <w:color w:val="000000" w:themeColor="text1"/>
                      <w:kern w:val="0"/>
                      <w:szCs w:val="21"/>
                      <w:highlight w:val="none"/>
                      <w:lang w:val="en-US" w:eastAsia="zh-CN" w:bidi="ar"/>
                      <w14:textFill>
                        <w14:solidFill>
                          <w14:schemeClr w14:val="tx1"/>
                        </w14:solidFill>
                      </w14:textFill>
                    </w:rPr>
                    <w:t>1个喷房配1把喷枪，对应不同颜色塑粉，1用4备</w:t>
                  </w:r>
                  <w:r>
                    <w:rPr>
                      <w:rFonts w:hint="eastAsia" w:ascii="Times New Roman" w:hAnsi="Times New Roman" w:eastAsia="宋体" w:cs="宋体"/>
                      <w:bCs/>
                      <w:color w:val="000000" w:themeColor="text1"/>
                      <w:kern w:val="0"/>
                      <w:szCs w:val="21"/>
                      <w:highlight w:val="none"/>
                      <w:lang w:eastAsia="zh-CN" w:bidi="ar"/>
                      <w14:textFill>
                        <w14:solidFill>
                          <w14:schemeClr w14:val="tx1"/>
                        </w14:solidFill>
                      </w14:textFill>
                    </w:rPr>
                    <w:t>）</w:t>
                  </w:r>
                </w:p>
              </w:tc>
            </w:tr>
            <w:tr w14:paraId="3670C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88" w:type="pct"/>
                  <w:tcBorders>
                    <w:tl2br w:val="nil"/>
                    <w:tr2bl w:val="nil"/>
                  </w:tcBorders>
                  <w:vAlign w:val="center"/>
                </w:tcPr>
                <w:p w14:paraId="65492A07">
                  <w:pPr>
                    <w:spacing w:before="78" w:beforeLines="25" w:after="78" w:afterLines="25" w:line="298"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4</w:t>
                  </w:r>
                </w:p>
              </w:tc>
              <w:tc>
                <w:tcPr>
                  <w:tcW w:w="860" w:type="pct"/>
                  <w:tcBorders>
                    <w:tl2br w:val="nil"/>
                    <w:tr2bl w:val="nil"/>
                  </w:tcBorders>
                  <w:vAlign w:val="center"/>
                </w:tcPr>
                <w:p w14:paraId="42DE4C63">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循环链条</w:t>
                  </w:r>
                </w:p>
              </w:tc>
              <w:tc>
                <w:tcPr>
                  <w:tcW w:w="1490" w:type="pct"/>
                  <w:tcBorders>
                    <w:tl2br w:val="nil"/>
                    <w:tr2bl w:val="nil"/>
                  </w:tcBorders>
                  <w:vAlign w:val="center"/>
                </w:tcPr>
                <w:p w14:paraId="65253B18">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val="en-US" w:eastAsia="zh-CN" w:bidi="ar"/>
                      <w14:textFill>
                        <w14:solidFill>
                          <w14:schemeClr w14:val="tx1"/>
                        </w14:solidFill>
                      </w14:textFill>
                    </w:rPr>
                    <w:t>60</w:t>
                  </w: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m，线速1~1.1m/min</w:t>
                  </w:r>
                </w:p>
              </w:tc>
              <w:tc>
                <w:tcPr>
                  <w:tcW w:w="843" w:type="pct"/>
                  <w:tcBorders>
                    <w:tl2br w:val="nil"/>
                    <w:tr2bl w:val="nil"/>
                  </w:tcBorders>
                  <w:vAlign w:val="center"/>
                </w:tcPr>
                <w:p w14:paraId="6058EC59">
                  <w:pPr>
                    <w:spacing w:before="78" w:beforeLines="25" w:after="78" w:afterLines="25" w:line="29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1</w:t>
                  </w:r>
                </w:p>
              </w:tc>
              <w:tc>
                <w:tcPr>
                  <w:tcW w:w="1316" w:type="pct"/>
                  <w:tcBorders>
                    <w:tl2br w:val="nil"/>
                    <w:tr2bl w:val="nil"/>
                  </w:tcBorders>
                  <w:vAlign w:val="center"/>
                </w:tcPr>
                <w:p w14:paraId="4E6FE9FF">
                  <w:pPr>
                    <w:spacing w:before="78" w:beforeLines="25" w:after="78" w:afterLines="25" w:line="28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喷粉、固化工序</w:t>
                  </w:r>
                </w:p>
              </w:tc>
            </w:tr>
            <w:tr w14:paraId="74398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8" w:type="pct"/>
                  <w:tcBorders>
                    <w:tl2br w:val="nil"/>
                    <w:tr2bl w:val="nil"/>
                  </w:tcBorders>
                  <w:vAlign w:val="center"/>
                </w:tcPr>
                <w:p w14:paraId="1FEB7898">
                  <w:pPr>
                    <w:spacing w:before="78" w:beforeLines="25" w:after="78" w:afterLines="25" w:line="298"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w:t>
                  </w:r>
                </w:p>
              </w:tc>
              <w:tc>
                <w:tcPr>
                  <w:tcW w:w="860" w:type="pct"/>
                  <w:tcBorders>
                    <w:tl2br w:val="nil"/>
                    <w:tr2bl w:val="nil"/>
                  </w:tcBorders>
                  <w:vAlign w:val="center"/>
                </w:tcPr>
                <w:p w14:paraId="277E2295">
                  <w:pPr>
                    <w:spacing w:before="78" w:beforeLines="25" w:after="78" w:afterLines="25" w:line="298" w:lineRule="auto"/>
                    <w:jc w:val="center"/>
                    <w:rPr>
                      <w:rFonts w:ascii="Times New Roman" w:hAnsi="Times New Roman" w:eastAsia="宋体" w:cs="Times New Roman"/>
                      <w:bCs/>
                      <w:color w:val="000000" w:themeColor="text1"/>
                      <w:kern w:val="0"/>
                      <w:szCs w:val="21"/>
                      <w:highlight w:val="none"/>
                      <w:lang w:bidi="ar"/>
                      <w14:textFill>
                        <w14:solidFill>
                          <w14:schemeClr w14:val="tx1"/>
                        </w14:solidFill>
                      </w14:textFill>
                    </w:rPr>
                  </w:pPr>
                  <w:r>
                    <w:rPr>
                      <w:rFonts w:ascii="Times New Roman" w:hAnsi="Times New Roman" w:eastAsia="宋体" w:cs="Times New Roman"/>
                      <w:bCs/>
                      <w:color w:val="000000" w:themeColor="text1"/>
                      <w:kern w:val="0"/>
                      <w:szCs w:val="21"/>
                      <w:highlight w:val="none"/>
                      <w:lang w:bidi="ar"/>
                      <w14:textFill>
                        <w14:solidFill>
                          <w14:schemeClr w14:val="tx1"/>
                        </w14:solidFill>
                      </w14:textFill>
                    </w:rPr>
                    <w:t>烘道</w:t>
                  </w:r>
                </w:p>
              </w:tc>
              <w:tc>
                <w:tcPr>
                  <w:tcW w:w="1490" w:type="pct"/>
                  <w:tcBorders>
                    <w:tl2br w:val="nil"/>
                    <w:tr2bl w:val="nil"/>
                  </w:tcBorders>
                  <w:vAlign w:val="center"/>
                </w:tcPr>
                <w:p w14:paraId="2D016CEC">
                  <w:pPr>
                    <w:spacing w:before="78" w:beforeLines="25" w:after="78" w:afterLines="25" w:line="298" w:lineRule="auto"/>
                    <w:jc w:val="center"/>
                    <w:rPr>
                      <w:rFonts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bidi="ar"/>
                      <w14:textFill>
                        <w14:solidFill>
                          <w14:schemeClr w14:val="tx1"/>
                        </w14:solidFill>
                      </w14:textFill>
                    </w:rPr>
                    <w:t>2.3m*2.5m*</w:t>
                  </w:r>
                  <w:r>
                    <w:rPr>
                      <w:rFonts w:hint="eastAsia" w:ascii="Times New Roman" w:hAnsi="Times New Roman" w:eastAsia="宋体" w:cs="Times New Roman"/>
                      <w:bCs/>
                      <w:color w:val="000000" w:themeColor="text1"/>
                      <w:kern w:val="0"/>
                      <w:szCs w:val="21"/>
                      <w:highlight w:val="none"/>
                      <w:lang w:val="en-US" w:eastAsia="zh-CN" w:bidi="ar"/>
                      <w14:textFill>
                        <w14:solidFill>
                          <w14:schemeClr w14:val="tx1"/>
                        </w14:solidFill>
                      </w14:textFill>
                    </w:rPr>
                    <w:t>40</w:t>
                  </w:r>
                  <w:r>
                    <w:rPr>
                      <w:rFonts w:hint="eastAsia" w:ascii="Times New Roman" w:hAnsi="Times New Roman" w:eastAsia="宋体" w:cs="Times New Roman"/>
                      <w:bCs/>
                      <w:color w:val="000000" w:themeColor="text1"/>
                      <w:kern w:val="0"/>
                      <w:szCs w:val="21"/>
                      <w:highlight w:val="none"/>
                      <w:lang w:bidi="ar"/>
                      <w14:textFill>
                        <w14:solidFill>
                          <w14:schemeClr w14:val="tx1"/>
                        </w14:solidFill>
                      </w14:textFill>
                    </w:rPr>
                    <w:t>m</w:t>
                  </w:r>
                </w:p>
              </w:tc>
              <w:tc>
                <w:tcPr>
                  <w:tcW w:w="843" w:type="pct"/>
                  <w:tcBorders>
                    <w:tl2br w:val="nil"/>
                    <w:tr2bl w:val="nil"/>
                  </w:tcBorders>
                  <w:vAlign w:val="center"/>
                </w:tcPr>
                <w:p w14:paraId="2ABC5574">
                  <w:pPr>
                    <w:spacing w:before="78" w:beforeLines="25" w:after="78" w:afterLines="25" w:line="298" w:lineRule="auto"/>
                    <w:jc w:val="center"/>
                    <w:rPr>
                      <w:rFonts w:ascii="Times New Roman" w:hAnsi="Times New Roman" w:eastAsia="宋体" w:cs="Times New Roman"/>
                      <w:bCs/>
                      <w:color w:val="000000" w:themeColor="text1"/>
                      <w:kern w:val="0"/>
                      <w:szCs w:val="21"/>
                      <w:highlight w:val="none"/>
                      <w:lang w:bidi="ar"/>
                      <w14:textFill>
                        <w14:solidFill>
                          <w14:schemeClr w14:val="tx1"/>
                        </w14:solidFill>
                      </w14:textFill>
                    </w:rPr>
                  </w:pPr>
                  <w:r>
                    <w:rPr>
                      <w:rFonts w:ascii="Times New Roman" w:hAnsi="Times New Roman" w:eastAsia="宋体" w:cs="Times New Roman"/>
                      <w:bCs/>
                      <w:color w:val="000000" w:themeColor="text1"/>
                      <w:kern w:val="0"/>
                      <w:szCs w:val="21"/>
                      <w:highlight w:val="none"/>
                      <w:lang w:bidi="ar"/>
                      <w14:textFill>
                        <w14:solidFill>
                          <w14:schemeClr w14:val="tx1"/>
                        </w14:solidFill>
                      </w14:textFill>
                    </w:rPr>
                    <w:t>1</w:t>
                  </w:r>
                </w:p>
              </w:tc>
              <w:tc>
                <w:tcPr>
                  <w:tcW w:w="1316" w:type="pct"/>
                  <w:tcBorders>
                    <w:tl2br w:val="nil"/>
                    <w:tr2bl w:val="nil"/>
                  </w:tcBorders>
                  <w:vAlign w:val="center"/>
                </w:tcPr>
                <w:p w14:paraId="16271411">
                  <w:pPr>
                    <w:spacing w:before="78" w:beforeLines="25" w:after="78" w:afterLines="25" w:line="28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固化工序</w:t>
                  </w:r>
                </w:p>
              </w:tc>
            </w:tr>
            <w:tr w14:paraId="731C3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88" w:type="pct"/>
                  <w:tcBorders>
                    <w:tl2br w:val="nil"/>
                    <w:tr2bl w:val="nil"/>
                  </w:tcBorders>
                  <w:vAlign w:val="center"/>
                </w:tcPr>
                <w:p w14:paraId="5E7963F5">
                  <w:pPr>
                    <w:spacing w:before="78" w:beforeLines="25" w:after="78" w:afterLines="25" w:line="298"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6</w:t>
                  </w:r>
                </w:p>
              </w:tc>
              <w:tc>
                <w:tcPr>
                  <w:tcW w:w="860" w:type="pct"/>
                  <w:tcBorders>
                    <w:tl2br w:val="nil"/>
                    <w:tr2bl w:val="nil"/>
                  </w:tcBorders>
                  <w:vAlign w:val="center"/>
                </w:tcPr>
                <w:p w14:paraId="71FC9C85">
                  <w:pPr>
                    <w:spacing w:before="78" w:beforeLines="25" w:after="78" w:afterLines="25" w:line="298" w:lineRule="auto"/>
                    <w:jc w:val="center"/>
                    <w:rPr>
                      <w:rFonts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燃烧机</w:t>
                  </w:r>
                </w:p>
              </w:tc>
              <w:tc>
                <w:tcPr>
                  <w:tcW w:w="1490" w:type="pct"/>
                  <w:tcBorders>
                    <w:tl2br w:val="nil"/>
                    <w:tr2bl w:val="nil"/>
                  </w:tcBorders>
                  <w:vAlign w:val="center"/>
                </w:tcPr>
                <w:p w14:paraId="030D9773">
                  <w:pPr>
                    <w:spacing w:before="78" w:beforeLines="25" w:after="78" w:afterLines="25" w:line="298" w:lineRule="auto"/>
                    <w:jc w:val="cente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843" w:type="pct"/>
                  <w:tcBorders>
                    <w:tl2br w:val="nil"/>
                    <w:tr2bl w:val="nil"/>
                  </w:tcBorders>
                  <w:vAlign w:val="center"/>
                </w:tcPr>
                <w:p w14:paraId="3B77D771">
                  <w:pPr>
                    <w:spacing w:before="78" w:beforeLines="25" w:after="78" w:afterLines="25" w:line="298" w:lineRule="auto"/>
                    <w:jc w:val="center"/>
                    <w:rPr>
                      <w:rFonts w:ascii="Times New Roman" w:hAnsi="Times New Roman" w:eastAsia="宋体" w:cs="Times New Roman"/>
                      <w:bCs/>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kern w:val="0"/>
                      <w:szCs w:val="21"/>
                      <w:highlight w:val="none"/>
                      <w:lang w:bidi="ar"/>
                      <w14:textFill>
                        <w14:solidFill>
                          <w14:schemeClr w14:val="tx1"/>
                        </w14:solidFill>
                      </w14:textFill>
                    </w:rPr>
                    <w:t>1</w:t>
                  </w:r>
                </w:p>
              </w:tc>
              <w:tc>
                <w:tcPr>
                  <w:tcW w:w="1316" w:type="pct"/>
                  <w:tcBorders>
                    <w:tl2br w:val="nil"/>
                    <w:tr2bl w:val="nil"/>
                  </w:tcBorders>
                  <w:vAlign w:val="center"/>
                </w:tcPr>
                <w:p w14:paraId="7F90DA86">
                  <w:pPr>
                    <w:spacing w:before="78" w:beforeLines="25" w:after="78" w:afterLines="25" w:line="28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固化工序</w:t>
                  </w:r>
                </w:p>
              </w:tc>
            </w:tr>
            <w:tr w14:paraId="77021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8" w:type="pct"/>
                  <w:tcBorders>
                    <w:tl2br w:val="nil"/>
                    <w:tr2bl w:val="nil"/>
                  </w:tcBorders>
                  <w:vAlign w:val="center"/>
                </w:tcPr>
                <w:p w14:paraId="1D0392DB">
                  <w:pPr>
                    <w:spacing w:before="78" w:beforeLines="25" w:after="78" w:afterLines="25" w:line="298"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w:t>
                  </w:r>
                </w:p>
              </w:tc>
              <w:tc>
                <w:tcPr>
                  <w:tcW w:w="860" w:type="pct"/>
                  <w:tcBorders>
                    <w:tl2br w:val="nil"/>
                    <w:tr2bl w:val="nil"/>
                  </w:tcBorders>
                  <w:vAlign w:val="center"/>
                </w:tcPr>
                <w:p w14:paraId="2D25A238">
                  <w:pPr>
                    <w:spacing w:before="78" w:beforeLines="25" w:after="78" w:afterLines="25" w:line="303"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螺杆空压机</w:t>
                  </w:r>
                </w:p>
              </w:tc>
              <w:tc>
                <w:tcPr>
                  <w:tcW w:w="1490" w:type="pct"/>
                  <w:tcBorders>
                    <w:tl2br w:val="nil"/>
                    <w:tr2bl w:val="nil"/>
                  </w:tcBorders>
                  <w:vAlign w:val="center"/>
                </w:tcPr>
                <w:p w14:paraId="17CCFCD6">
                  <w:pPr>
                    <w:spacing w:before="78" w:beforeLines="25" w:after="78" w:afterLines="25" w:line="303" w:lineRule="auto"/>
                    <w:jc w:val="center"/>
                    <w:rPr>
                      <w:rFonts w:hint="default" w:ascii="Times New Roman" w:hAnsi="Times New Roman" w:cs="宋体" w:eastAsiaTheme="minorEastAsia"/>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2.0A</w:t>
                  </w:r>
                  <w:r>
                    <w:rPr>
                      <w:rStyle w:val="31"/>
                      <w:rFonts w:hint="eastAsia"/>
                      <w:color w:val="000000" w:themeColor="text1"/>
                      <w:kern w:val="0"/>
                      <w:szCs w:val="20"/>
                      <w:highlight w:val="none"/>
                      <w:lang w:eastAsia="zh-CN"/>
                      <w14:textFill>
                        <w14:solidFill>
                          <w14:schemeClr w14:val="tx1"/>
                        </w14:solidFill>
                      </w14:textFill>
                    </w:rPr>
                    <w:t>，</w:t>
                  </w:r>
                  <w:r>
                    <w:rPr>
                      <w:rFonts w:hint="eastAsia" w:ascii="Times New Roman" w:hAnsi="Times New Roman" w:eastAsia="宋体" w:cs="宋体"/>
                      <w:bCs/>
                      <w:color w:val="000000" w:themeColor="text1"/>
                      <w:kern w:val="0"/>
                      <w:szCs w:val="21"/>
                      <w:highlight w:val="none"/>
                      <w:lang w:val="en-US" w:eastAsia="zh-CN" w:bidi="ar"/>
                      <w14:textFill>
                        <w14:solidFill>
                          <w14:schemeClr w14:val="tx1"/>
                        </w14:solidFill>
                      </w14:textFill>
                    </w:rPr>
                    <w:t>0.5m</w:t>
                  </w:r>
                  <w:r>
                    <w:rPr>
                      <w:rFonts w:hint="eastAsia" w:ascii="Times New Roman" w:hAnsi="Times New Roman" w:eastAsia="宋体" w:cs="宋体"/>
                      <w:bCs/>
                      <w:color w:val="000000" w:themeColor="text1"/>
                      <w:kern w:val="0"/>
                      <w:szCs w:val="21"/>
                      <w:highlight w:val="none"/>
                      <w:vertAlign w:val="superscript"/>
                      <w:lang w:val="en-US" w:eastAsia="zh-CN" w:bidi="ar"/>
                      <w14:textFill>
                        <w14:solidFill>
                          <w14:schemeClr w14:val="tx1"/>
                        </w14:solidFill>
                      </w14:textFill>
                    </w:rPr>
                    <w:t>3</w:t>
                  </w:r>
                  <w:r>
                    <w:rPr>
                      <w:rFonts w:hint="eastAsia" w:ascii="Times New Roman" w:hAnsi="Times New Roman" w:eastAsia="宋体" w:cs="宋体"/>
                      <w:bCs/>
                      <w:color w:val="000000" w:themeColor="text1"/>
                      <w:kern w:val="0"/>
                      <w:szCs w:val="21"/>
                      <w:highlight w:val="none"/>
                      <w:lang w:val="en-US" w:eastAsia="zh-CN" w:bidi="ar"/>
                      <w14:textFill>
                        <w14:solidFill>
                          <w14:schemeClr w14:val="tx1"/>
                        </w14:solidFill>
                      </w14:textFill>
                    </w:rPr>
                    <w:t>/min</w:t>
                  </w:r>
                </w:p>
              </w:tc>
              <w:tc>
                <w:tcPr>
                  <w:tcW w:w="843" w:type="pct"/>
                  <w:tcBorders>
                    <w:tl2br w:val="nil"/>
                    <w:tr2bl w:val="nil"/>
                  </w:tcBorders>
                  <w:vAlign w:val="center"/>
                </w:tcPr>
                <w:p w14:paraId="2E0C63F4">
                  <w:pPr>
                    <w:spacing w:before="78" w:beforeLines="25" w:after="78" w:afterLines="25" w:line="303"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1</w:t>
                  </w:r>
                </w:p>
              </w:tc>
              <w:tc>
                <w:tcPr>
                  <w:tcW w:w="1316" w:type="pct"/>
                  <w:tcBorders>
                    <w:tl2br w:val="nil"/>
                    <w:tr2bl w:val="nil"/>
                  </w:tcBorders>
                  <w:vAlign w:val="center"/>
                </w:tcPr>
                <w:p w14:paraId="2C6342B0">
                  <w:pPr>
                    <w:spacing w:before="78" w:beforeLines="25" w:after="78" w:afterLines="25" w:line="293"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提供压缩空气</w:t>
                  </w:r>
                </w:p>
              </w:tc>
            </w:tr>
            <w:tr w14:paraId="24C33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8" w:type="pct"/>
                  <w:tcBorders>
                    <w:tl2br w:val="nil"/>
                    <w:tr2bl w:val="nil"/>
                  </w:tcBorders>
                  <w:vAlign w:val="center"/>
                </w:tcPr>
                <w:p w14:paraId="258CE463">
                  <w:pPr>
                    <w:spacing w:before="78" w:beforeLines="25" w:after="78" w:afterLines="25" w:line="298"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w:t>
                  </w:r>
                </w:p>
              </w:tc>
              <w:tc>
                <w:tcPr>
                  <w:tcW w:w="860" w:type="pct"/>
                  <w:tcBorders>
                    <w:tl2br w:val="nil"/>
                    <w:tr2bl w:val="nil"/>
                  </w:tcBorders>
                  <w:vAlign w:val="center"/>
                </w:tcPr>
                <w:p w14:paraId="292277D1">
                  <w:pPr>
                    <w:spacing w:before="78" w:beforeLines="25" w:after="78" w:afterLines="25" w:line="303"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手动叉车</w:t>
                  </w:r>
                </w:p>
              </w:tc>
              <w:tc>
                <w:tcPr>
                  <w:tcW w:w="1490" w:type="pct"/>
                  <w:tcBorders>
                    <w:tl2br w:val="nil"/>
                    <w:tr2bl w:val="nil"/>
                  </w:tcBorders>
                  <w:vAlign w:val="center"/>
                </w:tcPr>
                <w:p w14:paraId="2A5B5C34">
                  <w:pPr>
                    <w:spacing w:before="78" w:beforeLines="25" w:after="78" w:afterLines="25" w:line="303"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2.5T、3T</w:t>
                  </w:r>
                </w:p>
              </w:tc>
              <w:tc>
                <w:tcPr>
                  <w:tcW w:w="843" w:type="pct"/>
                  <w:tcBorders>
                    <w:tl2br w:val="nil"/>
                    <w:tr2bl w:val="nil"/>
                  </w:tcBorders>
                  <w:vAlign w:val="center"/>
                </w:tcPr>
                <w:p w14:paraId="0DECF11D">
                  <w:pPr>
                    <w:spacing w:before="78" w:beforeLines="25" w:after="78" w:afterLines="25" w:line="303"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3</w:t>
                  </w:r>
                </w:p>
              </w:tc>
              <w:tc>
                <w:tcPr>
                  <w:tcW w:w="1316" w:type="pct"/>
                  <w:tcBorders>
                    <w:tl2br w:val="nil"/>
                    <w:tr2bl w:val="nil"/>
                  </w:tcBorders>
                  <w:vAlign w:val="center"/>
                </w:tcPr>
                <w:p w14:paraId="55EA9E2E">
                  <w:pPr>
                    <w:spacing w:before="78" w:beforeLines="25" w:after="78" w:afterLines="25" w:line="288" w:lineRule="auto"/>
                    <w:jc w:val="center"/>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场内运输</w:t>
                  </w:r>
                </w:p>
              </w:tc>
            </w:tr>
            <w:tr w14:paraId="70572E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5"/>
                  <w:tcBorders>
                    <w:tl2br w:val="nil"/>
                    <w:tr2bl w:val="nil"/>
                  </w:tcBorders>
                  <w:vAlign w:val="center"/>
                </w:tcPr>
                <w:p w14:paraId="6F3571AF">
                  <w:pPr>
                    <w:spacing w:before="78" w:beforeLines="25" w:after="78" w:afterLines="25" w:line="300" w:lineRule="auto"/>
                    <w:rPr>
                      <w:rFonts w:ascii="Times New Roman" w:hAnsi="Times New Roman" w:eastAsia="宋体" w:cs="宋体"/>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color w:val="000000" w:themeColor="text1"/>
                      <w:kern w:val="0"/>
                      <w:szCs w:val="21"/>
                      <w:highlight w:val="none"/>
                      <w:lang w:bidi="ar"/>
                      <w14:textFill>
                        <w14:solidFill>
                          <w14:schemeClr w14:val="tx1"/>
                        </w14:solidFill>
                      </w14:textFill>
                    </w:rPr>
                    <w:t>注</w:t>
                  </w: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：项目采用工艺设备均不属于《产业结构调整指导目录（2024年本）》、《部分工业行业淘汰落后生产工艺装备和产品指导目录（</w:t>
                  </w:r>
                  <w:r>
                    <w:rPr>
                      <w:rFonts w:ascii="Times New Roman" w:hAnsi="Times New Roman" w:eastAsia="宋体" w:cs="宋体"/>
                      <w:bCs/>
                      <w:color w:val="000000" w:themeColor="text1"/>
                      <w:kern w:val="0"/>
                      <w:szCs w:val="21"/>
                      <w:highlight w:val="none"/>
                      <w:lang w:bidi="ar"/>
                      <w14:textFill>
                        <w14:solidFill>
                          <w14:schemeClr w14:val="tx1"/>
                        </w14:solidFill>
                      </w14:textFill>
                    </w:rPr>
                    <w:t>2010</w:t>
                  </w:r>
                  <w:r>
                    <w:rPr>
                      <w:rFonts w:hint="eastAsia" w:ascii="Times New Roman" w:hAnsi="Times New Roman" w:eastAsia="宋体" w:cs="宋体"/>
                      <w:bCs/>
                      <w:color w:val="000000" w:themeColor="text1"/>
                      <w:kern w:val="0"/>
                      <w:szCs w:val="21"/>
                      <w:highlight w:val="none"/>
                      <w:lang w:bidi="ar"/>
                      <w14:textFill>
                        <w14:solidFill>
                          <w14:schemeClr w14:val="tx1"/>
                        </w14:solidFill>
                      </w14:textFill>
                    </w:rPr>
                    <w:t>年本）》以及《高耗能落后机电设备（产品）淘汰目录（第一、二、三、四批）》淘汰目录范畴。</w:t>
                  </w:r>
                </w:p>
              </w:tc>
            </w:tr>
          </w:tbl>
          <w:p w14:paraId="5BA57BAE">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（2）产能匹配性分析</w:t>
            </w:r>
          </w:p>
          <w:p w14:paraId="7686B945">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项目主要设备产能匹配性分析详见表2-6。</w:t>
            </w:r>
          </w:p>
          <w:p w14:paraId="297E7DF6">
            <w:pPr>
              <w:spacing w:line="360" w:lineRule="auto"/>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表</w:t>
            </w:r>
            <w:r>
              <w:rPr>
                <w:rFonts w:hint="eastAsia" w:ascii="Times New Roman" w:hAnsi="Times New Roman" w:eastAsia="宋体" w:cs="Times New Roman"/>
                <w:color w:val="000000" w:themeColor="text1"/>
                <w:sz w:val="24"/>
                <w:highlight w:val="none"/>
                <w14:textFill>
                  <w14:solidFill>
                    <w14:schemeClr w14:val="tx1"/>
                  </w14:solidFill>
                </w14:textFill>
              </w:rPr>
              <w:t>2-6  主要设备产能匹配性分析情况表</w:t>
            </w:r>
          </w:p>
          <w:tbl>
            <w:tblPr>
              <w:tblStyle w:val="26"/>
              <w:tblW w:w="494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798"/>
              <w:gridCol w:w="1021"/>
              <w:gridCol w:w="956"/>
              <w:gridCol w:w="794"/>
              <w:gridCol w:w="1021"/>
              <w:gridCol w:w="891"/>
              <w:gridCol w:w="1116"/>
              <w:gridCol w:w="801"/>
            </w:tblGrid>
            <w:tr w14:paraId="4F754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4" w:type="pct"/>
                  <w:vMerge w:val="restart"/>
                  <w:tcBorders>
                    <w:tl2br w:val="nil"/>
                    <w:tr2bl w:val="nil"/>
                  </w:tcBorders>
                  <w:vAlign w:val="center"/>
                </w:tcPr>
                <w:p w14:paraId="74B2FD70">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ascii="Times New Roman" w:hAnsi="Times New Roman" w:cs="Times New Roman"/>
                      <w:b w:val="0"/>
                      <w:bCs/>
                      <w:color w:val="000000" w:themeColor="text1"/>
                      <w:highlight w:val="none"/>
                      <w14:textFill>
                        <w14:solidFill>
                          <w14:schemeClr w14:val="tx1"/>
                        </w14:solidFill>
                      </w14:textFill>
                    </w:rPr>
                    <w:t>设备名称</w:t>
                  </w:r>
                </w:p>
              </w:tc>
              <w:tc>
                <w:tcPr>
                  <w:tcW w:w="477" w:type="pct"/>
                  <w:vMerge w:val="restart"/>
                  <w:tcBorders>
                    <w:tl2br w:val="nil"/>
                    <w:tr2bl w:val="nil"/>
                  </w:tcBorders>
                  <w:vAlign w:val="center"/>
                </w:tcPr>
                <w:p w14:paraId="11B19EF0">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ascii="Times New Roman" w:hAnsi="Times New Roman" w:cs="Times New Roman"/>
                      <w:b w:val="0"/>
                      <w:bCs/>
                      <w:color w:val="000000" w:themeColor="text1"/>
                      <w:highlight w:val="none"/>
                      <w14:textFill>
                        <w14:solidFill>
                          <w14:schemeClr w14:val="tx1"/>
                        </w14:solidFill>
                      </w14:textFill>
                    </w:rPr>
                    <w:t>对应工序</w:t>
                  </w:r>
                </w:p>
              </w:tc>
              <w:tc>
                <w:tcPr>
                  <w:tcW w:w="2268" w:type="pct"/>
                  <w:gridSpan w:val="4"/>
                  <w:tcBorders>
                    <w:tl2br w:val="nil"/>
                    <w:tr2bl w:val="nil"/>
                  </w:tcBorders>
                  <w:vAlign w:val="center"/>
                </w:tcPr>
                <w:p w14:paraId="662B0A5E">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ascii="Times New Roman" w:hAnsi="Times New Roman" w:cs="Times New Roman"/>
                      <w:b w:val="0"/>
                      <w:bCs/>
                      <w:color w:val="000000" w:themeColor="text1"/>
                      <w:highlight w:val="none"/>
                      <w14:textFill>
                        <w14:solidFill>
                          <w14:schemeClr w14:val="tx1"/>
                        </w14:solidFill>
                      </w14:textFill>
                    </w:rPr>
                    <w:t>单台设备生产参数</w:t>
                  </w:r>
                </w:p>
              </w:tc>
              <w:tc>
                <w:tcPr>
                  <w:tcW w:w="533" w:type="pct"/>
                  <w:vMerge w:val="restart"/>
                  <w:tcBorders>
                    <w:tl2br w:val="nil"/>
                    <w:tr2bl w:val="nil"/>
                  </w:tcBorders>
                  <w:vAlign w:val="center"/>
                </w:tcPr>
                <w:p w14:paraId="1C39A64C">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设备</w:t>
                  </w:r>
                </w:p>
                <w:p w14:paraId="6AAD6588">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ascii="Times New Roman" w:hAnsi="Times New Roman" w:cs="Times New Roman"/>
                      <w:b w:val="0"/>
                      <w:bCs/>
                      <w:color w:val="000000" w:themeColor="text1"/>
                      <w:highlight w:val="none"/>
                      <w14:textFill>
                        <w14:solidFill>
                          <w14:schemeClr w14:val="tx1"/>
                        </w14:solidFill>
                      </w14:textFill>
                    </w:rPr>
                    <w:t>数量</w:t>
                  </w:r>
                </w:p>
              </w:tc>
              <w:tc>
                <w:tcPr>
                  <w:tcW w:w="667" w:type="pct"/>
                  <w:vMerge w:val="restart"/>
                  <w:tcBorders>
                    <w:tl2br w:val="nil"/>
                    <w:tr2bl w:val="nil"/>
                  </w:tcBorders>
                  <w:vAlign w:val="center"/>
                </w:tcPr>
                <w:p w14:paraId="191D0DE4">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设备最大年</w:t>
                  </w:r>
                  <w:r>
                    <w:rPr>
                      <w:rFonts w:ascii="Times New Roman" w:hAnsi="Times New Roman" w:cs="Times New Roman"/>
                      <w:b w:val="0"/>
                      <w:bCs/>
                      <w:color w:val="000000" w:themeColor="text1"/>
                      <w:highlight w:val="none"/>
                      <w14:textFill>
                        <w14:solidFill>
                          <w14:schemeClr w14:val="tx1"/>
                        </w14:solidFill>
                      </w14:textFill>
                    </w:rPr>
                    <w:t>产能</w:t>
                  </w:r>
                </w:p>
              </w:tc>
              <w:tc>
                <w:tcPr>
                  <w:tcW w:w="479" w:type="pct"/>
                  <w:vMerge w:val="restart"/>
                  <w:tcBorders>
                    <w:tl2br w:val="nil"/>
                    <w:tr2bl w:val="nil"/>
                  </w:tcBorders>
                  <w:vAlign w:val="center"/>
                </w:tcPr>
                <w:p w14:paraId="0AAAA47F">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ascii="Times New Roman" w:hAnsi="Times New Roman" w:cs="Times New Roman"/>
                      <w:b w:val="0"/>
                      <w:bCs/>
                      <w:color w:val="000000" w:themeColor="text1"/>
                      <w:highlight w:val="none"/>
                      <w14:textFill>
                        <w14:solidFill>
                          <w14:schemeClr w14:val="tx1"/>
                        </w14:solidFill>
                      </w14:textFill>
                    </w:rPr>
                    <w:t>实际年产能</w:t>
                  </w:r>
                </w:p>
              </w:tc>
            </w:tr>
            <w:tr w14:paraId="32CEF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74" w:type="pct"/>
                  <w:vMerge w:val="continue"/>
                  <w:tcBorders>
                    <w:tl2br w:val="nil"/>
                    <w:tr2bl w:val="nil"/>
                  </w:tcBorders>
                  <w:vAlign w:val="center"/>
                </w:tcPr>
                <w:p w14:paraId="6114BBDF">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p>
              </w:tc>
              <w:tc>
                <w:tcPr>
                  <w:tcW w:w="477" w:type="pct"/>
                  <w:vMerge w:val="continue"/>
                  <w:tcBorders>
                    <w:tl2br w:val="nil"/>
                    <w:tr2bl w:val="nil"/>
                  </w:tcBorders>
                  <w:vAlign w:val="center"/>
                </w:tcPr>
                <w:p w14:paraId="737843CF">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p>
              </w:tc>
              <w:tc>
                <w:tcPr>
                  <w:tcW w:w="610" w:type="pct"/>
                  <w:tcBorders>
                    <w:tl2br w:val="nil"/>
                    <w:tr2bl w:val="nil"/>
                  </w:tcBorders>
                  <w:vAlign w:val="center"/>
                </w:tcPr>
                <w:p w14:paraId="67CE4852">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ascii="Times New Roman" w:hAnsi="Times New Roman" w:cs="Times New Roman"/>
                      <w:b w:val="0"/>
                      <w:bCs/>
                      <w:color w:val="000000" w:themeColor="text1"/>
                      <w:highlight w:val="none"/>
                      <w14:textFill>
                        <w14:solidFill>
                          <w14:schemeClr w14:val="tx1"/>
                        </w14:solidFill>
                      </w14:textFill>
                    </w:rPr>
                    <w:t>生产时间</w:t>
                  </w:r>
                </w:p>
              </w:tc>
              <w:tc>
                <w:tcPr>
                  <w:tcW w:w="571" w:type="pct"/>
                  <w:tcBorders>
                    <w:tl2br w:val="nil"/>
                    <w:tr2bl w:val="nil"/>
                  </w:tcBorders>
                  <w:vAlign w:val="center"/>
                </w:tcPr>
                <w:p w14:paraId="6FB94FD2">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ascii="Times New Roman" w:hAnsi="Times New Roman" w:cs="Times New Roman"/>
                      <w:b w:val="0"/>
                      <w:bCs/>
                      <w:color w:val="000000" w:themeColor="text1"/>
                      <w:highlight w:val="none"/>
                      <w14:textFill>
                        <w14:solidFill>
                          <w14:schemeClr w14:val="tx1"/>
                        </w14:solidFill>
                      </w14:textFill>
                    </w:rPr>
                    <w:t>产能</w:t>
                  </w:r>
                </w:p>
              </w:tc>
              <w:tc>
                <w:tcPr>
                  <w:tcW w:w="474" w:type="pct"/>
                  <w:tcBorders>
                    <w:tl2br w:val="nil"/>
                    <w:tr2bl w:val="nil"/>
                  </w:tcBorders>
                  <w:vAlign w:val="center"/>
                </w:tcPr>
                <w:p w14:paraId="333829EB">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ascii="Times New Roman" w:hAnsi="Times New Roman" w:cs="Times New Roman"/>
                      <w:b w:val="0"/>
                      <w:bCs/>
                      <w:color w:val="000000" w:themeColor="text1"/>
                      <w:highlight w:val="none"/>
                      <w14:textFill>
                        <w14:solidFill>
                          <w14:schemeClr w14:val="tx1"/>
                        </w14:solidFill>
                      </w14:textFill>
                    </w:rPr>
                    <w:t>年工作基数h</w:t>
                  </w:r>
                </w:p>
              </w:tc>
              <w:tc>
                <w:tcPr>
                  <w:tcW w:w="610" w:type="pct"/>
                  <w:tcBorders>
                    <w:tl2br w:val="nil"/>
                    <w:tr2bl w:val="nil"/>
                  </w:tcBorders>
                  <w:vAlign w:val="center"/>
                </w:tcPr>
                <w:p w14:paraId="0CACF550">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ascii="Times New Roman" w:hAnsi="Times New Roman" w:cs="Times New Roman"/>
                      <w:b w:val="0"/>
                      <w:bCs/>
                      <w:color w:val="000000" w:themeColor="text1"/>
                      <w:highlight w:val="none"/>
                      <w14:textFill>
                        <w14:solidFill>
                          <w14:schemeClr w14:val="tx1"/>
                        </w14:solidFill>
                      </w14:textFill>
                    </w:rPr>
                    <w:t>年</w:t>
                  </w:r>
                  <w:r>
                    <w:rPr>
                      <w:rFonts w:hint="eastAsia" w:ascii="Times New Roman" w:hAnsi="Times New Roman" w:cs="Times New Roman"/>
                      <w:b w:val="0"/>
                      <w:bCs/>
                      <w:color w:val="000000" w:themeColor="text1"/>
                      <w:highlight w:val="none"/>
                      <w14:textFill>
                        <w14:solidFill>
                          <w14:schemeClr w14:val="tx1"/>
                        </w14:solidFill>
                      </w14:textFill>
                    </w:rPr>
                    <w:t>加工量</w:t>
                  </w:r>
                </w:p>
              </w:tc>
              <w:tc>
                <w:tcPr>
                  <w:tcW w:w="533" w:type="pct"/>
                  <w:vMerge w:val="continue"/>
                  <w:tcBorders>
                    <w:tl2br w:val="nil"/>
                    <w:tr2bl w:val="nil"/>
                  </w:tcBorders>
                  <w:vAlign w:val="center"/>
                </w:tcPr>
                <w:p w14:paraId="624BC8D7">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p>
              </w:tc>
              <w:tc>
                <w:tcPr>
                  <w:tcW w:w="667" w:type="pct"/>
                  <w:vMerge w:val="continue"/>
                  <w:tcBorders>
                    <w:tl2br w:val="nil"/>
                    <w:tr2bl w:val="nil"/>
                  </w:tcBorders>
                  <w:vAlign w:val="center"/>
                </w:tcPr>
                <w:p w14:paraId="1064C496">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p>
              </w:tc>
              <w:tc>
                <w:tcPr>
                  <w:tcW w:w="479" w:type="pct"/>
                  <w:vMerge w:val="continue"/>
                  <w:tcBorders>
                    <w:tl2br w:val="nil"/>
                    <w:tr2bl w:val="nil"/>
                  </w:tcBorders>
                  <w:vAlign w:val="center"/>
                </w:tcPr>
                <w:p w14:paraId="04D6783A">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p>
              </w:tc>
            </w:tr>
            <w:tr w14:paraId="59BC0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4" w:type="pct"/>
                  <w:tcBorders>
                    <w:tl2br w:val="nil"/>
                    <w:tr2bl w:val="nil"/>
                  </w:tcBorders>
                  <w:vAlign w:val="center"/>
                </w:tcPr>
                <w:p w14:paraId="48346A1F">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抛丸机</w:t>
                  </w:r>
                </w:p>
              </w:tc>
              <w:tc>
                <w:tcPr>
                  <w:tcW w:w="477" w:type="pct"/>
                  <w:tcBorders>
                    <w:tl2br w:val="nil"/>
                    <w:tr2bl w:val="nil"/>
                  </w:tcBorders>
                  <w:vAlign w:val="center"/>
                </w:tcPr>
                <w:p w14:paraId="1DD7F1AB">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抛丸</w:t>
                  </w:r>
                </w:p>
              </w:tc>
              <w:tc>
                <w:tcPr>
                  <w:tcW w:w="610" w:type="pct"/>
                  <w:tcBorders>
                    <w:tl2br w:val="nil"/>
                    <w:tr2bl w:val="nil"/>
                  </w:tcBorders>
                  <w:vAlign w:val="center"/>
                </w:tcPr>
                <w:p w14:paraId="005EEEC3">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eastAsia="等线" w:cs="Times New Roman"/>
                      <w:b w:val="0"/>
                      <w:bCs/>
                      <w:color w:val="000000" w:themeColor="text1"/>
                      <w:highlight w:val="none"/>
                      <w:lang w:val="en-US" w:eastAsia="zh-CN"/>
                      <w14:textFill>
                        <w14:solidFill>
                          <w14:schemeClr w14:val="tx1"/>
                        </w14:solidFill>
                      </w14:textFill>
                    </w:rPr>
                    <w:t>20min</w:t>
                  </w:r>
                  <w:r>
                    <w:rPr>
                      <w:rFonts w:hint="eastAsia" w:ascii="Times New Roman" w:hAnsi="Times New Roman" w:eastAsia="等线" w:cs="Times New Roman"/>
                      <w:b w:val="0"/>
                      <w:bCs/>
                      <w:color w:val="000000" w:themeColor="text1"/>
                      <w:highlight w:val="none"/>
                      <w14:textFill>
                        <w14:solidFill>
                          <w14:schemeClr w14:val="tx1"/>
                        </w14:solidFill>
                      </w14:textFill>
                    </w:rPr>
                    <w:t>/批</w:t>
                  </w:r>
                </w:p>
              </w:tc>
              <w:tc>
                <w:tcPr>
                  <w:tcW w:w="571" w:type="pct"/>
                  <w:tcBorders>
                    <w:tl2br w:val="nil"/>
                    <w:tr2bl w:val="nil"/>
                  </w:tcBorders>
                  <w:vAlign w:val="center"/>
                </w:tcPr>
                <w:p w14:paraId="54FA66CF">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40件/批</w:t>
                  </w:r>
                </w:p>
              </w:tc>
              <w:tc>
                <w:tcPr>
                  <w:tcW w:w="474" w:type="pct"/>
                  <w:tcBorders>
                    <w:tl2br w:val="nil"/>
                    <w:tr2bl w:val="nil"/>
                  </w:tcBorders>
                  <w:vAlign w:val="center"/>
                </w:tcPr>
                <w:p w14:paraId="25470757">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2000</w:t>
                  </w:r>
                </w:p>
              </w:tc>
              <w:tc>
                <w:tcPr>
                  <w:tcW w:w="610" w:type="pct"/>
                  <w:tcBorders>
                    <w:tl2br w:val="nil"/>
                    <w:tr2bl w:val="nil"/>
                  </w:tcBorders>
                  <w:vAlign w:val="center"/>
                </w:tcPr>
                <w:p w14:paraId="30F16B4C">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20万件</w:t>
                  </w:r>
                </w:p>
              </w:tc>
              <w:tc>
                <w:tcPr>
                  <w:tcW w:w="533" w:type="pct"/>
                  <w:tcBorders>
                    <w:tl2br w:val="nil"/>
                    <w:tr2bl w:val="nil"/>
                  </w:tcBorders>
                  <w:vAlign w:val="center"/>
                </w:tcPr>
                <w:p w14:paraId="38AE2285">
                  <w:pPr>
                    <w:pStyle w:val="50"/>
                    <w:adjustRightInd/>
                    <w:snapToGrid/>
                    <w:spacing w:before="0" w:after="0" w:line="240" w:lineRule="auto"/>
                    <w:ind w:right="0"/>
                    <w:textAlignment w:val="center"/>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highlight w:val="none"/>
                      <w14:textFill>
                        <w14:solidFill>
                          <w14:schemeClr w14:val="tx1"/>
                        </w14:solidFill>
                      </w14:textFill>
                    </w:rPr>
                    <w:t>1台</w:t>
                  </w:r>
                </w:p>
              </w:tc>
              <w:tc>
                <w:tcPr>
                  <w:tcW w:w="667" w:type="pct"/>
                  <w:tcBorders>
                    <w:tl2br w:val="nil"/>
                    <w:tr2bl w:val="nil"/>
                  </w:tcBorders>
                  <w:vAlign w:val="center"/>
                </w:tcPr>
                <w:p w14:paraId="0B6F0EFA">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eastAsia="等线" w:cs="Times New Roman"/>
                      <w:b w:val="0"/>
                      <w:bCs/>
                      <w:color w:val="000000" w:themeColor="text1"/>
                      <w:highlight w:val="none"/>
                      <w:lang w:val="en-US" w:eastAsia="zh-CN"/>
                      <w14:textFill>
                        <w14:solidFill>
                          <w14:schemeClr w14:val="tx1"/>
                        </w14:solidFill>
                      </w14:textFill>
                    </w:rPr>
                    <w:t>24</w:t>
                  </w:r>
                  <w:r>
                    <w:rPr>
                      <w:rFonts w:hint="eastAsia" w:ascii="Times New Roman" w:hAnsi="Times New Roman" w:eastAsia="等线" w:cs="Times New Roman"/>
                      <w:b w:val="0"/>
                      <w:bCs/>
                      <w:color w:val="000000" w:themeColor="text1"/>
                      <w:highlight w:val="none"/>
                      <w14:textFill>
                        <w14:solidFill>
                          <w14:schemeClr w14:val="tx1"/>
                        </w14:solidFill>
                      </w14:textFill>
                    </w:rPr>
                    <w:t>万件</w:t>
                  </w:r>
                </w:p>
              </w:tc>
              <w:tc>
                <w:tcPr>
                  <w:tcW w:w="479" w:type="pct"/>
                  <w:tcBorders>
                    <w:tl2br w:val="nil"/>
                    <w:tr2bl w:val="nil"/>
                  </w:tcBorders>
                  <w:vAlign w:val="center"/>
                </w:tcPr>
                <w:p w14:paraId="3E9E4B50">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20万件</w:t>
                  </w:r>
                </w:p>
              </w:tc>
            </w:tr>
            <w:tr w14:paraId="759E7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4" w:type="pct"/>
                  <w:tcBorders>
                    <w:tl2br w:val="nil"/>
                    <w:tr2bl w:val="nil"/>
                  </w:tcBorders>
                  <w:vAlign w:val="center"/>
                </w:tcPr>
                <w:p w14:paraId="1CAFF27A">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喷枪</w:t>
                  </w:r>
                </w:p>
              </w:tc>
              <w:tc>
                <w:tcPr>
                  <w:tcW w:w="477" w:type="pct"/>
                  <w:tcBorders>
                    <w:tl2br w:val="nil"/>
                    <w:tr2bl w:val="nil"/>
                  </w:tcBorders>
                  <w:vAlign w:val="center"/>
                </w:tcPr>
                <w:p w14:paraId="24F5EAE5">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喷粉</w:t>
                  </w:r>
                </w:p>
              </w:tc>
              <w:tc>
                <w:tcPr>
                  <w:tcW w:w="610" w:type="pct"/>
                  <w:tcBorders>
                    <w:tl2br w:val="nil"/>
                    <w:tr2bl w:val="nil"/>
                  </w:tcBorders>
                  <w:vAlign w:val="center"/>
                </w:tcPr>
                <w:p w14:paraId="09410BFE">
                  <w:pPr>
                    <w:pStyle w:val="50"/>
                    <w:adjustRightInd/>
                    <w:snapToGrid/>
                    <w:spacing w:before="0" w:after="0" w:line="240" w:lineRule="auto"/>
                    <w:ind w:right="0"/>
                    <w:textAlignment w:val="center"/>
                    <w:rPr>
                      <w:rFonts w:ascii="Times New Roman" w:hAnsi="Times New Roman" w:eastAsia="等线" w:cs="Times New Roman"/>
                      <w:b w:val="0"/>
                      <w:bCs/>
                      <w:color w:val="000000" w:themeColor="text1"/>
                      <w:highlight w:val="none"/>
                      <w14:textFill>
                        <w14:solidFill>
                          <w14:schemeClr w14:val="tx1"/>
                        </w14:solidFill>
                      </w14:textFill>
                    </w:rPr>
                  </w:pPr>
                  <w:r>
                    <w:rPr>
                      <w:rFonts w:hint="eastAsia" w:ascii="Times New Roman" w:hAnsi="Times New Roman" w:eastAsia="等线" w:cs="Times New Roman"/>
                      <w:b w:val="0"/>
                      <w:bCs/>
                      <w:color w:val="000000" w:themeColor="text1"/>
                      <w:highlight w:val="none"/>
                      <w14:textFill>
                        <w14:solidFill>
                          <w14:schemeClr w14:val="tx1"/>
                        </w14:solidFill>
                      </w14:textFill>
                    </w:rPr>
                    <w:t>/</w:t>
                  </w:r>
                </w:p>
              </w:tc>
              <w:tc>
                <w:tcPr>
                  <w:tcW w:w="571" w:type="pct"/>
                  <w:tcBorders>
                    <w:tl2br w:val="nil"/>
                    <w:tr2bl w:val="nil"/>
                  </w:tcBorders>
                  <w:vAlign w:val="center"/>
                </w:tcPr>
                <w:p w14:paraId="1F75B69D">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lang w:val="en-US" w:eastAsia="zh-CN"/>
                      <w14:textFill>
                        <w14:solidFill>
                          <w14:schemeClr w14:val="tx1"/>
                        </w14:solidFill>
                      </w14:textFill>
                    </w:rPr>
                    <w:t>80</w:t>
                  </w:r>
                  <w:r>
                    <w:rPr>
                      <w:rFonts w:hint="eastAsia" w:ascii="Times New Roman" w:hAnsi="Times New Roman" w:cs="Times New Roman"/>
                      <w:b w:val="0"/>
                      <w:bCs/>
                      <w:color w:val="000000" w:themeColor="text1"/>
                      <w:highlight w:val="none"/>
                      <w14:textFill>
                        <w14:solidFill>
                          <w14:schemeClr w14:val="tx1"/>
                        </w14:solidFill>
                      </w14:textFill>
                    </w:rPr>
                    <w:t>g/min</w:t>
                  </w:r>
                </w:p>
              </w:tc>
              <w:tc>
                <w:tcPr>
                  <w:tcW w:w="474" w:type="pct"/>
                  <w:tcBorders>
                    <w:tl2br w:val="nil"/>
                    <w:tr2bl w:val="nil"/>
                  </w:tcBorders>
                  <w:vAlign w:val="center"/>
                </w:tcPr>
                <w:p w14:paraId="01EB6660">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2000</w:t>
                  </w:r>
                </w:p>
              </w:tc>
              <w:tc>
                <w:tcPr>
                  <w:tcW w:w="610" w:type="pct"/>
                  <w:tcBorders>
                    <w:tl2br w:val="nil"/>
                    <w:tr2bl w:val="nil"/>
                  </w:tcBorders>
                  <w:vAlign w:val="center"/>
                </w:tcPr>
                <w:p w14:paraId="3EC33356">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9.6t</w:t>
                  </w:r>
                </w:p>
              </w:tc>
              <w:tc>
                <w:tcPr>
                  <w:tcW w:w="533" w:type="pct"/>
                  <w:tcBorders>
                    <w:tl2br w:val="nil"/>
                    <w:tr2bl w:val="nil"/>
                  </w:tcBorders>
                  <w:vAlign w:val="center"/>
                </w:tcPr>
                <w:p w14:paraId="61954881">
                  <w:pPr>
                    <w:pStyle w:val="50"/>
                    <w:adjustRightInd/>
                    <w:snapToGrid/>
                    <w:spacing w:before="0" w:after="0" w:line="240" w:lineRule="auto"/>
                    <w:ind w:right="0"/>
                    <w:textAlignment w:val="center"/>
                    <w:rPr>
                      <w:rFonts w:hint="default" w:ascii="Times New Roman" w:hAnsi="Times New Roman" w:eastAsia="宋体"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highlight w:val="none"/>
                      <w14:textFill>
                        <w14:solidFill>
                          <w14:schemeClr w14:val="tx1"/>
                        </w14:solidFill>
                      </w14:textFill>
                    </w:rPr>
                    <w:t>1用4备</w:t>
                  </w:r>
                </w:p>
              </w:tc>
              <w:tc>
                <w:tcPr>
                  <w:tcW w:w="667" w:type="pct"/>
                  <w:tcBorders>
                    <w:tl2br w:val="nil"/>
                    <w:tr2bl w:val="nil"/>
                  </w:tcBorders>
                  <w:vAlign w:val="center"/>
                </w:tcPr>
                <w:p w14:paraId="370B5AAD">
                  <w:pPr>
                    <w:pStyle w:val="50"/>
                    <w:adjustRightInd/>
                    <w:snapToGrid/>
                    <w:spacing w:before="0" w:after="0" w:line="240" w:lineRule="auto"/>
                    <w:ind w:right="0"/>
                    <w:textAlignment w:val="center"/>
                    <w:rPr>
                      <w:rFonts w:ascii="Times New Roman" w:hAnsi="Times New Roman" w:eastAsia="等线"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9.6t</w:t>
                  </w:r>
                </w:p>
              </w:tc>
              <w:tc>
                <w:tcPr>
                  <w:tcW w:w="479" w:type="pct"/>
                  <w:tcBorders>
                    <w:tl2br w:val="nil"/>
                    <w:tr2bl w:val="nil"/>
                  </w:tcBorders>
                  <w:vAlign w:val="center"/>
                </w:tcPr>
                <w:p w14:paraId="49A26235">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lang w:val="en-US" w:eastAsia="zh-CN"/>
                      <w14:textFill>
                        <w14:solidFill>
                          <w14:schemeClr w14:val="tx1"/>
                        </w14:solidFill>
                      </w14:textFill>
                    </w:rPr>
                    <w:t>8.64</w:t>
                  </w:r>
                  <w:r>
                    <w:rPr>
                      <w:rFonts w:hint="eastAsia" w:ascii="Times New Roman" w:hAnsi="Times New Roman" w:cs="Times New Roman"/>
                      <w:b w:val="0"/>
                      <w:bCs/>
                      <w:color w:val="000000" w:themeColor="text1"/>
                      <w:highlight w:val="none"/>
                      <w14:textFill>
                        <w14:solidFill>
                          <w14:schemeClr w14:val="tx1"/>
                        </w14:solidFill>
                      </w14:textFill>
                    </w:rPr>
                    <w:t>t</w:t>
                  </w:r>
                </w:p>
              </w:tc>
            </w:tr>
            <w:tr w14:paraId="5A76E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4" w:type="pct"/>
                  <w:tcBorders>
                    <w:tl2br w:val="nil"/>
                    <w:tr2bl w:val="nil"/>
                  </w:tcBorders>
                  <w:vAlign w:val="center"/>
                </w:tcPr>
                <w:p w14:paraId="5A4B27DC">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循环链条</w:t>
                  </w:r>
                </w:p>
              </w:tc>
              <w:tc>
                <w:tcPr>
                  <w:tcW w:w="477" w:type="pct"/>
                  <w:tcBorders>
                    <w:tl2br w:val="nil"/>
                    <w:tr2bl w:val="nil"/>
                  </w:tcBorders>
                  <w:vAlign w:val="center"/>
                </w:tcPr>
                <w:p w14:paraId="10451A49">
                  <w:pPr>
                    <w:pStyle w:val="50"/>
                    <w:adjustRightInd/>
                    <w:snapToGrid/>
                    <w:spacing w:before="0" w:after="0" w:line="240" w:lineRule="auto"/>
                    <w:ind w:right="0"/>
                    <w:textAlignment w:val="center"/>
                    <w:rPr>
                      <w:rFonts w:ascii="Times New Roman" w:hAnsi="Times New Roman" w:cs="Times New Roman"/>
                      <w:b w:val="0"/>
                      <w:bCs/>
                      <w:color w:val="000000" w:themeColor="text1"/>
                      <w:highlight w:val="none"/>
                      <w14:textFill>
                        <w14:solidFill>
                          <w14:schemeClr w14:val="tx1"/>
                        </w14:solidFill>
                      </w14:textFill>
                    </w:rPr>
                  </w:pPr>
                  <w:r>
                    <w:rPr>
                      <w:rFonts w:hint="eastAsia" w:ascii="Times New Roman" w:hAnsi="Times New Roman" w:cs="Times New Roman"/>
                      <w:b w:val="0"/>
                      <w:bCs/>
                      <w:color w:val="000000" w:themeColor="text1"/>
                      <w:highlight w:val="none"/>
                      <w14:textFill>
                        <w14:solidFill>
                          <w14:schemeClr w14:val="tx1"/>
                        </w14:solidFill>
                      </w14:textFill>
                    </w:rPr>
                    <w:t>固化</w:t>
                  </w:r>
                </w:p>
              </w:tc>
              <w:tc>
                <w:tcPr>
                  <w:tcW w:w="610" w:type="pct"/>
                  <w:tcBorders>
                    <w:tl2br w:val="nil"/>
                    <w:tr2bl w:val="nil"/>
                  </w:tcBorders>
                  <w:vAlign w:val="center"/>
                </w:tcPr>
                <w:p w14:paraId="460E238F">
                  <w:pPr>
                    <w:pStyle w:val="50"/>
                    <w:adjustRightInd/>
                    <w:snapToGrid/>
                    <w:spacing w:before="0" w:after="0" w:line="240" w:lineRule="auto"/>
                    <w:ind w:right="0"/>
                    <w:textAlignment w:val="center"/>
                    <w:rPr>
                      <w:rFonts w:hint="eastAsia" w:ascii="Times New Roman" w:hAnsi="Times New Roman" w:eastAsia="等线" w:cs="Times New Roman"/>
                      <w:b w:val="0"/>
                      <w:bCs/>
                      <w:color w:val="000000" w:themeColor="text1"/>
                      <w:highlight w:val="none"/>
                      <w:lang w:eastAsia="zh-CN"/>
                      <w14:textFill>
                        <w14:solidFill>
                          <w14:schemeClr w14:val="tx1"/>
                        </w14:solidFill>
                      </w14:textFill>
                    </w:rPr>
                  </w:pPr>
                  <w:r>
                    <w:rPr>
                      <w:rFonts w:hint="eastAsia" w:ascii="Times New Roman" w:hAnsi="Times New Roman" w:eastAsia="等线" w:cs="Times New Roman"/>
                      <w:b w:val="0"/>
                      <w:bCs/>
                      <w:color w:val="000000" w:themeColor="text1"/>
                      <w:highlight w:val="none"/>
                      <w:lang w:val="en-US" w:eastAsia="zh-CN"/>
                      <w14:textFill>
                        <w14:solidFill>
                          <w14:schemeClr w14:val="tx1"/>
                        </w14:solidFill>
                      </w14:textFill>
                    </w:rPr>
                    <w:t>/</w:t>
                  </w:r>
                </w:p>
              </w:tc>
              <w:tc>
                <w:tcPr>
                  <w:tcW w:w="571" w:type="pct"/>
                  <w:tcBorders>
                    <w:tl2br w:val="nil"/>
                    <w:tr2bl w:val="nil"/>
                  </w:tcBorders>
                  <w:vAlign w:val="center"/>
                </w:tcPr>
                <w:p w14:paraId="2776F1E7">
                  <w:pPr>
                    <w:pStyle w:val="50"/>
                    <w:adjustRightInd/>
                    <w:snapToGrid/>
                    <w:spacing w:before="0" w:after="0" w:line="240" w:lineRule="auto"/>
                    <w:ind w:right="0"/>
                    <w:textAlignment w:val="center"/>
                    <w:rPr>
                      <w:rFonts w:ascii="Times New Roman" w:hAnsi="Times New Roman" w:eastAsia="等线" w:cs="Times New Roman"/>
                      <w:b w:val="0"/>
                      <w:bCs/>
                      <w:color w:val="000000" w:themeColor="text1"/>
                      <w:highlight w:val="none"/>
                      <w14:textFill>
                        <w14:solidFill>
                          <w14:schemeClr w14:val="tx1"/>
                        </w14:solidFill>
                      </w14:textFill>
                    </w:rPr>
                  </w:pPr>
                  <w:r>
                    <w:rPr>
                      <w:rFonts w:hint="eastAsia" w:ascii="Times New Roman" w:hAnsi="Times New Roman" w:eastAsia="等线" w:cs="Times New Roman"/>
                      <w:b w:val="0"/>
                      <w:bCs/>
                      <w:color w:val="000000" w:themeColor="text1"/>
                      <w:highlight w:val="none"/>
                      <w14:textFill>
                        <w14:solidFill>
                          <w14:schemeClr w14:val="tx1"/>
                        </w14:solidFill>
                      </w14:textFill>
                    </w:rPr>
                    <w:t>120件/h</w:t>
                  </w:r>
                </w:p>
              </w:tc>
              <w:tc>
                <w:tcPr>
                  <w:tcW w:w="474" w:type="pct"/>
                  <w:tcBorders>
                    <w:tl2br w:val="nil"/>
                    <w:tr2bl w:val="nil"/>
                  </w:tcBorders>
                  <w:vAlign w:val="center"/>
                </w:tcPr>
                <w:p w14:paraId="192AF34D">
                  <w:pPr>
                    <w:pStyle w:val="50"/>
                    <w:adjustRightInd/>
                    <w:snapToGrid/>
                    <w:spacing w:before="0" w:after="0" w:line="240" w:lineRule="auto"/>
                    <w:ind w:right="0"/>
                    <w:textAlignment w:val="center"/>
                    <w:rPr>
                      <w:rFonts w:ascii="Times New Roman" w:hAnsi="Times New Roman" w:eastAsia="等线" w:cs="Times New Roman"/>
                      <w:b w:val="0"/>
                      <w:bCs/>
                      <w:color w:val="000000" w:themeColor="text1"/>
                      <w:highlight w:val="none"/>
                      <w14:textFill>
                        <w14:solidFill>
                          <w14:schemeClr w14:val="tx1"/>
                        </w14:solidFill>
                      </w14:textFill>
                    </w:rPr>
                  </w:pPr>
                  <w:r>
                    <w:rPr>
                      <w:rFonts w:hint="eastAsia" w:ascii="Times New Roman" w:hAnsi="Times New Roman" w:eastAsia="等线" w:cs="Times New Roman"/>
                      <w:b w:val="0"/>
                      <w:bCs/>
                      <w:color w:val="000000" w:themeColor="text1"/>
                      <w:highlight w:val="none"/>
                      <w14:textFill>
                        <w14:solidFill>
                          <w14:schemeClr w14:val="tx1"/>
                        </w14:solidFill>
                      </w14:textFill>
                    </w:rPr>
                    <w:t>2000</w:t>
                  </w:r>
                </w:p>
              </w:tc>
              <w:tc>
                <w:tcPr>
                  <w:tcW w:w="610" w:type="pct"/>
                  <w:tcBorders>
                    <w:tl2br w:val="nil"/>
                    <w:tr2bl w:val="nil"/>
                  </w:tcBorders>
                  <w:vAlign w:val="center"/>
                </w:tcPr>
                <w:p w14:paraId="1FC49649">
                  <w:pPr>
                    <w:pStyle w:val="50"/>
                    <w:adjustRightInd/>
                    <w:snapToGrid/>
                    <w:spacing w:before="0" w:after="0" w:line="240" w:lineRule="auto"/>
                    <w:ind w:right="0"/>
                    <w:textAlignment w:val="center"/>
                    <w:rPr>
                      <w:rFonts w:ascii="Times New Roman" w:hAnsi="Times New Roman" w:eastAsia="等线" w:cs="Times New Roman"/>
                      <w:b w:val="0"/>
                      <w:bCs/>
                      <w:color w:val="000000" w:themeColor="text1"/>
                      <w:highlight w:val="none"/>
                      <w14:textFill>
                        <w14:solidFill>
                          <w14:schemeClr w14:val="tx1"/>
                        </w14:solidFill>
                      </w14:textFill>
                    </w:rPr>
                  </w:pPr>
                  <w:r>
                    <w:rPr>
                      <w:rFonts w:hint="eastAsia" w:ascii="Times New Roman" w:hAnsi="Times New Roman" w:eastAsia="等线" w:cs="Times New Roman"/>
                      <w:b w:val="0"/>
                      <w:bCs/>
                      <w:color w:val="000000" w:themeColor="text1"/>
                      <w:highlight w:val="none"/>
                      <w14:textFill>
                        <w14:solidFill>
                          <w14:schemeClr w14:val="tx1"/>
                        </w14:solidFill>
                      </w14:textFill>
                    </w:rPr>
                    <w:t>24万件</w:t>
                  </w:r>
                </w:p>
              </w:tc>
              <w:tc>
                <w:tcPr>
                  <w:tcW w:w="533" w:type="pct"/>
                  <w:tcBorders>
                    <w:tl2br w:val="nil"/>
                    <w:tr2bl w:val="nil"/>
                  </w:tcBorders>
                  <w:vAlign w:val="center"/>
                </w:tcPr>
                <w:p w14:paraId="53C622AB">
                  <w:pPr>
                    <w:pStyle w:val="50"/>
                    <w:adjustRightInd/>
                    <w:snapToGrid/>
                    <w:spacing w:before="0" w:after="0" w:line="240" w:lineRule="auto"/>
                    <w:ind w:right="0"/>
                    <w:textAlignment w:val="center"/>
                    <w:rPr>
                      <w:rFonts w:ascii="Times New Roman" w:hAnsi="Times New Roman" w:eastAsia="等线" w:cs="Times New Roman"/>
                      <w:b w:val="0"/>
                      <w:bCs/>
                      <w:color w:val="000000" w:themeColor="text1"/>
                      <w:highlight w:val="none"/>
                      <w14:textFill>
                        <w14:solidFill>
                          <w14:schemeClr w14:val="tx1"/>
                        </w14:solidFill>
                      </w14:textFill>
                    </w:rPr>
                  </w:pPr>
                  <w:r>
                    <w:rPr>
                      <w:rFonts w:hint="default" w:ascii="Times New Roman" w:hAnsi="Times New Roman" w:eastAsia="宋体" w:cs="Times New Roman"/>
                      <w:b w:val="0"/>
                      <w:bCs/>
                      <w:color w:val="000000" w:themeColor="text1"/>
                      <w:highlight w:val="none"/>
                      <w14:textFill>
                        <w14:solidFill>
                          <w14:schemeClr w14:val="tx1"/>
                        </w14:solidFill>
                      </w14:textFill>
                    </w:rPr>
                    <w:t>1条线</w:t>
                  </w:r>
                </w:p>
              </w:tc>
              <w:tc>
                <w:tcPr>
                  <w:tcW w:w="667" w:type="pct"/>
                  <w:tcBorders>
                    <w:tl2br w:val="nil"/>
                    <w:tr2bl w:val="nil"/>
                  </w:tcBorders>
                  <w:vAlign w:val="center"/>
                </w:tcPr>
                <w:p w14:paraId="732CE424">
                  <w:pPr>
                    <w:pStyle w:val="50"/>
                    <w:adjustRightInd/>
                    <w:snapToGrid/>
                    <w:spacing w:before="0" w:after="0" w:line="240" w:lineRule="auto"/>
                    <w:ind w:right="0"/>
                    <w:textAlignment w:val="center"/>
                    <w:rPr>
                      <w:rFonts w:ascii="Times New Roman" w:hAnsi="Times New Roman" w:eastAsia="等线" w:cs="Times New Roman"/>
                      <w:b w:val="0"/>
                      <w:bCs/>
                      <w:color w:val="000000" w:themeColor="text1"/>
                      <w:highlight w:val="none"/>
                      <w14:textFill>
                        <w14:solidFill>
                          <w14:schemeClr w14:val="tx1"/>
                        </w14:solidFill>
                      </w14:textFill>
                    </w:rPr>
                  </w:pPr>
                  <w:r>
                    <w:rPr>
                      <w:rFonts w:hint="eastAsia" w:ascii="Times New Roman" w:hAnsi="Times New Roman" w:eastAsia="等线" w:cs="Times New Roman"/>
                      <w:b w:val="0"/>
                      <w:bCs/>
                      <w:color w:val="000000" w:themeColor="text1"/>
                      <w:highlight w:val="none"/>
                      <w14:textFill>
                        <w14:solidFill>
                          <w14:schemeClr w14:val="tx1"/>
                        </w14:solidFill>
                      </w14:textFill>
                    </w:rPr>
                    <w:t>24万件</w:t>
                  </w:r>
                </w:p>
              </w:tc>
              <w:tc>
                <w:tcPr>
                  <w:tcW w:w="479" w:type="pct"/>
                  <w:tcBorders>
                    <w:tl2br w:val="nil"/>
                    <w:tr2bl w:val="nil"/>
                  </w:tcBorders>
                  <w:vAlign w:val="center"/>
                </w:tcPr>
                <w:p w14:paraId="1C393A1B">
                  <w:pPr>
                    <w:pStyle w:val="50"/>
                    <w:adjustRightInd/>
                    <w:snapToGrid/>
                    <w:spacing w:before="0" w:after="0" w:line="240" w:lineRule="auto"/>
                    <w:ind w:right="0"/>
                    <w:textAlignment w:val="center"/>
                    <w:rPr>
                      <w:rFonts w:ascii="Times New Roman" w:hAnsi="Times New Roman" w:eastAsia="等线" w:cs="Times New Roman"/>
                      <w:b w:val="0"/>
                      <w:bCs/>
                      <w:color w:val="000000" w:themeColor="text1"/>
                      <w:highlight w:val="none"/>
                      <w14:textFill>
                        <w14:solidFill>
                          <w14:schemeClr w14:val="tx1"/>
                        </w14:solidFill>
                      </w14:textFill>
                    </w:rPr>
                  </w:pPr>
                  <w:r>
                    <w:rPr>
                      <w:rFonts w:hint="eastAsia" w:ascii="Times New Roman" w:hAnsi="Times New Roman" w:eastAsia="等线" w:cs="Times New Roman"/>
                      <w:b w:val="0"/>
                      <w:bCs/>
                      <w:color w:val="000000" w:themeColor="text1"/>
                      <w:highlight w:val="none"/>
                      <w14:textFill>
                        <w14:solidFill>
                          <w14:schemeClr w14:val="tx1"/>
                        </w14:solidFill>
                      </w14:textFill>
                    </w:rPr>
                    <w:t>20万件</w:t>
                  </w:r>
                </w:p>
              </w:tc>
            </w:tr>
            <w:tr w14:paraId="2F37E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9"/>
                  <w:tcBorders>
                    <w:tl2br w:val="nil"/>
                    <w:tr2bl w:val="nil"/>
                  </w:tcBorders>
                  <w:vAlign w:val="center"/>
                </w:tcPr>
                <w:p w14:paraId="1FD0FAF2">
                  <w:pPr>
                    <w:pStyle w:val="5"/>
                    <w:spacing w:before="0" w:after="0" w:line="240" w:lineRule="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sz w:val="21"/>
                      <w:szCs w:val="21"/>
                      <w:highlight w:val="none"/>
                      <w14:textFill>
                        <w14:solidFill>
                          <w14:schemeClr w14:val="tx1"/>
                        </w14:solidFill>
                      </w14:textFill>
                    </w:rPr>
                    <w:t>注：</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①产全年工作250天，实行1班制，每班8h。</w:t>
                  </w:r>
                </w:p>
                <w:p w14:paraId="6F04560E">
                  <w:pPr>
                    <w:ind w:firstLine="420" w:firstLineChars="200"/>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②</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固化时间约</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40min，</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工件</w:t>
                  </w:r>
                  <w:r>
                    <w:rPr>
                      <w:rFonts w:hint="default" w:ascii="Times New Roman" w:hAnsi="Times New Roman" w:eastAsia="宋体" w:cs="Times New Roman"/>
                      <w:color w:val="000000" w:themeColor="text1"/>
                      <w:szCs w:val="21"/>
                      <w:highlight w:val="none"/>
                      <w14:textFill>
                        <w14:solidFill>
                          <w14:schemeClr w14:val="tx1"/>
                        </w14:solidFill>
                      </w14:textFill>
                    </w:rPr>
                    <w:t>悬挂间距0.5m，</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循环</w:t>
                  </w:r>
                  <w:r>
                    <w:rPr>
                      <w:rFonts w:hint="default" w:ascii="Times New Roman" w:hAnsi="Times New Roman" w:eastAsia="宋体" w:cs="Times New Roman"/>
                      <w:color w:val="000000" w:themeColor="text1"/>
                      <w:szCs w:val="21"/>
                      <w:highlight w:val="none"/>
                      <w14:textFill>
                        <w14:solidFill>
                          <w14:schemeClr w14:val="tx1"/>
                        </w14:solidFill>
                      </w14:textFill>
                    </w:rPr>
                    <w:t>链条行进速率</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约</w:t>
                  </w:r>
                  <w:r>
                    <w:rPr>
                      <w:rFonts w:hint="default" w:ascii="Times New Roman" w:hAnsi="Times New Roman" w:eastAsia="宋体" w:cs="Times New Roman"/>
                      <w:color w:val="000000" w:themeColor="text1"/>
                      <w:szCs w:val="21"/>
                      <w:highlight w:val="none"/>
                      <w14:textFill>
                        <w14:solidFill>
                          <w14:schemeClr w14:val="tx1"/>
                        </w14:solidFill>
                      </w14:textFill>
                    </w:rPr>
                    <w:t>1m/min，</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出件速度为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2件/min，则</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固化工序产能</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120件/h。</w:t>
                  </w:r>
                </w:p>
              </w:tc>
            </w:tr>
          </w:tbl>
          <w:p w14:paraId="0D99EBF2">
            <w:pPr>
              <w:adjustRightInd w:val="0"/>
              <w:spacing w:line="360" w:lineRule="auto"/>
              <w:ind w:firstLine="480" w:firstLineChars="200"/>
              <w:rPr>
                <w:rFonts w:ascii="Times New Roman" w:hAnsi="Times New Roman" w:eastAsia="宋体"/>
                <w:b/>
                <w:bCs/>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根据表2</w:t>
            </w:r>
            <w:r>
              <w:rPr>
                <w:rFonts w:hint="eastAsia" w:ascii="Times New Roman" w:hAnsi="Times New Roman" w:cs="Times New Roman"/>
                <w:color w:val="000000" w:themeColor="text1"/>
                <w:sz w:val="24"/>
                <w:highlight w:val="none"/>
                <w14:textFill>
                  <w14:solidFill>
                    <w14:schemeClr w14:val="tx1"/>
                  </w14:solidFill>
                </w14:textFill>
              </w:rPr>
              <w:t>-6</w:t>
            </w:r>
            <w:r>
              <w:rPr>
                <w:rFonts w:ascii="Times New Roman" w:hAnsi="Times New Roman" w:cs="Times New Roman"/>
                <w:color w:val="000000" w:themeColor="text1"/>
                <w:sz w:val="24"/>
                <w:highlight w:val="none"/>
                <w14:textFill>
                  <w14:solidFill>
                    <w14:schemeClr w14:val="tx1"/>
                  </w14:solidFill>
                </w14:textFill>
              </w:rPr>
              <w:t>分析，</w:t>
            </w:r>
            <w:r>
              <w:rPr>
                <w:rFonts w:hint="eastAsia" w:ascii="Times New Roman" w:hAnsi="Times New Roman" w:cs="Times New Roman"/>
                <w:color w:val="000000" w:themeColor="text1"/>
                <w:sz w:val="24"/>
                <w:highlight w:val="none"/>
                <w:lang w:eastAsia="zh-CN"/>
                <w14:textFill>
                  <w14:solidFill>
                    <w14:schemeClr w14:val="tx1"/>
                  </w14:solidFill>
                </w14:textFill>
              </w:rPr>
              <w:t>项目主要生产设备包括抛丸机、喷枪、固化烘道</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项目</w:t>
            </w:r>
            <w:r>
              <w:rPr>
                <w:rFonts w:hint="eastAsia" w:ascii="Times New Roman" w:hAnsi="Times New Roman" w:cs="Times New Roman"/>
                <w:color w:val="000000" w:themeColor="text1"/>
                <w:sz w:val="24"/>
                <w:highlight w:val="none"/>
                <w:lang w:eastAsia="zh-CN"/>
                <w14:textFill>
                  <w14:solidFill>
                    <w14:schemeClr w14:val="tx1"/>
                  </w14:solidFill>
                </w14:textFill>
              </w:rPr>
              <w:t>产能受制于固化工序。</w:t>
            </w:r>
            <w:r>
              <w:rPr>
                <w:rFonts w:hint="eastAsia" w:ascii="Times New Roman" w:hAnsi="Times New Roman" w:cs="Times New Roman"/>
                <w:color w:val="000000" w:themeColor="text1"/>
                <w:sz w:val="24"/>
                <w:highlight w:val="none"/>
                <w:lang w:eastAsia="zh-CN"/>
                <w14:textFill>
                  <w14:solidFill>
                    <w14:schemeClr w14:val="tx1"/>
                  </w14:solidFill>
                </w14:textFill>
              </w:rPr>
              <w:t>各设备核算最大生产能力均</w:t>
            </w:r>
            <w:r>
              <w:rPr>
                <w:rFonts w:ascii="Times New Roman" w:hAnsi="Times New Roman" w:cs="Times New Roman"/>
                <w:color w:val="000000" w:themeColor="text1"/>
                <w:sz w:val="24"/>
                <w:highlight w:val="none"/>
                <w14:textFill>
                  <w14:solidFill>
                    <w14:schemeClr w14:val="tx1"/>
                  </w14:solidFill>
                </w14:textFill>
              </w:rPr>
              <w:t>大于</w:t>
            </w:r>
            <w:r>
              <w:rPr>
                <w:rFonts w:hint="eastAsia" w:ascii="Times New Roman" w:hAnsi="Times New Roman" w:cs="Times New Roman"/>
                <w:color w:val="000000" w:themeColor="text1"/>
                <w:sz w:val="24"/>
                <w:highlight w:val="none"/>
                <w14:textFill>
                  <w14:solidFill>
                    <w14:schemeClr w14:val="tx1"/>
                  </w14:solidFill>
                </w14:textFill>
              </w:rPr>
              <w:t>20万件</w:t>
            </w:r>
            <w:r>
              <w:rPr>
                <w:rFonts w:ascii="Times New Roman" w:hAnsi="Times New Roman" w:cs="Times New Roman"/>
                <w:color w:val="000000" w:themeColor="text1"/>
                <w:sz w:val="24"/>
                <w:highlight w:val="none"/>
                <w14:textFill>
                  <w14:solidFill>
                    <w14:schemeClr w14:val="tx1"/>
                  </w14:solidFill>
                </w14:textFill>
              </w:rPr>
              <w:t>/a的</w:t>
            </w:r>
            <w:r>
              <w:rPr>
                <w:rFonts w:hint="eastAsia" w:ascii="Times New Roman" w:hAnsi="Times New Roman" w:cs="Times New Roman"/>
                <w:color w:val="000000" w:themeColor="text1"/>
                <w:sz w:val="24"/>
                <w:highlight w:val="none"/>
                <w14:textFill>
                  <w14:solidFill>
                    <w14:schemeClr w14:val="tx1"/>
                  </w14:solidFill>
                </w14:textFill>
              </w:rPr>
              <w:t>设计生产</w:t>
            </w:r>
            <w:r>
              <w:rPr>
                <w:rFonts w:ascii="Times New Roman" w:hAnsi="Times New Roman" w:cs="Times New Roman"/>
                <w:color w:val="000000" w:themeColor="text1"/>
                <w:sz w:val="24"/>
                <w:highlight w:val="none"/>
                <w14:textFill>
                  <w14:solidFill>
                    <w14:schemeClr w14:val="tx1"/>
                  </w14:solidFill>
                </w14:textFill>
              </w:rPr>
              <w:t>规模</w:t>
            </w:r>
            <w:r>
              <w:rPr>
                <w:rFonts w:hint="eastAsia" w:ascii="Times New Roman" w:hAnsi="Times New Roman" w:cs="Times New Roman"/>
                <w:color w:val="000000" w:themeColor="text1"/>
                <w:sz w:val="24"/>
                <w:highlight w:val="none"/>
                <w14:textFill>
                  <w14:solidFill>
                    <w14:schemeClr w14:val="tx1"/>
                  </w14:solidFill>
                </w14:textFill>
              </w:rPr>
              <w:t>。因此</w:t>
            </w:r>
            <w:r>
              <w:rPr>
                <w:rFonts w:ascii="Times New Roman" w:hAnsi="Times New Roman" w:cs="Times New Roman"/>
                <w:color w:val="000000" w:themeColor="text1"/>
                <w:sz w:val="24"/>
                <w:highlight w:val="none"/>
                <w14:textFill>
                  <w14:solidFill>
                    <w14:schemeClr w14:val="tx1"/>
                  </w14:solidFill>
                </w14:textFill>
              </w:rPr>
              <w:t>本项目各生产线设备的产能能够</w:t>
            </w:r>
            <w:r>
              <w:rPr>
                <w:rFonts w:hint="eastAsia" w:ascii="Times New Roman" w:hAnsi="Times New Roman" w:cs="Times New Roman"/>
                <w:color w:val="000000" w:themeColor="text1"/>
                <w:sz w:val="24"/>
                <w:highlight w:val="none"/>
                <w:lang w:eastAsia="zh-CN"/>
                <w14:textFill>
                  <w14:solidFill>
                    <w14:schemeClr w14:val="tx1"/>
                  </w14:solidFill>
                </w14:textFill>
              </w:rPr>
              <w:t>匹配</w:t>
            </w:r>
            <w:r>
              <w:rPr>
                <w:rFonts w:ascii="Times New Roman" w:hAnsi="Times New Roman" w:cs="Times New Roman"/>
                <w:color w:val="000000" w:themeColor="text1"/>
                <w:sz w:val="24"/>
                <w:highlight w:val="none"/>
                <w14:textFill>
                  <w14:solidFill>
                    <w14:schemeClr w14:val="tx1"/>
                  </w14:solidFill>
                </w14:textFill>
              </w:rPr>
              <w:t>本项</w:t>
            </w:r>
            <w:r>
              <w:rPr>
                <w:rFonts w:ascii="Times New Roman" w:hAnsi="Times New Roman" w:eastAsia="宋体" w:cs="Times New Roman"/>
                <w:color w:val="000000" w:themeColor="text1"/>
                <w:sz w:val="24"/>
                <w:highlight w:val="none"/>
                <w14:textFill>
                  <w14:solidFill>
                    <w14:schemeClr w14:val="tx1"/>
                  </w14:solidFill>
                </w14:textFill>
              </w:rPr>
              <w:t>目年</w:t>
            </w:r>
            <w:r>
              <w:rPr>
                <w:rFonts w:hint="eastAsia" w:ascii="Times New Roman" w:hAnsi="Times New Roman" w:eastAsia="宋体" w:cs="Times New Roman"/>
                <w:color w:val="000000" w:themeColor="text1"/>
                <w:sz w:val="24"/>
                <w:highlight w:val="none"/>
                <w14:textFill>
                  <w14:solidFill>
                    <w14:schemeClr w14:val="tx1"/>
                  </w14:solidFill>
                </w14:textFill>
              </w:rPr>
              <w:t>加工摩托车钢圈20</w:t>
            </w:r>
            <w:r>
              <w:rPr>
                <w:rFonts w:ascii="Times New Roman" w:hAnsi="Times New Roman" w:eastAsia="宋体" w:cs="Times New Roman"/>
                <w:color w:val="000000" w:themeColor="text1"/>
                <w:sz w:val="24"/>
                <w:highlight w:val="none"/>
                <w14:textFill>
                  <w14:solidFill>
                    <w14:schemeClr w14:val="tx1"/>
                  </w14:solidFill>
                </w14:textFill>
              </w:rPr>
              <w:t>万件</w:t>
            </w:r>
            <w:r>
              <w:rPr>
                <w:rFonts w:hint="eastAsia" w:ascii="Times New Roman" w:hAnsi="Times New Roman" w:eastAsia="宋体" w:cs="Times New Roman"/>
                <w:color w:val="000000" w:themeColor="text1"/>
                <w:sz w:val="24"/>
                <w:highlight w:val="none"/>
                <w14:textFill>
                  <w14:solidFill>
                    <w14:schemeClr w14:val="tx1"/>
                  </w14:solidFill>
                </w14:textFill>
              </w:rPr>
              <w:t>的产能。</w:t>
            </w:r>
          </w:p>
          <w:p w14:paraId="64FD6B5E">
            <w:pPr>
              <w:spacing w:before="31" w:beforeLines="10" w:after="31" w:afterLines="10"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2.6、主要原辅材料及消耗量</w:t>
            </w:r>
          </w:p>
          <w:p w14:paraId="690CE7C9">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本项目主要原辅材料消耗量以及主要能源消耗一览表见下表：</w:t>
            </w:r>
          </w:p>
          <w:p w14:paraId="3A81C454">
            <w:pPr>
              <w:spacing w:line="360" w:lineRule="auto"/>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表2-</w:t>
            </w:r>
            <w:r>
              <w:rPr>
                <w:rFonts w:hint="eastAsia" w:ascii="Times New Roman" w:hAnsi="Times New Roman" w:eastAsia="宋体" w:cs="Times New Roman"/>
                <w:color w:val="000000" w:themeColor="text1"/>
                <w:sz w:val="24"/>
                <w:highlight w:val="none"/>
                <w14:textFill>
                  <w14:solidFill>
                    <w14:schemeClr w14:val="tx1"/>
                  </w14:solidFill>
                </w14:textFill>
              </w:rPr>
              <w:t>7</w:t>
            </w:r>
            <w:r>
              <w:rPr>
                <w:rFonts w:ascii="Times New Roman" w:hAnsi="Times New Roman" w:eastAsia="宋体" w:cs="Times New Roman"/>
                <w:color w:val="000000" w:themeColor="text1"/>
                <w:sz w:val="24"/>
                <w:highlight w:val="none"/>
                <w14:textFill>
                  <w14:solidFill>
                    <w14:schemeClr w14:val="tx1"/>
                  </w14:solidFill>
                </w14:textFill>
              </w:rPr>
              <w:t xml:space="preserve">  主要原辅材料消耗量一览表</w:t>
            </w:r>
          </w:p>
          <w:tbl>
            <w:tblPr>
              <w:tblStyle w:val="27"/>
              <w:tblW w:w="488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90"/>
              <w:gridCol w:w="1410"/>
              <w:gridCol w:w="1445"/>
              <w:gridCol w:w="1399"/>
              <w:gridCol w:w="1444"/>
              <w:gridCol w:w="1664"/>
            </w:tblGrid>
            <w:tr w14:paraId="6915F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tcBorders>
                    <w:tl2br w:val="nil"/>
                    <w:tr2bl w:val="nil"/>
                  </w:tcBorders>
                  <w:vAlign w:val="center"/>
                </w:tcPr>
                <w:p w14:paraId="1F55A1A9">
                  <w:pPr>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类别</w:t>
                  </w:r>
                </w:p>
              </w:tc>
              <w:tc>
                <w:tcPr>
                  <w:tcW w:w="854" w:type="pct"/>
                  <w:tcBorders>
                    <w:tl2br w:val="nil"/>
                    <w:tr2bl w:val="nil"/>
                  </w:tcBorders>
                  <w:vAlign w:val="center"/>
                </w:tcPr>
                <w:p w14:paraId="33278D63">
                  <w:pPr>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名称</w:t>
                  </w:r>
                </w:p>
              </w:tc>
              <w:tc>
                <w:tcPr>
                  <w:tcW w:w="875" w:type="pct"/>
                  <w:tcBorders>
                    <w:tl2br w:val="nil"/>
                    <w:tr2bl w:val="nil"/>
                  </w:tcBorders>
                  <w:vAlign w:val="center"/>
                </w:tcPr>
                <w:p w14:paraId="0F67E343">
                  <w:pPr>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主要成分/规格</w:t>
                  </w:r>
                </w:p>
              </w:tc>
              <w:tc>
                <w:tcPr>
                  <w:tcW w:w="847" w:type="pct"/>
                  <w:tcBorders>
                    <w:tl2br w:val="nil"/>
                    <w:tr2bl w:val="nil"/>
                  </w:tcBorders>
                  <w:vAlign w:val="center"/>
                </w:tcPr>
                <w:p w14:paraId="1F864215">
                  <w:pPr>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年用量</w:t>
                  </w:r>
                </w:p>
              </w:tc>
              <w:tc>
                <w:tcPr>
                  <w:tcW w:w="874" w:type="pct"/>
                  <w:tcBorders>
                    <w:tl2br w:val="nil"/>
                    <w:tr2bl w:val="nil"/>
                  </w:tcBorders>
                  <w:vAlign w:val="center"/>
                </w:tcPr>
                <w:p w14:paraId="7CA1D0B4">
                  <w:pPr>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最大暂存量</w:t>
                  </w:r>
                </w:p>
              </w:tc>
              <w:tc>
                <w:tcPr>
                  <w:tcW w:w="1008" w:type="pct"/>
                  <w:tcBorders>
                    <w:tl2br w:val="nil"/>
                    <w:tr2bl w:val="nil"/>
                  </w:tcBorders>
                  <w:vAlign w:val="center"/>
                </w:tcPr>
                <w:p w14:paraId="66D0889E">
                  <w:pPr>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备注</w:t>
                  </w:r>
                </w:p>
              </w:tc>
            </w:tr>
            <w:tr w14:paraId="22893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17" w:hRule="atLeast"/>
                <w:jc w:val="center"/>
              </w:trPr>
              <w:tc>
                <w:tcPr>
                  <w:tcW w:w="539" w:type="pct"/>
                  <w:vMerge w:val="restart"/>
                  <w:tcBorders>
                    <w:tl2br w:val="nil"/>
                    <w:tr2bl w:val="nil"/>
                  </w:tcBorders>
                  <w:vAlign w:val="center"/>
                </w:tcPr>
                <w:p w14:paraId="0C002C62">
                  <w:pPr>
                    <w:spacing w:before="78" w:beforeLines="25" w:after="78" w:afterLines="25" w:line="303"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原料</w:t>
                  </w:r>
                </w:p>
              </w:tc>
              <w:tc>
                <w:tcPr>
                  <w:tcW w:w="854" w:type="pct"/>
                  <w:tcBorders>
                    <w:tl2br w:val="nil"/>
                    <w:tr2bl w:val="nil"/>
                  </w:tcBorders>
                  <w:vAlign w:val="center"/>
                </w:tcPr>
                <w:p w14:paraId="7DB36CB6">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摩托车钢圈</w:t>
                  </w:r>
                  <w:r>
                    <w:rPr>
                      <w:rFonts w:hint="eastAsia" w:ascii="Times New Roman" w:hAnsi="Times New Roman" w:eastAsia="宋体"/>
                      <w:color w:val="000000" w:themeColor="text1"/>
                      <w:szCs w:val="21"/>
                      <w:highlight w:val="none"/>
                      <w:lang w:eastAsia="zh-CN"/>
                      <w14:textFill>
                        <w14:solidFill>
                          <w14:schemeClr w14:val="tx1"/>
                        </w14:solidFill>
                      </w14:textFill>
                    </w:rPr>
                    <w:t>白</w:t>
                  </w:r>
                  <w:r>
                    <w:rPr>
                      <w:rFonts w:hint="eastAsia" w:ascii="Times New Roman" w:hAnsi="Times New Roman" w:eastAsia="宋体"/>
                      <w:color w:val="000000" w:themeColor="text1"/>
                      <w:szCs w:val="21"/>
                      <w:highlight w:val="none"/>
                      <w14:textFill>
                        <w14:solidFill>
                          <w14:schemeClr w14:val="tx1"/>
                        </w14:solidFill>
                      </w14:textFill>
                    </w:rPr>
                    <w:t>坯</w:t>
                  </w:r>
                </w:p>
              </w:tc>
              <w:tc>
                <w:tcPr>
                  <w:tcW w:w="875" w:type="pct"/>
                  <w:tcBorders>
                    <w:tl2br w:val="nil"/>
                    <w:tr2bl w:val="nil"/>
                  </w:tcBorders>
                  <w:vAlign w:val="center"/>
                </w:tcPr>
                <w:p w14:paraId="675E7C66">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钢材</w:t>
                  </w:r>
                </w:p>
              </w:tc>
              <w:tc>
                <w:tcPr>
                  <w:tcW w:w="847" w:type="pct"/>
                  <w:tcBorders>
                    <w:tl2br w:val="nil"/>
                    <w:tr2bl w:val="nil"/>
                  </w:tcBorders>
                  <w:vAlign w:val="center"/>
                </w:tcPr>
                <w:p w14:paraId="2ED73FAE">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21.05</w:t>
                  </w:r>
                  <w:r>
                    <w:rPr>
                      <w:rFonts w:hint="eastAsia" w:ascii="Times New Roman" w:hAnsi="Times New Roman" w:eastAsia="宋体"/>
                      <w:color w:val="000000" w:themeColor="text1"/>
                      <w:szCs w:val="21"/>
                      <w:highlight w:val="none"/>
                      <w14:textFill>
                        <w14:solidFill>
                          <w14:schemeClr w14:val="tx1"/>
                        </w14:solidFill>
                      </w14:textFill>
                    </w:rPr>
                    <w:t>万件</w:t>
                  </w:r>
                </w:p>
              </w:tc>
              <w:tc>
                <w:tcPr>
                  <w:tcW w:w="874" w:type="pct"/>
                  <w:tcBorders>
                    <w:tl2br w:val="nil"/>
                    <w:tr2bl w:val="nil"/>
                  </w:tcBorders>
                  <w:vAlign w:val="center"/>
                </w:tcPr>
                <w:p w14:paraId="12B2BBE6">
                  <w:pPr>
                    <w:keepNext w:val="0"/>
                    <w:keepLines w:val="0"/>
                    <w:pageBreakBefore w:val="0"/>
                    <w:widowControl w:val="0"/>
                    <w:kinsoku/>
                    <w:wordWrap/>
                    <w:overflowPunct/>
                    <w:topLinePunct w:val="0"/>
                    <w:autoSpaceDE/>
                    <w:autoSpaceDN/>
                    <w:bidi w:val="0"/>
                    <w:adjustRightInd/>
                    <w:snapToGrid/>
                    <w:spacing w:before="74" w:beforeLines="24" w:after="74" w:afterLines="24" w:line="240" w:lineRule="auto"/>
                    <w:jc w:val="center"/>
                    <w:textAlignment w:val="auto"/>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0.2万件</w:t>
                  </w:r>
                </w:p>
              </w:tc>
              <w:tc>
                <w:tcPr>
                  <w:tcW w:w="1008" w:type="pct"/>
                  <w:tcBorders>
                    <w:tl2br w:val="nil"/>
                    <w:tr2bl w:val="nil"/>
                  </w:tcBorders>
                  <w:vAlign w:val="center"/>
                </w:tcPr>
                <w:p w14:paraId="6DDF172E">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外购，本项目</w:t>
                  </w:r>
                  <w:r>
                    <w:rPr>
                      <w:rFonts w:hint="eastAsia" w:ascii="Times New Roman" w:hAnsi="Times New Roman" w:eastAsia="宋体"/>
                      <w:color w:val="000000" w:themeColor="text1"/>
                      <w:szCs w:val="21"/>
                      <w:highlight w:val="none"/>
                      <w:lang w:eastAsia="zh-CN"/>
                      <w14:textFill>
                        <w14:solidFill>
                          <w14:schemeClr w14:val="tx1"/>
                        </w14:solidFill>
                      </w14:textFill>
                    </w:rPr>
                    <w:t>对其</w:t>
                  </w:r>
                  <w:r>
                    <w:rPr>
                      <w:rFonts w:hint="eastAsia" w:ascii="Times New Roman" w:hAnsi="Times New Roman" w:eastAsia="宋体"/>
                      <w:color w:val="000000" w:themeColor="text1"/>
                      <w:szCs w:val="21"/>
                      <w:highlight w:val="none"/>
                      <w14:textFill>
                        <w14:solidFill>
                          <w14:schemeClr w14:val="tx1"/>
                        </w14:solidFill>
                      </w14:textFill>
                    </w:rPr>
                    <w:t>进行抛丸、喷粉、固化加工</w:t>
                  </w:r>
                </w:p>
              </w:tc>
            </w:tr>
            <w:tr w14:paraId="2C4EC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vMerge w:val="continue"/>
                  <w:tcBorders>
                    <w:tl2br w:val="nil"/>
                    <w:tr2bl w:val="nil"/>
                  </w:tcBorders>
                  <w:vAlign w:val="center"/>
                </w:tcPr>
                <w:p w14:paraId="05BC2D50">
                  <w:pPr>
                    <w:spacing w:before="78" w:beforeLines="25" w:after="78" w:afterLines="25" w:line="303" w:lineRule="auto"/>
                    <w:jc w:val="center"/>
                    <w:rPr>
                      <w:rFonts w:ascii="Times New Roman" w:hAnsi="Times New Roman" w:eastAsia="宋体"/>
                      <w:color w:val="000000" w:themeColor="text1"/>
                      <w:szCs w:val="21"/>
                      <w:highlight w:val="none"/>
                      <w14:textFill>
                        <w14:solidFill>
                          <w14:schemeClr w14:val="tx1"/>
                        </w14:solidFill>
                      </w14:textFill>
                    </w:rPr>
                  </w:pPr>
                </w:p>
              </w:tc>
              <w:tc>
                <w:tcPr>
                  <w:tcW w:w="854" w:type="pct"/>
                  <w:tcBorders>
                    <w:tl2br w:val="nil"/>
                    <w:tr2bl w:val="nil"/>
                  </w:tcBorders>
                  <w:vAlign w:val="center"/>
                </w:tcPr>
                <w:p w14:paraId="1F23160E">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eastAsia="宋体"/>
                      <w:color w:val="000000" w:themeColor="text1"/>
                      <w:szCs w:val="21"/>
                      <w:highlight w:val="none"/>
                      <w:lang w:eastAsia="zh-CN"/>
                      <w14:textFill>
                        <w14:solidFill>
                          <w14:schemeClr w14:val="tx1"/>
                        </w14:solidFill>
                      </w14:textFill>
                    </w:rPr>
                    <w:t>塑粉</w:t>
                  </w:r>
                </w:p>
              </w:tc>
              <w:tc>
                <w:tcPr>
                  <w:tcW w:w="875" w:type="pct"/>
                  <w:tcBorders>
                    <w:tl2br w:val="nil"/>
                    <w:tr2bl w:val="nil"/>
                  </w:tcBorders>
                  <w:vAlign w:val="center"/>
                </w:tcPr>
                <w:p w14:paraId="2011CF36">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聚酯树脂</w:t>
                  </w:r>
                </w:p>
              </w:tc>
              <w:tc>
                <w:tcPr>
                  <w:tcW w:w="847" w:type="pct"/>
                  <w:tcBorders>
                    <w:tl2br w:val="nil"/>
                    <w:tr2bl w:val="nil"/>
                  </w:tcBorders>
                  <w:vAlign w:val="center"/>
                </w:tcPr>
                <w:p w14:paraId="6646FFF7">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default" w:ascii="Times New Roman" w:hAnsi="Times New Roman" w:eastAsia="宋体"/>
                      <w:color w:val="000000" w:themeColor="text1"/>
                      <w:szCs w:val="21"/>
                      <w:highlight w:val="none"/>
                      <w:lang w:val="en-US"/>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7.95t</w:t>
                  </w:r>
                </w:p>
              </w:tc>
              <w:tc>
                <w:tcPr>
                  <w:tcW w:w="874" w:type="pct"/>
                  <w:tcBorders>
                    <w:tl2br w:val="nil"/>
                    <w:tr2bl w:val="nil"/>
                  </w:tcBorders>
                  <w:vAlign w:val="center"/>
                </w:tcPr>
                <w:p w14:paraId="4CD68D28">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0.5t</w:t>
                  </w:r>
                </w:p>
              </w:tc>
              <w:tc>
                <w:tcPr>
                  <w:tcW w:w="1008" w:type="pct"/>
                  <w:tcBorders>
                    <w:tl2br w:val="nil"/>
                    <w:tr2bl w:val="nil"/>
                  </w:tcBorders>
                  <w:vAlign w:val="center"/>
                </w:tcPr>
                <w:p w14:paraId="5DF21CFC">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外购</w:t>
                  </w:r>
                </w:p>
              </w:tc>
            </w:tr>
            <w:tr w14:paraId="7B7C6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3" w:hRule="atLeast"/>
                <w:jc w:val="center"/>
              </w:trPr>
              <w:tc>
                <w:tcPr>
                  <w:tcW w:w="539" w:type="pct"/>
                  <w:vMerge w:val="restart"/>
                  <w:tcBorders>
                    <w:tl2br w:val="nil"/>
                    <w:tr2bl w:val="nil"/>
                  </w:tcBorders>
                  <w:vAlign w:val="center"/>
                </w:tcPr>
                <w:p w14:paraId="653A7084">
                  <w:pPr>
                    <w:spacing w:before="78" w:beforeLines="25" w:after="78" w:afterLines="25" w:line="303"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辅料</w:t>
                  </w:r>
                </w:p>
              </w:tc>
              <w:tc>
                <w:tcPr>
                  <w:tcW w:w="854" w:type="pct"/>
                  <w:tcBorders>
                    <w:tl2br w:val="nil"/>
                    <w:tr2bl w:val="nil"/>
                  </w:tcBorders>
                  <w:vAlign w:val="center"/>
                </w:tcPr>
                <w:p w14:paraId="0DFB59E3">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机油</w:t>
                  </w:r>
                </w:p>
              </w:tc>
              <w:tc>
                <w:tcPr>
                  <w:tcW w:w="875" w:type="pct"/>
                  <w:tcBorders>
                    <w:tl2br w:val="nil"/>
                    <w:tr2bl w:val="nil"/>
                  </w:tcBorders>
                  <w:vAlign w:val="center"/>
                </w:tcPr>
                <w:p w14:paraId="7EB41C72">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200L/桶</w:t>
                  </w:r>
                </w:p>
              </w:tc>
              <w:tc>
                <w:tcPr>
                  <w:tcW w:w="847" w:type="pct"/>
                  <w:tcBorders>
                    <w:tl2br w:val="nil"/>
                    <w:tr2bl w:val="nil"/>
                  </w:tcBorders>
                  <w:vAlign w:val="center"/>
                </w:tcPr>
                <w:p w14:paraId="5EB45073">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0.1t</w:t>
                  </w:r>
                </w:p>
              </w:tc>
              <w:tc>
                <w:tcPr>
                  <w:tcW w:w="874" w:type="pct"/>
                  <w:tcBorders>
                    <w:tl2br w:val="nil"/>
                    <w:tr2bl w:val="nil"/>
                  </w:tcBorders>
                  <w:vAlign w:val="center"/>
                </w:tcPr>
                <w:p w14:paraId="467F428A">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w:t>
                  </w:r>
                </w:p>
              </w:tc>
              <w:tc>
                <w:tcPr>
                  <w:tcW w:w="1008" w:type="pct"/>
                  <w:tcBorders>
                    <w:tl2br w:val="nil"/>
                    <w:tr2bl w:val="nil"/>
                  </w:tcBorders>
                  <w:vAlign w:val="center"/>
                </w:tcPr>
                <w:p w14:paraId="1B287E27">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外购，机械润滑，厂区内不储存</w:t>
                  </w:r>
                </w:p>
              </w:tc>
            </w:tr>
            <w:tr w14:paraId="43AB2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6" w:hRule="atLeast"/>
                <w:jc w:val="center"/>
              </w:trPr>
              <w:tc>
                <w:tcPr>
                  <w:tcW w:w="539" w:type="pct"/>
                  <w:vMerge w:val="continue"/>
                  <w:tcBorders>
                    <w:tl2br w:val="nil"/>
                    <w:tr2bl w:val="nil"/>
                  </w:tcBorders>
                  <w:vAlign w:val="center"/>
                </w:tcPr>
                <w:p w14:paraId="6E5755F4">
                  <w:pPr>
                    <w:spacing w:before="78" w:beforeLines="25" w:after="78" w:afterLines="25" w:line="303" w:lineRule="auto"/>
                    <w:jc w:val="center"/>
                    <w:rPr>
                      <w:rFonts w:ascii="Times New Roman" w:hAnsi="Times New Roman" w:eastAsia="宋体"/>
                      <w:color w:val="000000" w:themeColor="text1"/>
                      <w:szCs w:val="21"/>
                      <w:highlight w:val="none"/>
                      <w14:textFill>
                        <w14:solidFill>
                          <w14:schemeClr w14:val="tx1"/>
                        </w14:solidFill>
                      </w14:textFill>
                    </w:rPr>
                  </w:pPr>
                </w:p>
              </w:tc>
              <w:tc>
                <w:tcPr>
                  <w:tcW w:w="854" w:type="pct"/>
                  <w:tcBorders>
                    <w:tl2br w:val="nil"/>
                    <w:tr2bl w:val="nil"/>
                  </w:tcBorders>
                  <w:vAlign w:val="center"/>
                </w:tcPr>
                <w:p w14:paraId="27895346">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钢丸</w:t>
                  </w:r>
                </w:p>
              </w:tc>
              <w:tc>
                <w:tcPr>
                  <w:tcW w:w="875" w:type="pct"/>
                  <w:tcBorders>
                    <w:tl2br w:val="nil"/>
                    <w:tr2bl w:val="nil"/>
                  </w:tcBorders>
                  <w:vAlign w:val="center"/>
                </w:tcPr>
                <w:p w14:paraId="5A4C71FB">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25kg/袋</w:t>
                  </w:r>
                </w:p>
              </w:tc>
              <w:tc>
                <w:tcPr>
                  <w:tcW w:w="847" w:type="pct"/>
                  <w:tcBorders>
                    <w:tl2br w:val="nil"/>
                    <w:tr2bl w:val="nil"/>
                  </w:tcBorders>
                  <w:vAlign w:val="center"/>
                </w:tcPr>
                <w:p w14:paraId="41BD83F3">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1t</w:t>
                  </w:r>
                </w:p>
              </w:tc>
              <w:tc>
                <w:tcPr>
                  <w:tcW w:w="874" w:type="pct"/>
                  <w:tcBorders>
                    <w:tl2br w:val="nil"/>
                    <w:tr2bl w:val="nil"/>
                  </w:tcBorders>
                  <w:vAlign w:val="center"/>
                </w:tcPr>
                <w:p w14:paraId="1E7BCBFC">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0.2t</w:t>
                  </w:r>
                </w:p>
              </w:tc>
              <w:tc>
                <w:tcPr>
                  <w:tcW w:w="1008" w:type="pct"/>
                  <w:tcBorders>
                    <w:tl2br w:val="nil"/>
                    <w:tr2bl w:val="nil"/>
                  </w:tcBorders>
                  <w:vAlign w:val="center"/>
                </w:tcPr>
                <w:p w14:paraId="0E4D39B3">
                  <w:pPr>
                    <w:keepNext w:val="0"/>
                    <w:keepLines w:val="0"/>
                    <w:pageBreakBefore w:val="0"/>
                    <w:widowControl w:val="0"/>
                    <w:kinsoku/>
                    <w:wordWrap/>
                    <w:overflowPunct/>
                    <w:topLinePunct w:val="0"/>
                    <w:autoSpaceDE/>
                    <w:autoSpaceDN/>
                    <w:bidi w:val="0"/>
                    <w:adjustRightInd/>
                    <w:snapToGrid/>
                    <w:spacing w:before="78" w:beforeLines="25" w:after="78" w:afterLines="25" w:line="240" w:lineRule="auto"/>
                    <w:jc w:val="center"/>
                    <w:textAlignment w:val="auto"/>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外购，抛丸</w:t>
                  </w:r>
                  <w:r>
                    <w:rPr>
                      <w:rFonts w:hint="eastAsia" w:ascii="Times New Roman" w:hAnsi="Times New Roman" w:eastAsia="宋体"/>
                      <w:color w:val="000000" w:themeColor="text1"/>
                      <w:szCs w:val="21"/>
                      <w:highlight w:val="none"/>
                      <w:lang w:eastAsia="zh-CN"/>
                      <w14:textFill>
                        <w14:solidFill>
                          <w14:schemeClr w14:val="tx1"/>
                        </w14:solidFill>
                      </w14:textFill>
                    </w:rPr>
                    <w:t>用</w:t>
                  </w:r>
                </w:p>
              </w:tc>
            </w:tr>
            <w:tr w14:paraId="2C533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vMerge w:val="restart"/>
                  <w:tcBorders>
                    <w:tl2br w:val="nil"/>
                    <w:tr2bl w:val="nil"/>
                  </w:tcBorders>
                  <w:vAlign w:val="center"/>
                </w:tcPr>
                <w:p w14:paraId="194AAA3B">
                  <w:pPr>
                    <w:spacing w:before="78" w:beforeLines="25" w:after="78" w:afterLines="25" w:line="303"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能源</w:t>
                  </w:r>
                </w:p>
              </w:tc>
              <w:tc>
                <w:tcPr>
                  <w:tcW w:w="854" w:type="pct"/>
                  <w:tcBorders>
                    <w:tl2br w:val="nil"/>
                    <w:tr2bl w:val="nil"/>
                  </w:tcBorders>
                  <w:vAlign w:val="center"/>
                </w:tcPr>
                <w:p w14:paraId="607153A7">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水</w:t>
                  </w:r>
                </w:p>
              </w:tc>
              <w:tc>
                <w:tcPr>
                  <w:tcW w:w="875" w:type="pct"/>
                  <w:tcBorders>
                    <w:tl2br w:val="nil"/>
                    <w:tr2bl w:val="nil"/>
                  </w:tcBorders>
                  <w:vAlign w:val="center"/>
                </w:tcPr>
                <w:p w14:paraId="76A30CAD">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管网接入</w:t>
                  </w:r>
                </w:p>
              </w:tc>
              <w:tc>
                <w:tcPr>
                  <w:tcW w:w="847" w:type="pct"/>
                  <w:tcBorders>
                    <w:tl2br w:val="nil"/>
                    <w:tr2bl w:val="nil"/>
                  </w:tcBorders>
                  <w:vAlign w:val="center"/>
                </w:tcPr>
                <w:p w14:paraId="682A2EF9">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130m</w:t>
                  </w:r>
                  <w:r>
                    <w:rPr>
                      <w:rFonts w:hint="eastAsia" w:ascii="Times New Roman" w:hAnsi="Times New Roman" w:eastAsia="宋体"/>
                      <w:color w:val="000000" w:themeColor="text1"/>
                      <w:szCs w:val="21"/>
                      <w:highlight w:val="none"/>
                      <w:vertAlign w:val="superscript"/>
                      <w14:textFill>
                        <w14:solidFill>
                          <w14:schemeClr w14:val="tx1"/>
                        </w14:solidFill>
                      </w14:textFill>
                    </w:rPr>
                    <w:t>3</w:t>
                  </w:r>
                </w:p>
              </w:tc>
              <w:tc>
                <w:tcPr>
                  <w:tcW w:w="874" w:type="pct"/>
                  <w:tcBorders>
                    <w:tl2br w:val="nil"/>
                    <w:tr2bl w:val="nil"/>
                  </w:tcBorders>
                  <w:vAlign w:val="center"/>
                </w:tcPr>
                <w:p w14:paraId="3558F67A">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08" w:type="pct"/>
                  <w:tcBorders>
                    <w:tl2br w:val="nil"/>
                    <w:tr2bl w:val="nil"/>
                  </w:tcBorders>
                  <w:vAlign w:val="center"/>
                </w:tcPr>
                <w:p w14:paraId="30F46F01">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市政供水</w:t>
                  </w:r>
                </w:p>
              </w:tc>
            </w:tr>
            <w:tr w14:paraId="2C62B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vMerge w:val="continue"/>
                  <w:tcBorders>
                    <w:tl2br w:val="nil"/>
                    <w:tr2bl w:val="nil"/>
                  </w:tcBorders>
                  <w:vAlign w:val="center"/>
                </w:tcPr>
                <w:p w14:paraId="0F05B91B">
                  <w:pPr>
                    <w:spacing w:before="78" w:beforeLines="25" w:after="78" w:afterLines="25" w:line="303" w:lineRule="auto"/>
                    <w:jc w:val="center"/>
                    <w:rPr>
                      <w:rFonts w:ascii="Times New Roman" w:hAnsi="Times New Roman" w:eastAsia="宋体"/>
                      <w:color w:val="000000" w:themeColor="text1"/>
                      <w:szCs w:val="21"/>
                      <w:highlight w:val="none"/>
                      <w14:textFill>
                        <w14:solidFill>
                          <w14:schemeClr w14:val="tx1"/>
                        </w14:solidFill>
                      </w14:textFill>
                    </w:rPr>
                  </w:pPr>
                </w:p>
              </w:tc>
              <w:tc>
                <w:tcPr>
                  <w:tcW w:w="854" w:type="pct"/>
                  <w:tcBorders>
                    <w:tl2br w:val="nil"/>
                    <w:tr2bl w:val="nil"/>
                  </w:tcBorders>
                  <w:vAlign w:val="center"/>
                </w:tcPr>
                <w:p w14:paraId="699B05F7">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电</w:t>
                  </w:r>
                </w:p>
              </w:tc>
              <w:tc>
                <w:tcPr>
                  <w:tcW w:w="875" w:type="pct"/>
                  <w:tcBorders>
                    <w:tl2br w:val="nil"/>
                    <w:tr2bl w:val="nil"/>
                  </w:tcBorders>
                  <w:vAlign w:val="center"/>
                </w:tcPr>
                <w:p w14:paraId="7B40C7AB">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电网接入</w:t>
                  </w:r>
                </w:p>
              </w:tc>
              <w:tc>
                <w:tcPr>
                  <w:tcW w:w="847" w:type="pct"/>
                  <w:tcBorders>
                    <w:tl2br w:val="nil"/>
                    <w:tr2bl w:val="nil"/>
                  </w:tcBorders>
                  <w:vAlign w:val="center"/>
                </w:tcPr>
                <w:p w14:paraId="7F38DD62">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5万kW·h</w:t>
                  </w:r>
                </w:p>
              </w:tc>
              <w:tc>
                <w:tcPr>
                  <w:tcW w:w="874" w:type="pct"/>
                  <w:tcBorders>
                    <w:tl2br w:val="nil"/>
                    <w:tr2bl w:val="nil"/>
                  </w:tcBorders>
                  <w:vAlign w:val="center"/>
                </w:tcPr>
                <w:p w14:paraId="4391F8F4">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1008" w:type="pct"/>
                  <w:tcBorders>
                    <w:tl2br w:val="nil"/>
                    <w:tr2bl w:val="nil"/>
                  </w:tcBorders>
                  <w:vAlign w:val="center"/>
                </w:tcPr>
                <w:p w14:paraId="52088853">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市政供电</w:t>
                  </w:r>
                </w:p>
              </w:tc>
            </w:tr>
            <w:tr w14:paraId="34344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39" w:type="pct"/>
                  <w:vMerge w:val="continue"/>
                  <w:tcBorders>
                    <w:tl2br w:val="nil"/>
                    <w:tr2bl w:val="nil"/>
                  </w:tcBorders>
                  <w:vAlign w:val="center"/>
                </w:tcPr>
                <w:p w14:paraId="3A95DB52">
                  <w:pPr>
                    <w:spacing w:before="78" w:beforeLines="25" w:after="78" w:afterLines="25" w:line="303" w:lineRule="auto"/>
                    <w:jc w:val="center"/>
                    <w:rPr>
                      <w:rFonts w:ascii="Times New Roman" w:hAnsi="Times New Roman" w:eastAsia="宋体"/>
                      <w:color w:val="000000" w:themeColor="text1"/>
                      <w:szCs w:val="21"/>
                      <w:highlight w:val="none"/>
                      <w14:textFill>
                        <w14:solidFill>
                          <w14:schemeClr w14:val="tx1"/>
                        </w14:solidFill>
                      </w14:textFill>
                    </w:rPr>
                  </w:pPr>
                </w:p>
              </w:tc>
              <w:tc>
                <w:tcPr>
                  <w:tcW w:w="854" w:type="pct"/>
                  <w:tcBorders>
                    <w:tl2br w:val="nil"/>
                    <w:tr2bl w:val="nil"/>
                  </w:tcBorders>
                  <w:vAlign w:val="center"/>
                </w:tcPr>
                <w:p w14:paraId="35ECF9A5">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煤基费托合成液体石蜡</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2号</w:t>
                  </w:r>
                </w:p>
              </w:tc>
              <w:tc>
                <w:tcPr>
                  <w:tcW w:w="875" w:type="pct"/>
                  <w:tcBorders>
                    <w:tl2br w:val="nil"/>
                    <w:tr2bl w:val="nil"/>
                  </w:tcBorders>
                  <w:vAlign w:val="center"/>
                </w:tcPr>
                <w:p w14:paraId="51F8C73D">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C</w:t>
                  </w:r>
                  <w:r>
                    <w:rPr>
                      <w:rFonts w:hint="eastAsia" w:ascii="Times New Roman" w:hAnsi="Times New Roman" w:eastAsia="宋体"/>
                      <w:color w:val="000000" w:themeColor="text1"/>
                      <w:szCs w:val="21"/>
                      <w:highlight w:val="none"/>
                      <w:vertAlign w:val="subscript"/>
                      <w:lang w:val="en-US" w:eastAsia="zh-CN"/>
                      <w14:textFill>
                        <w14:solidFill>
                          <w14:schemeClr w14:val="tx1"/>
                        </w14:solidFill>
                      </w14:textFill>
                    </w:rPr>
                    <w:t>11</w:t>
                  </w:r>
                  <w:r>
                    <w:rPr>
                      <w:rFonts w:hint="eastAsia" w:ascii="Times New Roman" w:hAnsi="Times New Roman" w:eastAsia="宋体"/>
                      <w:color w:val="000000" w:themeColor="text1"/>
                      <w:szCs w:val="21"/>
                      <w:highlight w:val="none"/>
                      <w:lang w:val="en-US" w:eastAsia="zh-CN"/>
                      <w14:textFill>
                        <w14:solidFill>
                          <w14:schemeClr w14:val="tx1"/>
                        </w14:solidFill>
                      </w14:textFill>
                    </w:rPr>
                    <w:t>-C</w:t>
                  </w:r>
                  <w:r>
                    <w:rPr>
                      <w:rFonts w:hint="eastAsia" w:ascii="Times New Roman" w:hAnsi="Times New Roman" w:eastAsia="宋体"/>
                      <w:color w:val="000000" w:themeColor="text1"/>
                      <w:szCs w:val="21"/>
                      <w:highlight w:val="none"/>
                      <w:vertAlign w:val="subscript"/>
                      <w:lang w:val="en-US" w:eastAsia="zh-CN"/>
                      <w14:textFill>
                        <w14:solidFill>
                          <w14:schemeClr w14:val="tx1"/>
                        </w14:solidFill>
                      </w14:textFill>
                    </w:rPr>
                    <w:t>14</w:t>
                  </w:r>
                  <w:r>
                    <w:rPr>
                      <w:rFonts w:hint="eastAsia" w:ascii="Times New Roman" w:hAnsi="Times New Roman" w:eastAsia="宋体"/>
                      <w:color w:val="000000" w:themeColor="text1"/>
                      <w:szCs w:val="21"/>
                      <w:highlight w:val="none"/>
                      <w:lang w:val="en-US" w:eastAsia="zh-CN"/>
                      <w14:textFill>
                        <w14:solidFill>
                          <w14:schemeClr w14:val="tx1"/>
                        </w14:solidFill>
                      </w14:textFill>
                    </w:rPr>
                    <w:t>的正构烷烃</w:t>
                  </w:r>
                </w:p>
              </w:tc>
              <w:tc>
                <w:tcPr>
                  <w:tcW w:w="847" w:type="pct"/>
                  <w:tcBorders>
                    <w:tl2br w:val="nil"/>
                    <w:tr2bl w:val="nil"/>
                  </w:tcBorders>
                  <w:vAlign w:val="center"/>
                </w:tcPr>
                <w:p w14:paraId="25D47E1F">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50t</w:t>
                  </w:r>
                </w:p>
              </w:tc>
              <w:tc>
                <w:tcPr>
                  <w:tcW w:w="874" w:type="pct"/>
                  <w:tcBorders>
                    <w:tl2br w:val="nil"/>
                    <w:tr2bl w:val="nil"/>
                  </w:tcBorders>
                  <w:vAlign w:val="center"/>
                </w:tcPr>
                <w:p w14:paraId="2D095F61">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3t</w:t>
                  </w:r>
                </w:p>
              </w:tc>
              <w:tc>
                <w:tcPr>
                  <w:tcW w:w="1008" w:type="pct"/>
                  <w:tcBorders>
                    <w:tl2br w:val="nil"/>
                    <w:tr2bl w:val="nil"/>
                  </w:tcBorders>
                  <w:vAlign w:val="center"/>
                </w:tcPr>
                <w:p w14:paraId="56AFB563">
                  <w:pPr>
                    <w:keepNext w:val="0"/>
                    <w:keepLines w:val="0"/>
                    <w:pageBreakBefore w:val="0"/>
                    <w:widowControl w:val="0"/>
                    <w:kinsoku/>
                    <w:wordWrap/>
                    <w:overflowPunct/>
                    <w:topLinePunct w:val="0"/>
                    <w:autoSpaceDE/>
                    <w:autoSpaceDN/>
                    <w:bidi w:val="0"/>
                    <w:adjustRightInd/>
                    <w:snapToGrid/>
                    <w:spacing w:before="81" w:beforeLines="26" w:after="81" w:afterLines="26" w:line="240" w:lineRule="auto"/>
                    <w:jc w:val="center"/>
                    <w:textAlignment w:val="auto"/>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eastAsia="宋体"/>
                      <w:color w:val="000000" w:themeColor="text1"/>
                      <w:szCs w:val="21"/>
                      <w:highlight w:val="none"/>
                      <w:lang w:eastAsia="zh-CN"/>
                      <w14:textFill>
                        <w14:solidFill>
                          <w14:schemeClr w14:val="tx1"/>
                        </w14:solidFill>
                      </w14:textFill>
                    </w:rPr>
                    <w:t>固化工序用燃料</w:t>
                  </w:r>
                </w:p>
              </w:tc>
            </w:tr>
          </w:tbl>
          <w:p w14:paraId="611111EB">
            <w:pPr>
              <w:spacing w:before="31" w:beforeLines="10" w:after="31" w:afterLines="10" w:line="377" w:lineRule="auto"/>
              <w:ind w:firstLine="480" w:firstLineChars="200"/>
              <w:rPr>
                <w:rFonts w:ascii="Times New Roman" w:hAnsi="Times New Roman" w:eastAsia="宋体"/>
                <w:color w:val="000000" w:themeColor="text1"/>
                <w:sz w:val="24"/>
                <w:highlight w:val="none"/>
                <w:u w:val="single"/>
                <w14:textFill>
                  <w14:solidFill>
                    <w14:schemeClr w14:val="tx1"/>
                  </w14:solidFill>
                </w14:textFill>
              </w:rPr>
            </w:pPr>
            <w:r>
              <w:rPr>
                <w:rFonts w:hint="eastAsia" w:ascii="Times New Roman" w:hAnsi="Times New Roman" w:eastAsia="宋体"/>
                <w:color w:val="000000" w:themeColor="text1"/>
                <w:sz w:val="24"/>
                <w:highlight w:val="none"/>
                <w:u w:val="single"/>
                <w14:textFill>
                  <w14:solidFill>
                    <w14:schemeClr w14:val="tx1"/>
                  </w14:solidFill>
                </w14:textFill>
              </w:rPr>
              <w:t>主要原材料理化性质简介：</w:t>
            </w:r>
          </w:p>
          <w:p w14:paraId="66E94FD1">
            <w:pPr>
              <w:numPr>
                <w:ilvl w:val="0"/>
                <w:numId w:val="5"/>
              </w:numPr>
              <w:spacing w:before="31" w:beforeLines="10" w:line="377"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lang w:eastAsia="zh-CN"/>
                <w14:textFill>
                  <w14:solidFill>
                    <w14:schemeClr w14:val="tx1"/>
                  </w14:solidFill>
                </w14:textFill>
              </w:rPr>
              <w:t>塑粉</w:t>
            </w:r>
            <w:r>
              <w:rPr>
                <w:rFonts w:hint="eastAsia" w:ascii="Times New Roman" w:hAnsi="Times New Roman" w:eastAsia="宋体"/>
                <w:b/>
                <w:bCs/>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是一种具有耐腐蚀性和坚韧性的热固性粉末涂料，未喷涂到工件上的粉末涂料经回收后可循环利用。根据建设单位提供的粉末涂料MSDS（见附件</w:t>
            </w:r>
            <w:r>
              <w:rPr>
                <w:rFonts w:hint="eastAsia" w:ascii="Times New Roman" w:hAnsi="Times New Roman" w:eastAsia="宋体"/>
                <w:color w:val="000000" w:themeColor="text1"/>
                <w:sz w:val="24"/>
                <w:highlight w:val="none"/>
                <w:lang w:val="en-US" w:eastAsia="zh-CN"/>
                <w14:textFill>
                  <w14:solidFill>
                    <w14:schemeClr w14:val="tx1"/>
                  </w14:solidFill>
                </w14:textFill>
              </w:rPr>
              <w:t>6</w:t>
            </w:r>
            <w:r>
              <w:rPr>
                <w:rFonts w:hint="eastAsia" w:ascii="Times New Roman" w:hAnsi="Times New Roman" w:eastAsia="宋体"/>
                <w:color w:val="000000" w:themeColor="text1"/>
                <w:sz w:val="24"/>
                <w:highlight w:val="none"/>
                <w14:textFill>
                  <w14:solidFill>
                    <w14:schemeClr w14:val="tx1"/>
                  </w14:solidFill>
                </w14:textFill>
              </w:rPr>
              <w:t>），主要成分为</w:t>
            </w:r>
            <w:r>
              <w:rPr>
                <w:rFonts w:hint="eastAsia" w:ascii="Times New Roman" w:hAnsi="Times New Roman" w:eastAsia="宋体"/>
                <w:color w:val="000000" w:themeColor="text1"/>
                <w:sz w:val="24"/>
                <w:highlight w:val="none"/>
                <w:lang w:eastAsia="zh-CN"/>
                <w14:textFill>
                  <w14:solidFill>
                    <w14:schemeClr w14:val="tx1"/>
                  </w14:solidFill>
                </w14:textFill>
              </w:rPr>
              <w:t>环氧树脂、聚酯树脂、</w:t>
            </w:r>
            <w:r>
              <w:rPr>
                <w:rFonts w:hint="eastAsia" w:ascii="Times New Roman" w:hAnsi="Times New Roman" w:eastAsia="宋体"/>
                <w:color w:val="000000" w:themeColor="text1"/>
                <w:sz w:val="24"/>
                <w:highlight w:val="none"/>
                <w14:textFill>
                  <w14:solidFill>
                    <w14:schemeClr w14:val="tx1"/>
                  </w14:solidFill>
                </w14:textFill>
              </w:rPr>
              <w:t>颜填料</w:t>
            </w:r>
            <w:r>
              <w:rPr>
                <w:rFonts w:hint="eastAsia" w:ascii="Times New Roman" w:hAnsi="Times New Roman" w:eastAsia="宋体"/>
                <w:color w:val="000000" w:themeColor="text1"/>
                <w:sz w:val="24"/>
                <w:highlight w:val="none"/>
                <w:lang w:eastAsia="zh-CN"/>
                <w14:textFill>
                  <w14:solidFill>
                    <w14:schemeClr w14:val="tx1"/>
                  </w14:solidFill>
                </w14:textFill>
              </w:rPr>
              <w:t>等，</w:t>
            </w:r>
            <w:r>
              <w:rPr>
                <w:rFonts w:hint="eastAsia" w:ascii="Times New Roman" w:hAnsi="Times New Roman" w:eastAsia="宋体"/>
                <w:color w:val="000000" w:themeColor="text1"/>
                <w:sz w:val="24"/>
                <w:highlight w:val="none"/>
                <w14:textFill>
                  <w14:solidFill>
                    <w14:schemeClr w14:val="tx1"/>
                  </w14:solidFill>
                </w14:textFill>
              </w:rPr>
              <w:t>密度1.2-1.</w:t>
            </w:r>
            <w:r>
              <w:rPr>
                <w:rFonts w:hint="eastAsia" w:ascii="Times New Roman" w:hAnsi="Times New Roman" w:eastAsia="宋体"/>
                <w:color w:val="000000" w:themeColor="text1"/>
                <w:sz w:val="24"/>
                <w:highlight w:val="none"/>
                <w:lang w:val="en-US" w:eastAsia="zh-CN"/>
                <w14:textFill>
                  <w14:solidFill>
                    <w14:schemeClr w14:val="tx1"/>
                  </w14:solidFill>
                </w14:textFill>
              </w:rPr>
              <w:t>9</w:t>
            </w:r>
            <w:r>
              <w:rPr>
                <w:rFonts w:hint="eastAsia" w:ascii="Times New Roman" w:hAnsi="Times New Roman" w:eastAsia="宋体"/>
                <w:color w:val="000000" w:themeColor="text1"/>
                <w:sz w:val="24"/>
                <w:highlight w:val="none"/>
                <w14:textFill>
                  <w14:solidFill>
                    <w14:schemeClr w14:val="tx1"/>
                  </w14:solidFill>
                </w14:textFill>
              </w:rPr>
              <w:t>g/cm</w:t>
            </w:r>
            <w:r>
              <w:rPr>
                <w:rFonts w:hint="eastAsia" w:ascii="Times New Roman" w:hAnsi="Times New Roman" w:eastAsia="宋体"/>
                <w:color w:val="000000" w:themeColor="text1"/>
                <w:sz w:val="24"/>
                <w:highlight w:val="none"/>
                <w:vertAlign w:val="superscript"/>
                <w14:textFill>
                  <w14:solidFill>
                    <w14:schemeClr w14:val="tx1"/>
                  </w14:solidFill>
                </w14:textFill>
              </w:rPr>
              <w:t>3</w:t>
            </w:r>
            <w:r>
              <w:rPr>
                <w:rFonts w:hint="eastAsia" w:ascii="Times New Roman" w:hAnsi="Times New Roman" w:eastAsia="宋体"/>
                <w:color w:val="000000" w:themeColor="text1"/>
                <w:sz w:val="24"/>
                <w:highlight w:val="none"/>
                <w14:textFill>
                  <w14:solidFill>
                    <w14:schemeClr w14:val="tx1"/>
                  </w14:solidFill>
                </w14:textFill>
              </w:rPr>
              <w:t>，热分解温度约280℃。</w:t>
            </w:r>
          </w:p>
          <w:p w14:paraId="1FA7F0E6">
            <w:pPr>
              <w:spacing w:before="31" w:beforeLines="10"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根据建设单位提供的粉末涂料MSDS（见附件</w:t>
            </w:r>
            <w:r>
              <w:rPr>
                <w:rFonts w:hint="eastAsia" w:ascii="Times New Roman" w:hAnsi="Times New Roman" w:eastAsia="宋体"/>
                <w:color w:val="000000" w:themeColor="text1"/>
                <w:sz w:val="24"/>
                <w:highlight w:val="none"/>
                <w:lang w:val="en-US" w:eastAsia="zh-CN"/>
                <w14:textFill>
                  <w14:solidFill>
                    <w14:schemeClr w14:val="tx1"/>
                  </w14:solidFill>
                </w14:textFill>
              </w:rPr>
              <w:t>6</w:t>
            </w:r>
            <w:r>
              <w:rPr>
                <w:rFonts w:hint="eastAsia" w:ascii="Times New Roman" w:hAnsi="Times New Roman" w:eastAsia="宋体"/>
                <w:color w:val="000000" w:themeColor="text1"/>
                <w:sz w:val="24"/>
                <w:highlight w:val="none"/>
                <w:lang w:eastAsia="zh-CN"/>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，本项目使用的粉末涂料中不含重金属铅、镉、六价铬、汞等重金属原料。根据</w:t>
            </w:r>
            <w:r>
              <w:rPr>
                <w:rFonts w:ascii="Times New Roman" w:hAnsi="Times New Roman" w:eastAsia="宋体"/>
                <w:color w:val="000000" w:themeColor="text1"/>
                <w:sz w:val="24"/>
                <w:highlight w:val="none"/>
                <w14:textFill>
                  <w14:solidFill>
                    <w14:schemeClr w14:val="tx1"/>
                  </w14:solidFill>
                </w14:textFill>
              </w:rPr>
              <w:t>《车辆涂料中有害物质限量》（GB 24409-2020）</w:t>
            </w:r>
            <w:r>
              <w:rPr>
                <w:rFonts w:hint="eastAsia" w:ascii="Times New Roman" w:hAnsi="Times New Roman" w:eastAsia="宋体"/>
                <w:color w:val="000000" w:themeColor="text1"/>
                <w:sz w:val="24"/>
                <w:highlight w:val="none"/>
                <w14:textFill>
                  <w14:solidFill>
                    <w14:schemeClr w14:val="tx1"/>
                  </w14:solidFill>
                </w14:textFill>
              </w:rPr>
              <w:t>表4，本项目使用的粉末涂料，符合该文件要求。</w:t>
            </w:r>
          </w:p>
          <w:p w14:paraId="08D17795">
            <w:pPr>
              <w:spacing w:before="31" w:beforeLines="10"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项目粉末涂料的使用情况详见表2-8。</w:t>
            </w:r>
          </w:p>
          <w:p w14:paraId="66E5424E">
            <w:pPr>
              <w:spacing w:line="360" w:lineRule="auto"/>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表2-</w:t>
            </w:r>
            <w:r>
              <w:rPr>
                <w:rFonts w:hint="eastAsia" w:ascii="Times New Roman" w:hAnsi="Times New Roman" w:eastAsia="宋体" w:cs="Times New Roman"/>
                <w:color w:val="000000" w:themeColor="text1"/>
                <w:sz w:val="24"/>
                <w:highlight w:val="none"/>
                <w14:textFill>
                  <w14:solidFill>
                    <w14:schemeClr w14:val="tx1"/>
                  </w14:solidFill>
                </w14:textFill>
              </w:rPr>
              <w:t>8</w:t>
            </w:r>
            <w:r>
              <w:rPr>
                <w:rFonts w:ascii="Times New Roman" w:hAnsi="Times New Roman" w:eastAsia="宋体" w:cs="Times New Roman"/>
                <w:color w:val="000000" w:themeColor="text1"/>
                <w:sz w:val="24"/>
                <w:highlight w:val="none"/>
                <w14:textFill>
                  <w14:solidFill>
                    <w14:schemeClr w14:val="tx1"/>
                  </w14:solidFill>
                </w14:textFill>
              </w:rPr>
              <w:t xml:space="preserve">  项目粉末涂料用量核算一览表</w:t>
            </w:r>
          </w:p>
          <w:tbl>
            <w:tblPr>
              <w:tblStyle w:val="27"/>
              <w:tblW w:w="492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59"/>
              <w:gridCol w:w="718"/>
              <w:gridCol w:w="2445"/>
              <w:gridCol w:w="1005"/>
              <w:gridCol w:w="975"/>
              <w:gridCol w:w="825"/>
              <w:gridCol w:w="990"/>
              <w:gridCol w:w="809"/>
            </w:tblGrid>
            <w:tr w14:paraId="44F4B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2" w:hRule="atLeast"/>
              </w:trPr>
              <w:tc>
                <w:tcPr>
                  <w:tcW w:w="335" w:type="pct"/>
                  <w:vMerge w:val="restart"/>
                  <w:tcBorders>
                    <w:tl2br w:val="nil"/>
                    <w:tr2bl w:val="nil"/>
                  </w:tcBorders>
                  <w:vAlign w:val="center"/>
                </w:tcPr>
                <w:p w14:paraId="042D8680">
                  <w:pPr>
                    <w:pStyle w:val="40"/>
                    <w:spacing w:beforeLines="0"/>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产品</w:t>
                  </w:r>
                </w:p>
              </w:tc>
              <w:tc>
                <w:tcPr>
                  <w:tcW w:w="431" w:type="pct"/>
                  <w:vMerge w:val="restart"/>
                  <w:tcBorders>
                    <w:tl2br w:val="nil"/>
                    <w:tr2bl w:val="nil"/>
                  </w:tcBorders>
                  <w:vAlign w:val="center"/>
                </w:tcPr>
                <w:p w14:paraId="618DA002">
                  <w:pPr>
                    <w:pStyle w:val="40"/>
                    <w:spacing w:beforeLines="0"/>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产量</w:t>
                  </w:r>
                </w:p>
              </w:tc>
              <w:tc>
                <w:tcPr>
                  <w:tcW w:w="1468" w:type="pct"/>
                  <w:vMerge w:val="restart"/>
                  <w:tcBorders>
                    <w:tl2br w:val="nil"/>
                    <w:tr2bl w:val="nil"/>
                  </w:tcBorders>
                  <w:vAlign w:val="center"/>
                </w:tcPr>
                <w:p w14:paraId="11405FD2">
                  <w:pPr>
                    <w:pStyle w:val="40"/>
                    <w:spacing w:beforeLines="0"/>
                    <w:rPr>
                      <w:rFonts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highlight w:val="none"/>
                      <w14:textFill>
                        <w14:solidFill>
                          <w14:schemeClr w14:val="tx1"/>
                        </w14:solidFill>
                      </w14:textFill>
                    </w:rPr>
                    <w:t>喷粉总面积</w:t>
                  </w:r>
                  <w:r>
                    <w:rPr>
                      <w:rFonts w:hint="eastAsia" w:ascii="Times New Roman" w:hAnsi="Times New Roman" w:eastAsia="宋体" w:cs="Times New Roman"/>
                      <w:b/>
                      <w:bCs/>
                      <w:color w:val="000000" w:themeColor="text1"/>
                      <w:highlight w:val="none"/>
                      <w14:textFill>
                        <w14:solidFill>
                          <w14:schemeClr w14:val="tx1"/>
                        </w14:solidFill>
                      </w14:textFill>
                    </w:rPr>
                    <w:t>（m</w:t>
                  </w:r>
                  <w:r>
                    <w:rPr>
                      <w:rFonts w:hint="eastAsia" w:ascii="Times New Roman" w:hAnsi="Times New Roman" w:eastAsia="宋体" w:cs="Times New Roman"/>
                      <w:b/>
                      <w:bCs/>
                      <w:color w:val="000000" w:themeColor="text1"/>
                      <w:highlight w:val="none"/>
                      <w:vertAlign w:val="superscript"/>
                      <w14:textFill>
                        <w14:solidFill>
                          <w14:schemeClr w14:val="tx1"/>
                        </w14:solidFill>
                      </w14:textFill>
                    </w:rPr>
                    <w:t>2</w:t>
                  </w:r>
                  <w:r>
                    <w:rPr>
                      <w:rFonts w:hint="eastAsia" w:ascii="Times New Roman" w:hAnsi="Times New Roman" w:eastAsia="宋体" w:cs="Times New Roman"/>
                      <w:b/>
                      <w:bCs/>
                      <w:color w:val="000000" w:themeColor="text1"/>
                      <w:highlight w:val="none"/>
                      <w14:textFill>
                        <w14:solidFill>
                          <w14:schemeClr w14:val="tx1"/>
                        </w14:solidFill>
                      </w14:textFill>
                    </w:rPr>
                    <w:t>）</w:t>
                  </w:r>
                </w:p>
              </w:tc>
              <w:tc>
                <w:tcPr>
                  <w:tcW w:w="603" w:type="pct"/>
                  <w:vMerge w:val="restart"/>
                  <w:tcBorders>
                    <w:tl2br w:val="nil"/>
                    <w:tr2bl w:val="nil"/>
                  </w:tcBorders>
                  <w:vAlign w:val="center"/>
                </w:tcPr>
                <w:p w14:paraId="6DA8AEC3">
                  <w:pPr>
                    <w:pStyle w:val="40"/>
                    <w:spacing w:beforeLines="0"/>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厚度</w:t>
                  </w:r>
                </w:p>
              </w:tc>
              <w:tc>
                <w:tcPr>
                  <w:tcW w:w="585" w:type="pct"/>
                  <w:vMerge w:val="restart"/>
                  <w:tcBorders>
                    <w:tl2br w:val="nil"/>
                    <w:tr2bl w:val="nil"/>
                  </w:tcBorders>
                  <w:vAlign w:val="center"/>
                </w:tcPr>
                <w:p w14:paraId="7B4566DF">
                  <w:pPr>
                    <w:pStyle w:val="40"/>
                    <w:spacing w:beforeLines="0"/>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密度</w:t>
                  </w:r>
                </w:p>
              </w:tc>
              <w:tc>
                <w:tcPr>
                  <w:tcW w:w="495" w:type="pct"/>
                  <w:vMerge w:val="restart"/>
                  <w:tcBorders>
                    <w:tl2br w:val="nil"/>
                    <w:tr2bl w:val="nil"/>
                  </w:tcBorders>
                  <w:vAlign w:val="center"/>
                </w:tcPr>
                <w:p w14:paraId="308878EA">
                  <w:pPr>
                    <w:pStyle w:val="40"/>
                    <w:spacing w:beforeLines="0"/>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附着率</w:t>
                  </w:r>
                </w:p>
              </w:tc>
              <w:tc>
                <w:tcPr>
                  <w:tcW w:w="1080" w:type="pct"/>
                  <w:gridSpan w:val="2"/>
                  <w:tcBorders>
                    <w:tl2br w:val="nil"/>
                    <w:tr2bl w:val="nil"/>
                  </w:tcBorders>
                  <w:vAlign w:val="center"/>
                </w:tcPr>
                <w:p w14:paraId="7C6B8C5D">
                  <w:pPr>
                    <w:pStyle w:val="40"/>
                    <w:spacing w:beforeLines="0"/>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涂料用量（t）</w:t>
                  </w:r>
                </w:p>
              </w:tc>
            </w:tr>
            <w:tr w14:paraId="5DA61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65" w:hRule="atLeast"/>
              </w:trPr>
              <w:tc>
                <w:tcPr>
                  <w:tcW w:w="335" w:type="pct"/>
                  <w:vMerge w:val="continue"/>
                  <w:tcBorders>
                    <w:tl2br w:val="nil"/>
                    <w:tr2bl w:val="nil"/>
                  </w:tcBorders>
                  <w:vAlign w:val="center"/>
                </w:tcPr>
                <w:p w14:paraId="0666F607">
                  <w:pPr>
                    <w:pStyle w:val="40"/>
                    <w:spacing w:beforeLines="0"/>
                    <w:rPr>
                      <w:rFonts w:ascii="Times New Roman" w:hAnsi="Times New Roman" w:cs="Times New Roman"/>
                      <w:b/>
                      <w:bCs/>
                      <w:color w:val="000000" w:themeColor="text1"/>
                      <w:highlight w:val="none"/>
                      <w14:textFill>
                        <w14:solidFill>
                          <w14:schemeClr w14:val="tx1"/>
                        </w14:solidFill>
                      </w14:textFill>
                    </w:rPr>
                  </w:pPr>
                </w:p>
              </w:tc>
              <w:tc>
                <w:tcPr>
                  <w:tcW w:w="431" w:type="pct"/>
                  <w:vMerge w:val="continue"/>
                  <w:tcBorders>
                    <w:tl2br w:val="nil"/>
                    <w:tr2bl w:val="nil"/>
                  </w:tcBorders>
                  <w:vAlign w:val="center"/>
                </w:tcPr>
                <w:p w14:paraId="1D3AF097">
                  <w:pPr>
                    <w:pStyle w:val="40"/>
                    <w:spacing w:beforeLines="0"/>
                    <w:rPr>
                      <w:rFonts w:ascii="Times New Roman" w:hAnsi="Times New Roman" w:cs="Times New Roman"/>
                      <w:b/>
                      <w:bCs/>
                      <w:color w:val="000000" w:themeColor="text1"/>
                      <w:highlight w:val="none"/>
                      <w14:textFill>
                        <w14:solidFill>
                          <w14:schemeClr w14:val="tx1"/>
                        </w14:solidFill>
                      </w14:textFill>
                    </w:rPr>
                  </w:pPr>
                </w:p>
              </w:tc>
              <w:tc>
                <w:tcPr>
                  <w:tcW w:w="1468" w:type="pct"/>
                  <w:vMerge w:val="continue"/>
                  <w:tcBorders>
                    <w:tl2br w:val="nil"/>
                    <w:tr2bl w:val="nil"/>
                  </w:tcBorders>
                  <w:vAlign w:val="center"/>
                </w:tcPr>
                <w:p w14:paraId="18B3A95A">
                  <w:pPr>
                    <w:pStyle w:val="40"/>
                    <w:spacing w:beforeLines="0"/>
                    <w:rPr>
                      <w:rFonts w:hint="eastAsia" w:ascii="Times New Roman" w:hAnsi="Times New Roman" w:cs="Times New Roman"/>
                      <w:b/>
                      <w:bCs/>
                      <w:color w:val="000000" w:themeColor="text1"/>
                      <w:highlight w:val="none"/>
                      <w14:textFill>
                        <w14:solidFill>
                          <w14:schemeClr w14:val="tx1"/>
                        </w14:solidFill>
                      </w14:textFill>
                    </w:rPr>
                  </w:pPr>
                </w:p>
              </w:tc>
              <w:tc>
                <w:tcPr>
                  <w:tcW w:w="603" w:type="pct"/>
                  <w:vMerge w:val="continue"/>
                  <w:tcBorders>
                    <w:tl2br w:val="nil"/>
                    <w:tr2bl w:val="nil"/>
                  </w:tcBorders>
                  <w:vAlign w:val="center"/>
                </w:tcPr>
                <w:p w14:paraId="0206F4B2">
                  <w:pPr>
                    <w:pStyle w:val="40"/>
                    <w:spacing w:beforeLines="0"/>
                    <w:rPr>
                      <w:rFonts w:ascii="Times New Roman" w:hAnsi="Times New Roman" w:cs="Times New Roman"/>
                      <w:b/>
                      <w:bCs/>
                      <w:color w:val="000000" w:themeColor="text1"/>
                      <w:highlight w:val="none"/>
                      <w14:textFill>
                        <w14:solidFill>
                          <w14:schemeClr w14:val="tx1"/>
                        </w14:solidFill>
                      </w14:textFill>
                    </w:rPr>
                  </w:pPr>
                </w:p>
              </w:tc>
              <w:tc>
                <w:tcPr>
                  <w:tcW w:w="585" w:type="pct"/>
                  <w:vMerge w:val="continue"/>
                  <w:tcBorders>
                    <w:tl2br w:val="nil"/>
                    <w:tr2bl w:val="nil"/>
                  </w:tcBorders>
                  <w:vAlign w:val="center"/>
                </w:tcPr>
                <w:p w14:paraId="609CA3EE">
                  <w:pPr>
                    <w:pStyle w:val="40"/>
                    <w:spacing w:beforeLines="0"/>
                    <w:rPr>
                      <w:rFonts w:ascii="Times New Roman" w:hAnsi="Times New Roman" w:cs="Times New Roman"/>
                      <w:b/>
                      <w:bCs/>
                      <w:color w:val="000000" w:themeColor="text1"/>
                      <w:highlight w:val="none"/>
                      <w14:textFill>
                        <w14:solidFill>
                          <w14:schemeClr w14:val="tx1"/>
                        </w14:solidFill>
                      </w14:textFill>
                    </w:rPr>
                  </w:pPr>
                </w:p>
              </w:tc>
              <w:tc>
                <w:tcPr>
                  <w:tcW w:w="495" w:type="pct"/>
                  <w:vMerge w:val="continue"/>
                  <w:tcBorders>
                    <w:tl2br w:val="nil"/>
                    <w:tr2bl w:val="nil"/>
                  </w:tcBorders>
                  <w:vAlign w:val="center"/>
                </w:tcPr>
                <w:p w14:paraId="4CE081E1">
                  <w:pPr>
                    <w:pStyle w:val="40"/>
                    <w:spacing w:beforeLines="0"/>
                    <w:rPr>
                      <w:rFonts w:ascii="Times New Roman" w:hAnsi="Times New Roman" w:cs="Times New Roman"/>
                      <w:b/>
                      <w:bCs/>
                      <w:color w:val="000000" w:themeColor="text1"/>
                      <w:highlight w:val="none"/>
                      <w14:textFill>
                        <w14:solidFill>
                          <w14:schemeClr w14:val="tx1"/>
                        </w14:solidFill>
                      </w14:textFill>
                    </w:rPr>
                  </w:pPr>
                </w:p>
              </w:tc>
              <w:tc>
                <w:tcPr>
                  <w:tcW w:w="594" w:type="pct"/>
                  <w:tcBorders>
                    <w:tl2br w:val="nil"/>
                    <w:tr2bl w:val="nil"/>
                  </w:tcBorders>
                  <w:vAlign w:val="center"/>
                </w:tcPr>
                <w:p w14:paraId="532E1723">
                  <w:pPr>
                    <w:pStyle w:val="40"/>
                    <w:spacing w:beforeLines="0"/>
                    <w:rPr>
                      <w:rFonts w:hint="eastAsia" w:ascii="Times New Roman" w:hAnsi="Times New Roman" w:cs="Times New Roman" w:eastAsiaTheme="minorEastAsia"/>
                      <w:b/>
                      <w:bCs/>
                      <w:color w:val="000000" w:themeColor="text1"/>
                      <w:highlight w:val="none"/>
                      <w:lang w:eastAsia="zh-CN"/>
                      <w14:textFill>
                        <w14:solidFill>
                          <w14:schemeClr w14:val="tx1"/>
                        </w14:solidFill>
                      </w14:textFill>
                    </w:rPr>
                  </w:pPr>
                  <w:r>
                    <w:rPr>
                      <w:rFonts w:hint="eastAsia" w:ascii="Times New Roman" w:hAnsi="Times New Roman" w:cs="Times New Roman"/>
                      <w:b/>
                      <w:bCs/>
                      <w:color w:val="000000" w:themeColor="text1"/>
                      <w:highlight w:val="none"/>
                      <w:lang w:eastAsia="zh-CN"/>
                      <w14:textFill>
                        <w14:solidFill>
                          <w14:schemeClr w14:val="tx1"/>
                        </w14:solidFill>
                      </w14:textFill>
                    </w:rPr>
                    <w:t>新粉量</w:t>
                  </w:r>
                </w:p>
              </w:tc>
              <w:tc>
                <w:tcPr>
                  <w:tcW w:w="485" w:type="pct"/>
                  <w:tcBorders>
                    <w:tl2br w:val="nil"/>
                    <w:tr2bl w:val="nil"/>
                  </w:tcBorders>
                  <w:vAlign w:val="center"/>
                </w:tcPr>
                <w:p w14:paraId="44A16160">
                  <w:pPr>
                    <w:pStyle w:val="40"/>
                    <w:spacing w:beforeLines="0"/>
                    <w:rPr>
                      <w:rFonts w:hint="eastAsia" w:ascii="Times New Roman" w:hAnsi="Times New Roman" w:cs="Times New Roman" w:eastAsiaTheme="minorEastAsia"/>
                      <w:b/>
                      <w:bCs/>
                      <w:color w:val="000000" w:themeColor="text1"/>
                      <w:highlight w:val="none"/>
                      <w:lang w:eastAsia="zh-CN"/>
                      <w14:textFill>
                        <w14:solidFill>
                          <w14:schemeClr w14:val="tx1"/>
                        </w14:solidFill>
                      </w14:textFill>
                    </w:rPr>
                  </w:pPr>
                  <w:r>
                    <w:rPr>
                      <w:rFonts w:hint="eastAsia" w:ascii="Times New Roman" w:hAnsi="Times New Roman" w:cs="Times New Roman"/>
                      <w:b/>
                      <w:bCs/>
                      <w:color w:val="000000" w:themeColor="text1"/>
                      <w:highlight w:val="none"/>
                      <w:lang w:eastAsia="zh-CN"/>
                      <w14:textFill>
                        <w14:solidFill>
                          <w14:schemeClr w14:val="tx1"/>
                        </w14:solidFill>
                      </w14:textFill>
                    </w:rPr>
                    <w:t>回用量</w:t>
                  </w:r>
                </w:p>
              </w:tc>
            </w:tr>
            <w:tr w14:paraId="65B46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35" w:type="pct"/>
                  <w:tcBorders>
                    <w:tl2br w:val="nil"/>
                    <w:tr2bl w:val="nil"/>
                  </w:tcBorders>
                  <w:vAlign w:val="center"/>
                </w:tcPr>
                <w:p w14:paraId="7BB31824">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摩托车钢圈</w:t>
                  </w:r>
                </w:p>
              </w:tc>
              <w:tc>
                <w:tcPr>
                  <w:tcW w:w="431" w:type="pct"/>
                  <w:tcBorders>
                    <w:tl2br w:val="nil"/>
                    <w:tr2bl w:val="nil"/>
                  </w:tcBorders>
                  <w:vAlign w:val="center"/>
                </w:tcPr>
                <w:p w14:paraId="20B21052">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20</w:t>
                  </w:r>
                  <w:r>
                    <w:rPr>
                      <w:rFonts w:ascii="Times New Roman" w:hAnsi="Times New Roman" w:cs="Times New Roman"/>
                      <w:color w:val="000000" w:themeColor="text1"/>
                      <w:highlight w:val="none"/>
                      <w14:textFill>
                        <w14:solidFill>
                          <w14:schemeClr w14:val="tx1"/>
                        </w14:solidFill>
                      </w14:textFill>
                    </w:rPr>
                    <w:t>万件/a</w:t>
                  </w:r>
                </w:p>
              </w:tc>
              <w:tc>
                <w:tcPr>
                  <w:tcW w:w="1468" w:type="pct"/>
                  <w:tcBorders>
                    <w:tl2br w:val="nil"/>
                    <w:tr2bl w:val="nil"/>
                  </w:tcBorders>
                  <w:vAlign w:val="center"/>
                </w:tcPr>
                <w:p w14:paraId="6A28DB59">
                  <w:pPr>
                    <w:pStyle w:val="40"/>
                    <w:spacing w:beforeLines="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56000</w:t>
                  </w:r>
                  <w:r>
                    <w:rPr>
                      <w:rFonts w:hint="eastAsia" w:ascii="Times New Roman" w:hAnsi="Times New Roman" w:cs="Times New Roman"/>
                      <w:color w:val="000000" w:themeColor="text1"/>
                      <w:highlight w:val="none"/>
                      <w14:textFill>
                        <w14:solidFill>
                          <w14:schemeClr w14:val="tx1"/>
                        </w14:solidFill>
                      </w14:textFill>
                    </w:rPr>
                    <w:t>（产品合格率95%，附着面积</w:t>
                  </w:r>
                  <w:r>
                    <w:rPr>
                      <w:rFonts w:hint="eastAsia" w:ascii="Times New Roman" w:hAnsi="Times New Roman" w:cs="Times New Roman"/>
                      <w:color w:val="000000" w:themeColor="text1"/>
                      <w:highlight w:val="none"/>
                      <w:lang w:val="en-US" w:eastAsia="zh-CN"/>
                      <w14:textFill>
                        <w14:solidFill>
                          <w14:schemeClr w14:val="tx1"/>
                        </w14:solidFill>
                      </w14:textFill>
                    </w:rPr>
                    <w:t>53200</w:t>
                  </w:r>
                  <w:r>
                    <w:rPr>
                      <w:rFonts w:hint="eastAsia" w:ascii="Times New Roman" w:hAnsi="Times New Roman" w:cs="Times New Roman"/>
                      <w:color w:val="000000" w:themeColor="text1"/>
                      <w:highlight w:val="none"/>
                      <w14:textFill>
                        <w14:solidFill>
                          <w14:schemeClr w14:val="tx1"/>
                        </w14:solidFill>
                      </w14:textFill>
                    </w:rPr>
                    <w:t>，</w:t>
                  </w:r>
                  <w:r>
                    <w:rPr>
                      <w:rFonts w:ascii="Times New Roman" w:hAnsi="Times New Roman" w:cs="Times New Roman"/>
                      <w:color w:val="000000" w:themeColor="text1"/>
                      <w:highlight w:val="none"/>
                      <w14:textFill>
                        <w14:solidFill>
                          <w14:schemeClr w14:val="tx1"/>
                        </w14:solidFill>
                      </w14:textFill>
                    </w:rPr>
                    <w:t>5%不合格品</w:t>
                  </w:r>
                  <w:r>
                    <w:rPr>
                      <w:rFonts w:hint="eastAsia" w:ascii="Times New Roman" w:hAnsi="Times New Roman" w:cs="Times New Roman"/>
                      <w:color w:val="000000" w:themeColor="text1"/>
                      <w:highlight w:val="none"/>
                      <w14:textFill>
                        <w14:solidFill>
                          <w14:schemeClr w14:val="tx1"/>
                        </w14:solidFill>
                      </w14:textFill>
                    </w:rPr>
                    <w:t>附着面积</w:t>
                  </w:r>
                  <w:r>
                    <w:rPr>
                      <w:rFonts w:hint="eastAsia" w:ascii="Times New Roman" w:hAnsi="Times New Roman" w:cs="Times New Roman"/>
                      <w:color w:val="000000" w:themeColor="text1"/>
                      <w:highlight w:val="none"/>
                      <w:lang w:val="en-US" w:eastAsia="zh-CN"/>
                      <w14:textFill>
                        <w14:solidFill>
                          <w14:schemeClr w14:val="tx1"/>
                        </w14:solidFill>
                      </w14:textFill>
                    </w:rPr>
                    <w:t>2800</w:t>
                  </w:r>
                  <w:r>
                    <w:rPr>
                      <w:rFonts w:ascii="Times New Roman" w:hAnsi="Times New Roman" w:cs="Times New Roman"/>
                      <w:color w:val="000000" w:themeColor="text1"/>
                      <w:highlight w:val="none"/>
                      <w14:textFill>
                        <w14:solidFill>
                          <w14:schemeClr w14:val="tx1"/>
                        </w14:solidFill>
                      </w14:textFill>
                    </w:rPr>
                    <w:t>）</w:t>
                  </w:r>
                </w:p>
              </w:tc>
              <w:tc>
                <w:tcPr>
                  <w:tcW w:w="603" w:type="pct"/>
                  <w:tcBorders>
                    <w:tl2br w:val="nil"/>
                    <w:tr2bl w:val="nil"/>
                  </w:tcBorders>
                  <w:vAlign w:val="center"/>
                </w:tcPr>
                <w:p w14:paraId="3C73E310">
                  <w:pPr>
                    <w:pStyle w:val="40"/>
                    <w:spacing w:beforeLines="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6</w:t>
                  </w:r>
                  <w:r>
                    <w:rPr>
                      <w:rFonts w:hint="eastAsia" w:ascii="Times New Roman" w:hAnsi="Times New Roman" w:cs="Times New Roman"/>
                      <w:color w:val="000000" w:themeColor="text1"/>
                      <w:highlight w:val="none"/>
                      <w14:textFill>
                        <w14:solidFill>
                          <w14:schemeClr w14:val="tx1"/>
                        </w14:solidFill>
                      </w14:textFill>
                    </w:rPr>
                    <w:t>0</w:t>
                  </w:r>
                  <w:r>
                    <w:rPr>
                      <w:rFonts w:ascii="Times New Roman" w:hAnsi="Times New Roman" w:cs="Times New Roman"/>
                      <w:color w:val="000000" w:themeColor="text1"/>
                      <w:highlight w:val="none"/>
                      <w14:textFill>
                        <w14:solidFill>
                          <w14:schemeClr w14:val="tx1"/>
                        </w14:solidFill>
                      </w14:textFill>
                    </w:rPr>
                    <w:t>μm</w:t>
                  </w:r>
                </w:p>
              </w:tc>
              <w:tc>
                <w:tcPr>
                  <w:tcW w:w="585" w:type="pct"/>
                  <w:tcBorders>
                    <w:tl2br w:val="nil"/>
                    <w:tr2bl w:val="nil"/>
                  </w:tcBorders>
                  <w:vAlign w:val="center"/>
                </w:tcPr>
                <w:p w14:paraId="44DAAEB6">
                  <w:pPr>
                    <w:pStyle w:val="40"/>
                    <w:spacing w:beforeLines="0"/>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1.</w:t>
                  </w:r>
                  <w:r>
                    <w:rPr>
                      <w:rFonts w:hint="eastAsia" w:ascii="Times New Roman" w:hAnsi="Times New Roman" w:cs="Times New Roman"/>
                      <w:color w:val="000000" w:themeColor="text1"/>
                      <w:highlight w:val="none"/>
                      <w:lang w:val="en-US" w:eastAsia="zh-CN"/>
                      <w14:textFill>
                        <w14:solidFill>
                          <w14:schemeClr w14:val="tx1"/>
                        </w14:solidFill>
                      </w14:textFill>
                    </w:rPr>
                    <w:t>9</w:t>
                  </w:r>
                  <w:r>
                    <w:rPr>
                      <w:rFonts w:ascii="Times New Roman" w:hAnsi="Times New Roman" w:cs="Times New Roman"/>
                      <w:color w:val="000000" w:themeColor="text1"/>
                      <w:highlight w:val="none"/>
                      <w14:textFill>
                        <w14:solidFill>
                          <w14:schemeClr w14:val="tx1"/>
                        </w14:solidFill>
                      </w14:textFill>
                    </w:rPr>
                    <w:t>g/cm</w:t>
                  </w:r>
                  <w:r>
                    <w:rPr>
                      <w:rFonts w:ascii="Times New Roman" w:hAnsi="Times New Roman" w:cs="Times New Roman"/>
                      <w:color w:val="000000" w:themeColor="text1"/>
                      <w:highlight w:val="none"/>
                      <w:vertAlign w:val="superscript"/>
                      <w14:textFill>
                        <w14:solidFill>
                          <w14:schemeClr w14:val="tx1"/>
                        </w14:solidFill>
                      </w14:textFill>
                    </w:rPr>
                    <w:t>3</w:t>
                  </w:r>
                </w:p>
              </w:tc>
              <w:tc>
                <w:tcPr>
                  <w:tcW w:w="495" w:type="pct"/>
                  <w:tcBorders>
                    <w:tl2br w:val="nil"/>
                    <w:tr2bl w:val="nil"/>
                  </w:tcBorders>
                  <w:vAlign w:val="center"/>
                </w:tcPr>
                <w:p w14:paraId="146D440D">
                  <w:pPr>
                    <w:pStyle w:val="40"/>
                    <w:spacing w:beforeLines="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70</w:t>
                  </w:r>
                  <w:r>
                    <w:rPr>
                      <w:rFonts w:ascii="Times New Roman" w:hAnsi="Times New Roman" w:cs="Times New Roman"/>
                      <w:color w:val="000000" w:themeColor="text1"/>
                      <w:highlight w:val="none"/>
                      <w14:textFill>
                        <w14:solidFill>
                          <w14:schemeClr w14:val="tx1"/>
                        </w14:solidFill>
                      </w14:textFill>
                    </w:rPr>
                    <w:t>%</w:t>
                  </w:r>
                </w:p>
              </w:tc>
              <w:tc>
                <w:tcPr>
                  <w:tcW w:w="594" w:type="pct"/>
                  <w:tcBorders>
                    <w:tl2br w:val="nil"/>
                    <w:tr2bl w:val="nil"/>
                  </w:tcBorders>
                  <w:vAlign w:val="center"/>
                </w:tcPr>
                <w:p w14:paraId="0F310F5F">
                  <w:pPr>
                    <w:pStyle w:val="40"/>
                    <w:spacing w:beforeLines="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7.95</w:t>
                  </w:r>
                </w:p>
              </w:tc>
              <w:tc>
                <w:tcPr>
                  <w:tcW w:w="485" w:type="pct"/>
                  <w:tcBorders>
                    <w:tl2br w:val="nil"/>
                    <w:tr2bl w:val="nil"/>
                  </w:tcBorders>
                  <w:vAlign w:val="center"/>
                </w:tcPr>
                <w:p w14:paraId="5BF20096">
                  <w:pPr>
                    <w:pStyle w:val="40"/>
                    <w:spacing w:beforeLines="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1.97</w:t>
                  </w:r>
                </w:p>
              </w:tc>
            </w:tr>
            <w:tr w14:paraId="4B54A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000" w:type="pct"/>
                  <w:gridSpan w:val="8"/>
                  <w:tcBorders>
                    <w:tl2br w:val="nil"/>
                    <w:tr2bl w:val="nil"/>
                  </w:tcBorders>
                  <w:vAlign w:val="center"/>
                </w:tcPr>
                <w:p w14:paraId="4C23FD87">
                  <w:pPr>
                    <w:pStyle w:val="40"/>
                    <w:spacing w:before="31"/>
                    <w:ind w:left="420" w:hanging="420" w:hangingChars="200"/>
                    <w:jc w:val="left"/>
                    <w:rPr>
                      <w:rFonts w:hint="default"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注：</w:t>
                  </w:r>
                  <w:r>
                    <w:rPr>
                      <w:rFonts w:hint="default" w:ascii="Times New Roman" w:hAnsi="Times New Roman" w:cs="Times New Roman"/>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t>项目喷涂附着率约为</w:t>
                  </w:r>
                  <w:r>
                    <w:rPr>
                      <w:rFonts w:hint="default" w:ascii="Times New Roman" w:hAnsi="Times New Roman" w:cs="Times New Roman"/>
                      <w:color w:val="000000" w:themeColor="text1"/>
                      <w:highlight w:val="none"/>
                      <w:lang w:val="en-US" w:eastAsia="zh-CN"/>
                      <w14:textFill>
                        <w14:solidFill>
                          <w14:schemeClr w14:val="tx1"/>
                        </w14:solidFill>
                      </w14:textFill>
                    </w:rPr>
                    <w:t>70</w:t>
                  </w:r>
                  <w:r>
                    <w:rPr>
                      <w:rFonts w:hint="default" w:ascii="Times New Roman" w:hAnsi="Times New Roman" w:cs="Times New Roman"/>
                      <w:color w:val="000000" w:themeColor="text1"/>
                      <w:highlight w:val="none"/>
                      <w14:textFill>
                        <w14:solidFill>
                          <w14:schemeClr w14:val="tx1"/>
                        </w14:solidFill>
                      </w14:textFill>
                    </w:rPr>
                    <w:t>%，剩余的</w:t>
                  </w:r>
                  <w:r>
                    <w:rPr>
                      <w:rFonts w:hint="default" w:ascii="Times New Roman" w:hAnsi="Times New Roman" w:cs="Times New Roman"/>
                      <w:color w:val="000000" w:themeColor="text1"/>
                      <w:highlight w:val="none"/>
                      <w:lang w:val="en-US" w:eastAsia="zh-CN"/>
                      <w14:textFill>
                        <w14:solidFill>
                          <w14:schemeClr w14:val="tx1"/>
                        </w14:solidFill>
                      </w14:textFill>
                    </w:rPr>
                    <w:t>30</w:t>
                  </w:r>
                  <w:r>
                    <w:rPr>
                      <w:rFonts w:hint="default" w:ascii="Times New Roman" w:hAnsi="Times New Roman" w:cs="Times New Roman"/>
                      <w:color w:val="000000" w:themeColor="text1"/>
                      <w:highlight w:val="none"/>
                      <w14:textFill>
                        <w14:solidFill>
                          <w14:schemeClr w14:val="tx1"/>
                        </w14:solidFill>
                      </w14:textFill>
                    </w:rPr>
                    <w:t>%塑粉</w:t>
                  </w:r>
                  <w:r>
                    <w:rPr>
                      <w:rFonts w:hint="eastAsia" w:ascii="Times New Roman" w:hAnsi="Times New Roman" w:cs="Times New Roman"/>
                      <w:color w:val="000000" w:themeColor="text1"/>
                      <w:highlight w:val="none"/>
                      <w:lang w:eastAsia="zh-CN"/>
                      <w14:textFill>
                        <w14:solidFill>
                          <w14:schemeClr w14:val="tx1"/>
                        </w14:solidFill>
                      </w14:textFill>
                    </w:rPr>
                    <w:t>其中</w:t>
                  </w:r>
                  <w:r>
                    <w:rPr>
                      <w:rFonts w:hint="default" w:ascii="Times New Roman" w:hAnsi="Times New Roman" w:cs="Times New Roman"/>
                      <w:color w:val="000000" w:themeColor="text1"/>
                      <w:highlight w:val="none"/>
                      <w:lang w:val="en-US" w:eastAsia="zh-CN"/>
                      <w14:textFill>
                        <w14:solidFill>
                          <w14:schemeClr w14:val="tx1"/>
                        </w14:solidFill>
                      </w14:textFill>
                    </w:rPr>
                    <w:t>10%无组织排放，</w:t>
                  </w:r>
                  <w:r>
                    <w:rPr>
                      <w:rFonts w:hint="default" w:ascii="Times New Roman" w:hAnsi="Times New Roman" w:cs="Times New Roman"/>
                      <w:color w:val="000000" w:themeColor="text1"/>
                      <w:highlight w:val="none"/>
                      <w14:textFill>
                        <w14:solidFill>
                          <w14:schemeClr w14:val="tx1"/>
                        </w14:solidFill>
                      </w14:textFill>
                    </w:rPr>
                    <w:t>9</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%收集进入回收系统</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80%的塑粉被回收</w:t>
                  </w:r>
                  <w:r>
                    <w:rPr>
                      <w:rFonts w:hint="default" w:ascii="Times New Roman" w:hAnsi="Times New Roman" w:cs="Times New Roman"/>
                      <w:color w:val="000000" w:themeColor="text1"/>
                      <w:highlight w:val="none"/>
                      <w:lang w:eastAsia="zh-CN"/>
                      <w14:textFill>
                        <w14:solidFill>
                          <w14:schemeClr w14:val="tx1"/>
                        </w14:solidFill>
                      </w14:textFill>
                    </w:rPr>
                    <w:t>重复利用</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20%以废气排放。</w:t>
                  </w:r>
                </w:p>
                <w:p w14:paraId="39A6A114">
                  <w:pPr>
                    <w:pStyle w:val="40"/>
                    <w:spacing w:before="31"/>
                    <w:ind w:firstLine="420" w:firstLineChars="20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②涂料用量=喷涂面积×厚度×密度÷</w:t>
                  </w:r>
                  <w:r>
                    <w:rPr>
                      <w:rFonts w:hint="default" w:ascii="Times New Roman" w:hAnsi="Times New Roman" w:cs="Times New Roman"/>
                      <w:color w:val="000000" w:themeColor="text1"/>
                      <w:highlight w:val="none"/>
                      <w:lang w:eastAsia="zh-CN"/>
                      <w14:textFill>
                        <w14:solidFill>
                          <w14:schemeClr w14:val="tx1"/>
                        </w14:solidFill>
                      </w14:textFill>
                    </w:rPr>
                    <w:t>附着</w:t>
                  </w:r>
                  <w:r>
                    <w:rPr>
                      <w:rFonts w:hint="default" w:ascii="Times New Roman" w:hAnsi="Times New Roman" w:cs="Times New Roman"/>
                      <w:color w:val="000000" w:themeColor="text1"/>
                      <w:highlight w:val="none"/>
                      <w14:textFill>
                        <w14:solidFill>
                          <w14:schemeClr w14:val="tx1"/>
                        </w14:solidFill>
                      </w14:textFill>
                    </w:rPr>
                    <w:t>率；</w:t>
                  </w:r>
                  <w:r>
                    <w:rPr>
                      <w:rFonts w:hint="eastAsia" w:ascii="Times New Roman" w:hAnsi="Times New Roman" w:cs="Times New Roman"/>
                      <w:color w:val="000000" w:themeColor="text1"/>
                      <w:highlight w:val="none"/>
                      <w:lang w:eastAsia="zh-CN"/>
                      <w14:textFill>
                        <w14:solidFill>
                          <w14:schemeClr w14:val="tx1"/>
                        </w14:solidFill>
                      </w14:textFill>
                    </w:rPr>
                    <w:t>根据建设单位提供塑粉</w:t>
                  </w:r>
                  <w:r>
                    <w:rPr>
                      <w:rFonts w:hint="eastAsia" w:ascii="Times New Roman" w:hAnsi="Times New Roman" w:cs="Times New Roman"/>
                      <w:color w:val="000000" w:themeColor="text1"/>
                      <w:highlight w:val="none"/>
                      <w:lang w:val="en-US" w:eastAsia="zh-CN"/>
                      <w14:textFill>
                        <w14:solidFill>
                          <w14:schemeClr w14:val="tx1"/>
                        </w14:solidFill>
                      </w14:textFill>
                    </w:rPr>
                    <w:t>MSDS，</w:t>
                  </w:r>
                  <w:r>
                    <w:rPr>
                      <w:rFonts w:hint="default" w:ascii="Times New Roman" w:hAnsi="Times New Roman" w:cs="Times New Roman"/>
                      <w:color w:val="000000" w:themeColor="text1"/>
                      <w:highlight w:val="none"/>
                      <w14:textFill>
                        <w14:solidFill>
                          <w14:schemeClr w14:val="tx1"/>
                        </w14:solidFill>
                      </w14:textFill>
                    </w:rPr>
                    <w:t>从不利情况考虑，密度取最大值核算。</w:t>
                  </w:r>
                </w:p>
                <w:p w14:paraId="65D49968">
                  <w:pPr>
                    <w:pStyle w:val="40"/>
                    <w:spacing w:before="31"/>
                    <w:ind w:firstLine="420" w:firstLineChars="200"/>
                    <w:jc w:val="both"/>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③塑粉物料平衡详见图</w:t>
                  </w:r>
                  <w:r>
                    <w:rPr>
                      <w:rFonts w:hint="default" w:ascii="Times New Roman" w:hAnsi="Times New Roman" w:cs="Times New Roman"/>
                      <w:color w:val="000000" w:themeColor="text1"/>
                      <w:highlight w:val="none"/>
                      <w:lang w:val="en-US" w:eastAsia="zh-CN"/>
                      <w14:textFill>
                        <w14:solidFill>
                          <w14:schemeClr w14:val="tx1"/>
                        </w14:solidFill>
                      </w14:textFill>
                    </w:rPr>
                    <w:t>2-1</w:t>
                  </w:r>
                  <w:r>
                    <w:rPr>
                      <w:rFonts w:hint="eastAsia" w:ascii="Times New Roman" w:hAnsi="Times New Roman" w:cs="Times New Roman"/>
                      <w:color w:val="000000" w:themeColor="text1"/>
                      <w:highlight w:val="none"/>
                      <w:lang w:val="en-US" w:eastAsia="zh-CN"/>
                      <w14:textFill>
                        <w14:solidFill>
                          <w14:schemeClr w14:val="tx1"/>
                        </w14:solidFill>
                      </w14:textFill>
                    </w:rPr>
                    <w:t>。</w:t>
                  </w:r>
                </w:p>
              </w:tc>
            </w:tr>
          </w:tbl>
          <w:p w14:paraId="684C64E1">
            <w:pPr>
              <w:spacing w:before="31" w:beforeLines="10" w:line="377"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2）机油</w:t>
            </w:r>
            <w:r>
              <w:rPr>
                <w:rFonts w:hint="eastAsia" w:ascii="Times New Roman" w:hAnsi="Times New Roman" w:eastAsia="宋体"/>
                <w:color w:val="000000" w:themeColor="text1"/>
                <w:sz w:val="24"/>
                <w:highlight w:val="none"/>
                <w14:textFill>
                  <w14:solidFill>
                    <w14:schemeClr w14:val="tx1"/>
                  </w14:solidFill>
                </w14:textFill>
              </w:rPr>
              <w:t>：机油是用在各种类型汽车、机械设备上以减少摩擦，保护机械及加工件的液体或半固体润滑剂，主要起润滑、辅助冷却、防锈、清洁、密封和缓冲等的作用。一般由基础油和添加剂两部分组成。基础油是机油主要成分，决定着机油的基本性质，添加剂则可弥补和改善基础油性能方面的不足，赋予某些新的性能，是机油的重要组成部分。</w:t>
            </w:r>
          </w:p>
          <w:p w14:paraId="55C701E6">
            <w:pPr>
              <w:spacing w:line="377" w:lineRule="auto"/>
              <w:ind w:firstLine="480" w:firstLineChars="200"/>
              <w:rPr>
                <w:rFonts w:hint="eastAsia"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本项目使用为机械润滑油，外观为淡黄色粘稠液体，属可燃液体，闪点＞200℃，溶于苯、乙醇、乙醚、氯仿、丙酮等多数有机溶剂。</w:t>
            </w:r>
          </w:p>
          <w:p w14:paraId="486F48A0">
            <w:pPr>
              <w:numPr>
                <w:ilvl w:val="0"/>
                <w:numId w:val="6"/>
              </w:numPr>
              <w:spacing w:before="31" w:beforeLines="10" w:line="377" w:lineRule="auto"/>
              <w:ind w:firstLine="482" w:firstLineChars="200"/>
              <w:rPr>
                <w:rFonts w:hint="eastAsia" w:ascii="Times New Roman" w:hAnsi="Times New Roman" w:eastAsia="宋体"/>
                <w:b/>
                <w:bCs/>
                <w:color w:val="000000" w:themeColor="text1"/>
                <w:sz w:val="24"/>
                <w:highlight w:val="none"/>
                <w:lang w:val="en-US" w:eastAsia="zh-CN"/>
                <w14:textFill>
                  <w14:solidFill>
                    <w14:schemeClr w14:val="tx1"/>
                  </w14:solidFill>
                </w14:textFill>
              </w:rPr>
            </w:pPr>
            <w:r>
              <w:rPr>
                <w:rFonts w:hint="eastAsia" w:ascii="Times New Roman" w:hAnsi="Times New Roman" w:eastAsia="宋体"/>
                <w:b/>
                <w:bCs/>
                <w:color w:val="000000" w:themeColor="text1"/>
                <w:sz w:val="24"/>
                <w:highlight w:val="none"/>
                <w:lang w:eastAsia="zh-CN"/>
                <w14:textFill>
                  <w14:solidFill>
                    <w14:schemeClr w14:val="tx1"/>
                  </w14:solidFill>
                </w14:textFill>
              </w:rPr>
              <w:t>煤基费托合成液体石蜡</w:t>
            </w:r>
            <w:r>
              <w:rPr>
                <w:rFonts w:hint="eastAsia" w:ascii="Times New Roman" w:hAnsi="Times New Roman" w:eastAsia="宋体"/>
                <w:b/>
                <w:bCs/>
                <w:color w:val="000000" w:themeColor="text1"/>
                <w:sz w:val="24"/>
                <w:highlight w:val="none"/>
                <w:lang w:val="en-US" w:eastAsia="zh-CN"/>
                <w14:textFill>
                  <w14:solidFill>
                    <w14:schemeClr w14:val="tx1"/>
                  </w14:solidFill>
                </w14:textFill>
              </w:rPr>
              <w:t>2号</w:t>
            </w:r>
          </w:p>
          <w:p w14:paraId="2FD65400">
            <w:pPr>
              <w:spacing w:line="377" w:lineRule="auto"/>
              <w:ind w:firstLine="480" w:firstLineChars="200"/>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本项目固化工序使用煤基费托合成液体石蜡2号（以下称“液体石蜡”）作为燃烧能源。煤基费托合成液体石蜡是以煤费托合成工艺生产的中间馏分为原料，经加氢和分馏得到的以正构烷烃为主要组成的液态烃类混合物。2号产品，主要由C</w:t>
            </w:r>
            <w:r>
              <w:rPr>
                <w:rFonts w:hint="eastAsia" w:ascii="Times New Roman" w:hAnsi="Times New Roman" w:eastAsia="宋体"/>
                <w:color w:val="000000" w:themeColor="text1"/>
                <w:sz w:val="24"/>
                <w:highlight w:val="none"/>
                <w:vertAlign w:val="subscript"/>
                <w:lang w:val="en-US" w:eastAsia="zh-CN"/>
                <w14:textFill>
                  <w14:solidFill>
                    <w14:schemeClr w14:val="tx1"/>
                  </w14:solidFill>
                </w14:textFill>
              </w:rPr>
              <w:t>11</w:t>
            </w:r>
            <w:r>
              <w:rPr>
                <w:rFonts w:hint="eastAsia" w:ascii="Times New Roman" w:hAnsi="Times New Roman" w:eastAsia="宋体"/>
                <w:color w:val="000000" w:themeColor="text1"/>
                <w:sz w:val="24"/>
                <w:highlight w:val="none"/>
                <w:lang w:val="en-US" w:eastAsia="zh-CN"/>
                <w14:textFill>
                  <w14:solidFill>
                    <w14:schemeClr w14:val="tx1"/>
                  </w14:solidFill>
                </w14:textFill>
              </w:rPr>
              <w:t>-C</w:t>
            </w:r>
            <w:r>
              <w:rPr>
                <w:rFonts w:hint="eastAsia" w:ascii="Times New Roman" w:hAnsi="Times New Roman" w:eastAsia="宋体"/>
                <w:color w:val="000000" w:themeColor="text1"/>
                <w:sz w:val="24"/>
                <w:highlight w:val="none"/>
                <w:vertAlign w:val="subscript"/>
                <w:lang w:val="en-US" w:eastAsia="zh-CN"/>
                <w14:textFill>
                  <w14:solidFill>
                    <w14:schemeClr w14:val="tx1"/>
                  </w14:solidFill>
                </w14:textFill>
              </w:rPr>
              <w:t>14</w:t>
            </w:r>
            <w:r>
              <w:rPr>
                <w:rFonts w:hint="eastAsia" w:ascii="Times New Roman" w:hAnsi="Times New Roman" w:eastAsia="宋体"/>
                <w:color w:val="000000" w:themeColor="text1"/>
                <w:sz w:val="24"/>
                <w:highlight w:val="none"/>
                <w:lang w:val="en-US" w:eastAsia="zh-CN"/>
                <w14:textFill>
                  <w14:solidFill>
                    <w14:schemeClr w14:val="tx1"/>
                  </w14:solidFill>
                </w14:textFill>
              </w:rPr>
              <w:t>的正构烷烃组成的液态烃类混合物，闪点大于90℃，低位热值39-41MJ/kg。根据建设单位提供原料检测报告（详见附件9），本项目使用的煤基费托合成液体石蜡2号满足GB/T32066-2024。</w:t>
            </w:r>
          </w:p>
          <w:p w14:paraId="0B77DE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object>
                <v:shape id="_x0000_i1025" o:spt="75" type="#_x0000_t75" style="height:191.8pt;width:411.95pt;" o:ole="t" filled="f" o:preferrelative="t" stroked="f" coordsize="21600,21600">
                  <v:path/>
                  <v:fill on="f" focussize="0,0"/>
                  <v:stroke on="f"/>
                  <v:imagedata r:id="rId12" croptop="-1257f" o:title=""/>
                  <o:lock v:ext="edit" aspectratio="t"/>
                  <w10:wrap type="none"/>
                  <w10:anchorlock/>
                </v:shape>
                <o:OLEObject Type="Embed" ProgID="Visio.Drawing.15" ShapeID="_x0000_i1025" DrawAspect="Content" ObjectID="_1468075725" r:id="rId11">
                  <o:LockedField>false</o:LockedField>
                </o:OLEObject>
              </w:object>
            </w:r>
          </w:p>
          <w:p w14:paraId="6E75B1DA">
            <w:pPr>
              <w:spacing w:before="31" w:beforeLines="10" w:after="31" w:afterLines="10" w:line="360" w:lineRule="auto"/>
              <w:jc w:val="center"/>
              <w:rPr>
                <w:rFonts w:hint="default" w:ascii="Times New Roman" w:hAnsi="Times New Roman" w:eastAsia="宋体"/>
                <w:b/>
                <w:bCs/>
                <w:color w:val="000000" w:themeColor="text1"/>
                <w:sz w:val="24"/>
                <w:highlight w:val="none"/>
                <w:lang w:val="en-US" w:eastAsia="zh-CN"/>
                <w14:textFill>
                  <w14:solidFill>
                    <w14:schemeClr w14:val="tx1"/>
                  </w14:solidFill>
                </w14:textFill>
              </w:rPr>
            </w:pPr>
            <w:r>
              <w:rPr>
                <w:rFonts w:hint="eastAsia" w:ascii="Times New Roman" w:hAnsi="Times New Roman" w:eastAsia="宋体"/>
                <w:b/>
                <w:bCs/>
                <w:color w:val="000000" w:themeColor="text1"/>
                <w:sz w:val="24"/>
                <w:highlight w:val="none"/>
                <w:lang w:eastAsia="zh-CN"/>
                <w14:textFill>
                  <w14:solidFill>
                    <w14:schemeClr w14:val="tx1"/>
                  </w14:solidFill>
                </w14:textFill>
              </w:rPr>
              <w:t>图</w:t>
            </w:r>
            <w:r>
              <w:rPr>
                <w:rFonts w:hint="eastAsia" w:ascii="Times New Roman" w:hAnsi="Times New Roman" w:eastAsia="宋体"/>
                <w:b/>
                <w:bCs/>
                <w:color w:val="000000" w:themeColor="text1"/>
                <w:sz w:val="24"/>
                <w:highlight w:val="none"/>
                <w:lang w:val="en-US" w:eastAsia="zh-CN"/>
                <w14:textFill>
                  <w14:solidFill>
                    <w14:schemeClr w14:val="tx1"/>
                  </w14:solidFill>
                </w14:textFill>
              </w:rPr>
              <w:t>2-1  塑粉物料平衡图</w:t>
            </w:r>
          </w:p>
          <w:p w14:paraId="4EA0BF8D">
            <w:pPr>
              <w:spacing w:before="31" w:beforeLines="10" w:after="31" w:afterLines="10"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2.7、劳动定员及工作制度</w:t>
            </w:r>
          </w:p>
          <w:p w14:paraId="07E16CC0">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劳动定员：员工10人，项目厂区不设食宿。</w:t>
            </w:r>
          </w:p>
          <w:p w14:paraId="6E15C422">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工作制度：项目年工作天数为250天，实行一班制生产，每班工作时间8小时，年工作时间2000h。</w:t>
            </w:r>
          </w:p>
          <w:p w14:paraId="54124A01">
            <w:pPr>
              <w:spacing w:before="31" w:beforeLines="10" w:after="31" w:afterLines="10"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2.8、水平衡分析</w:t>
            </w:r>
          </w:p>
          <w:p w14:paraId="5CADF9BA">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项目运营期供水全部依托坤坤农业公司现有供水管网供给，水源为城市自来水。车间地面采用干式清扫，不进行地面冲洗。</w:t>
            </w:r>
          </w:p>
          <w:p w14:paraId="19524DF5">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w:t>
            </w:r>
            <w:r>
              <w:rPr>
                <w:rFonts w:hint="eastAsia" w:ascii="Times New Roman" w:hAnsi="Times New Roman" w:eastAsia="宋体"/>
                <w:color w:val="000000" w:themeColor="text1"/>
                <w:sz w:val="24"/>
                <w:highlight w:val="none"/>
                <w:u w:val="single"/>
                <w14:textFill>
                  <w14:solidFill>
                    <w14:schemeClr w14:val="tx1"/>
                  </w14:solidFill>
                </w14:textFill>
              </w:rPr>
              <w:t>主要用水节点如下</w:t>
            </w:r>
            <w:r>
              <w:rPr>
                <w:rFonts w:hint="eastAsia" w:ascii="Times New Roman" w:hAnsi="Times New Roman" w:eastAsia="宋体"/>
                <w:color w:val="000000" w:themeColor="text1"/>
                <w:sz w:val="24"/>
                <w:highlight w:val="none"/>
                <w14:textFill>
                  <w14:solidFill>
                    <w14:schemeClr w14:val="tx1"/>
                  </w14:solidFill>
                </w14:textFill>
              </w:rPr>
              <w:t>：</w:t>
            </w:r>
          </w:p>
          <w:p w14:paraId="05856D60">
            <w:pPr>
              <w:spacing w:before="31" w:beforeLines="10" w:after="31" w:afterLines="10" w:line="372"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1）</w:t>
            </w:r>
            <w:r>
              <w:rPr>
                <w:rFonts w:hint="eastAsia" w:ascii="Times New Roman" w:hAnsi="Times New Roman" w:eastAsia="宋体"/>
                <w:color w:val="000000" w:themeColor="text1"/>
                <w:sz w:val="24"/>
                <w:highlight w:val="none"/>
                <w14:textFill>
                  <w14:solidFill>
                    <w14:schemeClr w14:val="tx1"/>
                  </w14:solidFill>
                </w14:textFill>
              </w:rPr>
              <w:t>生产用水</w:t>
            </w:r>
          </w:p>
          <w:p w14:paraId="6AC1A648">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项目无生产废水。</w:t>
            </w:r>
          </w:p>
          <w:p w14:paraId="22151105">
            <w:pPr>
              <w:spacing w:before="31" w:beforeLines="10" w:after="31" w:afterLines="10" w:line="372"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w:t>
            </w:r>
            <w:r>
              <w:rPr>
                <w:rFonts w:hint="eastAsia" w:ascii="Times New Roman" w:hAnsi="Times New Roman" w:eastAsia="宋体"/>
                <w:color w:val="000000" w:themeColor="text1"/>
                <w:sz w:val="24"/>
                <w:highlight w:val="none"/>
                <w14:textFill>
                  <w14:solidFill>
                    <w14:schemeClr w14:val="tx1"/>
                  </w14:solidFill>
                </w14:textFill>
              </w:rPr>
              <w:t>生活用水</w:t>
            </w:r>
          </w:p>
          <w:p w14:paraId="1D3A9FC5">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劳动定员10人，项目厂区不提供食宿。参照《建筑给水排水设计规范》（GB50015-2019）的相关要求，人均用水量按50L/d计，根据《室外排水设计标准》（GB50014-2021）的相关规定，排水量按用水量的90%计，即排污系数取0.9。项目运营期生活污水依托坤坤农业已建成的生化池处理达《污水综合排放标准》（GB 8978-1996）三级标准后排入市政污水管网，进入西彭污水处理厂深度处理达标后排放，最终汇入长江。</w:t>
            </w:r>
          </w:p>
          <w:p w14:paraId="6D100FD2">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项目用、排水情况详见表2-9。</w:t>
            </w:r>
          </w:p>
          <w:p w14:paraId="5A146DE0">
            <w:pPr>
              <w:spacing w:line="360" w:lineRule="auto"/>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表2-</w:t>
            </w:r>
            <w:r>
              <w:rPr>
                <w:rFonts w:hint="eastAsia" w:ascii="Times New Roman" w:hAnsi="Times New Roman" w:eastAsia="宋体" w:cs="Times New Roman"/>
                <w:color w:val="000000" w:themeColor="text1"/>
                <w:sz w:val="24"/>
                <w:highlight w:val="none"/>
                <w14:textFill>
                  <w14:solidFill>
                    <w14:schemeClr w14:val="tx1"/>
                  </w14:solidFill>
                </w14:textFill>
              </w:rPr>
              <w:t>9</w:t>
            </w:r>
            <w:r>
              <w:rPr>
                <w:rFonts w:ascii="Times New Roman" w:hAnsi="Times New Roman" w:eastAsia="宋体" w:cs="Times New Roman"/>
                <w:color w:val="000000" w:themeColor="text1"/>
                <w:sz w:val="24"/>
                <w:highlight w:val="none"/>
                <w14:textFill>
                  <w14:solidFill>
                    <w14:schemeClr w14:val="tx1"/>
                  </w14:solidFill>
                </w14:textFill>
              </w:rPr>
              <w:t xml:space="preserve">  项目用、排水情况一览表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33"/>
              <w:gridCol w:w="1239"/>
              <w:gridCol w:w="1191"/>
              <w:gridCol w:w="1126"/>
              <w:gridCol w:w="1126"/>
              <w:gridCol w:w="1134"/>
              <w:gridCol w:w="1194"/>
            </w:tblGrid>
            <w:tr w14:paraId="42356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48" w:type="pct"/>
                  <w:vMerge w:val="restart"/>
                  <w:tcBorders>
                    <w:tl2br w:val="nil"/>
                    <w:tr2bl w:val="nil"/>
                  </w:tcBorders>
                  <w:vAlign w:val="center"/>
                </w:tcPr>
                <w:p w14:paraId="5CC7FEE5">
                  <w:pPr>
                    <w:pStyle w:val="21"/>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用水项目</w:t>
                  </w:r>
                </w:p>
              </w:tc>
              <w:tc>
                <w:tcPr>
                  <w:tcW w:w="733" w:type="pct"/>
                  <w:vMerge w:val="restart"/>
                  <w:tcBorders>
                    <w:tl2br w:val="nil"/>
                    <w:tr2bl w:val="nil"/>
                  </w:tcBorders>
                  <w:vAlign w:val="center"/>
                </w:tcPr>
                <w:p w14:paraId="7F8A6CD5">
                  <w:pPr>
                    <w:pStyle w:val="21"/>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用水标准</w:t>
                  </w:r>
                </w:p>
              </w:tc>
              <w:tc>
                <w:tcPr>
                  <w:tcW w:w="705" w:type="pct"/>
                  <w:vMerge w:val="restart"/>
                  <w:tcBorders>
                    <w:tl2br w:val="nil"/>
                    <w:tr2bl w:val="nil"/>
                  </w:tcBorders>
                  <w:vAlign w:val="center"/>
                </w:tcPr>
                <w:p w14:paraId="7C7E18D1">
                  <w:pPr>
                    <w:pStyle w:val="21"/>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规模</w:t>
                  </w:r>
                </w:p>
              </w:tc>
              <w:tc>
                <w:tcPr>
                  <w:tcW w:w="2005" w:type="pct"/>
                  <w:gridSpan w:val="3"/>
                  <w:tcBorders>
                    <w:tl2br w:val="nil"/>
                    <w:tr2bl w:val="nil"/>
                  </w:tcBorders>
                  <w:vAlign w:val="center"/>
                </w:tcPr>
                <w:p w14:paraId="0C8B0A6E">
                  <w:pPr>
                    <w:pStyle w:val="21"/>
                    <w:autoSpaceDE w:val="0"/>
                    <w:spacing w:before="68" w:beforeLines="22" w:beforeAutospacing="0" w:after="68" w:afterLines="22"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日均用水量m</w:t>
                  </w:r>
                  <w:r>
                    <w:rPr>
                      <w:rFonts w:hint="eastAsia" w:ascii="Times New Roman" w:hAnsi="Times New Roman" w:eastAsia="宋体" w:cs="宋体"/>
                      <w:b/>
                      <w:bCs/>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highlight w:val="none"/>
                      <w14:textFill>
                        <w14:solidFill>
                          <w14:schemeClr w14:val="tx1"/>
                        </w14:solidFill>
                      </w14:textFill>
                    </w:rPr>
                    <w:t>/d</w:t>
                  </w:r>
                </w:p>
              </w:tc>
              <w:tc>
                <w:tcPr>
                  <w:tcW w:w="707" w:type="pct"/>
                  <w:vMerge w:val="restart"/>
                  <w:tcBorders>
                    <w:tl2br w:val="nil"/>
                    <w:tr2bl w:val="nil"/>
                  </w:tcBorders>
                  <w:vAlign w:val="center"/>
                </w:tcPr>
                <w:p w14:paraId="4D1BE538">
                  <w:pPr>
                    <w:pStyle w:val="21"/>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废水量m</w:t>
                  </w:r>
                  <w:r>
                    <w:rPr>
                      <w:rFonts w:hint="eastAsia" w:ascii="Times New Roman" w:hAnsi="Times New Roman" w:eastAsia="宋体" w:cs="宋体"/>
                      <w:b/>
                      <w:bCs/>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宋体"/>
                      <w:b/>
                      <w:bCs/>
                      <w:color w:val="000000" w:themeColor="text1"/>
                      <w:sz w:val="21"/>
                      <w:szCs w:val="21"/>
                      <w:highlight w:val="none"/>
                      <w14:textFill>
                        <w14:solidFill>
                          <w14:schemeClr w14:val="tx1"/>
                        </w14:solidFill>
                      </w14:textFill>
                    </w:rPr>
                    <w:t>/d</w:t>
                  </w:r>
                </w:p>
              </w:tc>
            </w:tr>
            <w:tr w14:paraId="76C00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48" w:type="pct"/>
                  <w:vMerge w:val="continue"/>
                  <w:tcBorders>
                    <w:tl2br w:val="nil"/>
                    <w:tr2bl w:val="nil"/>
                  </w:tcBorders>
                  <w:vAlign w:val="center"/>
                </w:tcPr>
                <w:p w14:paraId="1578E0F3">
                  <w:pPr>
                    <w:widowControl/>
                    <w:spacing w:before="78" w:beforeLines="25" w:after="78" w:afterLines="25" w:line="288" w:lineRule="auto"/>
                    <w:jc w:val="center"/>
                    <w:rPr>
                      <w:rFonts w:ascii="Times New Roman" w:hAnsi="Times New Roman" w:eastAsia="宋体" w:cs="宋体"/>
                      <w:color w:val="000000" w:themeColor="text1"/>
                      <w:szCs w:val="21"/>
                      <w:highlight w:val="none"/>
                      <w14:textFill>
                        <w14:solidFill>
                          <w14:schemeClr w14:val="tx1"/>
                        </w14:solidFill>
                      </w14:textFill>
                    </w:rPr>
                  </w:pPr>
                </w:p>
              </w:tc>
              <w:tc>
                <w:tcPr>
                  <w:tcW w:w="733" w:type="pct"/>
                  <w:vMerge w:val="continue"/>
                  <w:tcBorders>
                    <w:tl2br w:val="nil"/>
                    <w:tr2bl w:val="nil"/>
                  </w:tcBorders>
                  <w:vAlign w:val="center"/>
                </w:tcPr>
                <w:p w14:paraId="595A8851">
                  <w:pPr>
                    <w:widowControl/>
                    <w:spacing w:before="78" w:beforeLines="25" w:after="78" w:afterLines="25" w:line="288" w:lineRule="auto"/>
                    <w:jc w:val="center"/>
                    <w:rPr>
                      <w:rFonts w:ascii="Times New Roman" w:hAnsi="Times New Roman" w:eastAsia="宋体" w:cs="宋体"/>
                      <w:color w:val="000000" w:themeColor="text1"/>
                      <w:szCs w:val="21"/>
                      <w:highlight w:val="none"/>
                      <w14:textFill>
                        <w14:solidFill>
                          <w14:schemeClr w14:val="tx1"/>
                        </w14:solidFill>
                      </w14:textFill>
                    </w:rPr>
                  </w:pPr>
                </w:p>
              </w:tc>
              <w:tc>
                <w:tcPr>
                  <w:tcW w:w="705" w:type="pct"/>
                  <w:vMerge w:val="continue"/>
                  <w:tcBorders>
                    <w:tl2br w:val="nil"/>
                    <w:tr2bl w:val="nil"/>
                  </w:tcBorders>
                  <w:vAlign w:val="center"/>
                </w:tcPr>
                <w:p w14:paraId="012C748E">
                  <w:pPr>
                    <w:pStyle w:val="21"/>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c>
                <w:tcPr>
                  <w:tcW w:w="667" w:type="pct"/>
                  <w:tcBorders>
                    <w:tl2br w:val="nil"/>
                    <w:tr2bl w:val="nil"/>
                  </w:tcBorders>
                  <w:vAlign w:val="center"/>
                </w:tcPr>
                <w:p w14:paraId="218018FF">
                  <w:pPr>
                    <w:pStyle w:val="21"/>
                    <w:autoSpaceDE w:val="0"/>
                    <w:spacing w:before="68" w:beforeLines="22" w:beforeAutospacing="0" w:after="68" w:afterLines="22"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新鲜水</w:t>
                  </w:r>
                </w:p>
              </w:tc>
              <w:tc>
                <w:tcPr>
                  <w:tcW w:w="667" w:type="pct"/>
                  <w:tcBorders>
                    <w:tl2br w:val="nil"/>
                    <w:tr2bl w:val="nil"/>
                  </w:tcBorders>
                  <w:vAlign w:val="center"/>
                </w:tcPr>
                <w:p w14:paraId="4A4BA4F6">
                  <w:pPr>
                    <w:pStyle w:val="21"/>
                    <w:autoSpaceDE w:val="0"/>
                    <w:spacing w:before="68" w:beforeLines="22" w:beforeAutospacing="0" w:after="68" w:afterLines="22"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回用水</w:t>
                  </w:r>
                </w:p>
              </w:tc>
              <w:tc>
                <w:tcPr>
                  <w:tcW w:w="670" w:type="pct"/>
                  <w:tcBorders>
                    <w:tl2br w:val="nil"/>
                    <w:tr2bl w:val="nil"/>
                  </w:tcBorders>
                  <w:vAlign w:val="center"/>
                </w:tcPr>
                <w:p w14:paraId="53044ACB">
                  <w:pPr>
                    <w:pStyle w:val="21"/>
                    <w:autoSpaceDE w:val="0"/>
                    <w:spacing w:before="68" w:beforeLines="22" w:beforeAutospacing="0" w:after="68" w:afterLines="22"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小计</w:t>
                  </w:r>
                </w:p>
              </w:tc>
              <w:tc>
                <w:tcPr>
                  <w:tcW w:w="707" w:type="pct"/>
                  <w:vMerge w:val="continue"/>
                  <w:tcBorders>
                    <w:tl2br w:val="nil"/>
                    <w:tr2bl w:val="nil"/>
                  </w:tcBorders>
                  <w:vAlign w:val="center"/>
                </w:tcPr>
                <w:p w14:paraId="66B63299">
                  <w:pPr>
                    <w:pStyle w:val="21"/>
                    <w:autoSpaceDE w:val="0"/>
                    <w:spacing w:before="78" w:beforeLines="25" w:beforeAutospacing="0" w:after="78" w:afterLines="25" w:afterAutospacing="0" w:line="288"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r>
            <w:tr w14:paraId="5DBC0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48" w:type="pct"/>
                  <w:tcBorders>
                    <w:tl2br w:val="nil"/>
                    <w:tr2bl w:val="nil"/>
                  </w:tcBorders>
                  <w:vAlign w:val="center"/>
                </w:tcPr>
                <w:p w14:paraId="3F6C2D93">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生活污水</w:t>
                  </w:r>
                </w:p>
              </w:tc>
              <w:tc>
                <w:tcPr>
                  <w:tcW w:w="733" w:type="pct"/>
                  <w:tcBorders>
                    <w:tl2br w:val="nil"/>
                    <w:tr2bl w:val="nil"/>
                  </w:tcBorders>
                  <w:vAlign w:val="center"/>
                </w:tcPr>
                <w:p w14:paraId="341D3F56">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50L/</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人·</w:t>
                  </w:r>
                  <w:r>
                    <w:rPr>
                      <w:rFonts w:ascii="Times New Roman" w:hAnsi="Times New Roman" w:eastAsia="宋体" w:cs="Times New Roman"/>
                      <w:color w:val="000000" w:themeColor="text1"/>
                      <w:kern w:val="0"/>
                      <w:szCs w:val="21"/>
                      <w:highlight w:val="none"/>
                      <w:lang w:bidi="ar"/>
                      <w14:textFill>
                        <w14:solidFill>
                          <w14:schemeClr w14:val="tx1"/>
                        </w14:solidFill>
                      </w14:textFill>
                    </w:rPr>
                    <w:t>d</w:t>
                  </w:r>
                </w:p>
              </w:tc>
              <w:tc>
                <w:tcPr>
                  <w:tcW w:w="705" w:type="pct"/>
                  <w:tcBorders>
                    <w:tl2br w:val="nil"/>
                    <w:tr2bl w:val="nil"/>
                  </w:tcBorders>
                  <w:vAlign w:val="center"/>
                </w:tcPr>
                <w:p w14:paraId="6113A566">
                  <w:pPr>
                    <w:widowControl/>
                    <w:spacing w:before="78" w:beforeLines="25" w:after="78" w:afterLines="25" w:line="300" w:lineRule="auto"/>
                    <w:jc w:val="center"/>
                    <w:rPr>
                      <w:rFonts w:ascii="Times New Roman" w:hAnsi="Times New Roman" w:eastAsia="宋体" w:cs="宋体"/>
                      <w:b/>
                      <w:bCs/>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10</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人</w:t>
                  </w:r>
                </w:p>
              </w:tc>
              <w:tc>
                <w:tcPr>
                  <w:tcW w:w="667" w:type="pct"/>
                  <w:tcBorders>
                    <w:tl2br w:val="nil"/>
                    <w:tr2bl w:val="nil"/>
                  </w:tcBorders>
                  <w:vAlign w:val="center"/>
                </w:tcPr>
                <w:p w14:paraId="49BD2E1E">
                  <w:pPr>
                    <w:pStyle w:val="21"/>
                    <w:autoSpaceDE w:val="0"/>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0.5</w:t>
                  </w:r>
                </w:p>
              </w:tc>
              <w:tc>
                <w:tcPr>
                  <w:tcW w:w="667" w:type="pct"/>
                  <w:tcBorders>
                    <w:tl2br w:val="nil"/>
                    <w:tr2bl w:val="nil"/>
                  </w:tcBorders>
                  <w:vAlign w:val="center"/>
                </w:tcPr>
                <w:p w14:paraId="799F1C99">
                  <w:pPr>
                    <w:pStyle w:val="21"/>
                    <w:autoSpaceDE w:val="0"/>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w:t>
                  </w:r>
                </w:p>
              </w:tc>
              <w:tc>
                <w:tcPr>
                  <w:tcW w:w="670" w:type="pct"/>
                  <w:tcBorders>
                    <w:tl2br w:val="nil"/>
                    <w:tr2bl w:val="nil"/>
                  </w:tcBorders>
                  <w:vAlign w:val="center"/>
                </w:tcPr>
                <w:p w14:paraId="68190268">
                  <w:pPr>
                    <w:pStyle w:val="21"/>
                    <w:autoSpaceDE w:val="0"/>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0.5</w:t>
                  </w:r>
                </w:p>
              </w:tc>
              <w:tc>
                <w:tcPr>
                  <w:tcW w:w="707" w:type="pct"/>
                  <w:tcBorders>
                    <w:top w:val="single" w:color="auto" w:sz="4" w:space="0"/>
                  </w:tcBorders>
                  <w:vAlign w:val="center"/>
                </w:tcPr>
                <w:p w14:paraId="227E2E1E">
                  <w:pPr>
                    <w:pStyle w:val="21"/>
                    <w:autoSpaceDE w:val="0"/>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0.45</w:t>
                  </w:r>
                </w:p>
              </w:tc>
            </w:tr>
            <w:tr w14:paraId="3E07F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48" w:type="pct"/>
                  <w:tcBorders>
                    <w:tl2br w:val="nil"/>
                    <w:tr2bl w:val="nil"/>
                  </w:tcBorders>
                  <w:vAlign w:val="center"/>
                </w:tcPr>
                <w:p w14:paraId="10BF6F28">
                  <w:pPr>
                    <w:pStyle w:val="21"/>
                    <w:autoSpaceDE w:val="0"/>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合    计</w:t>
                  </w:r>
                </w:p>
              </w:tc>
              <w:tc>
                <w:tcPr>
                  <w:tcW w:w="733" w:type="pct"/>
                  <w:tcBorders>
                    <w:tl2br w:val="nil"/>
                    <w:tr2bl w:val="nil"/>
                  </w:tcBorders>
                  <w:vAlign w:val="center"/>
                </w:tcPr>
                <w:p w14:paraId="1B180FE0">
                  <w:pPr>
                    <w:pStyle w:val="21"/>
                    <w:autoSpaceDE w:val="0"/>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w:t>
                  </w:r>
                </w:p>
              </w:tc>
              <w:tc>
                <w:tcPr>
                  <w:tcW w:w="705" w:type="pct"/>
                  <w:tcBorders>
                    <w:tl2br w:val="nil"/>
                    <w:tr2bl w:val="nil"/>
                  </w:tcBorders>
                  <w:vAlign w:val="center"/>
                </w:tcPr>
                <w:p w14:paraId="0525BCA6">
                  <w:pPr>
                    <w:pStyle w:val="21"/>
                    <w:autoSpaceDE w:val="0"/>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w:t>
                  </w:r>
                </w:p>
              </w:tc>
              <w:tc>
                <w:tcPr>
                  <w:tcW w:w="667" w:type="pct"/>
                  <w:tcBorders>
                    <w:tl2br w:val="nil"/>
                    <w:tr2bl w:val="nil"/>
                  </w:tcBorders>
                  <w:vAlign w:val="center"/>
                </w:tcPr>
                <w:p w14:paraId="13C2EF98">
                  <w:pPr>
                    <w:pStyle w:val="21"/>
                    <w:autoSpaceDE w:val="0"/>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0.5</w:t>
                  </w:r>
                </w:p>
              </w:tc>
              <w:tc>
                <w:tcPr>
                  <w:tcW w:w="667" w:type="pct"/>
                  <w:tcBorders>
                    <w:tl2br w:val="nil"/>
                    <w:tr2bl w:val="nil"/>
                  </w:tcBorders>
                  <w:vAlign w:val="center"/>
                </w:tcPr>
                <w:p w14:paraId="386E520B">
                  <w:pPr>
                    <w:pStyle w:val="21"/>
                    <w:autoSpaceDE w:val="0"/>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0</w:t>
                  </w:r>
                </w:p>
              </w:tc>
              <w:tc>
                <w:tcPr>
                  <w:tcW w:w="670" w:type="pct"/>
                  <w:tcBorders>
                    <w:tl2br w:val="nil"/>
                    <w:tr2bl w:val="nil"/>
                  </w:tcBorders>
                  <w:vAlign w:val="center"/>
                </w:tcPr>
                <w:p w14:paraId="7B4E2FD5">
                  <w:pPr>
                    <w:pStyle w:val="21"/>
                    <w:autoSpaceDE w:val="0"/>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0.5</w:t>
                  </w:r>
                </w:p>
              </w:tc>
              <w:tc>
                <w:tcPr>
                  <w:tcW w:w="707" w:type="pct"/>
                  <w:tcBorders>
                    <w:tl2br w:val="nil"/>
                    <w:tr2bl w:val="nil"/>
                  </w:tcBorders>
                  <w:vAlign w:val="center"/>
                </w:tcPr>
                <w:p w14:paraId="018DF54B">
                  <w:pPr>
                    <w:pStyle w:val="21"/>
                    <w:autoSpaceDE w:val="0"/>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0.45</w:t>
                  </w:r>
                </w:p>
              </w:tc>
            </w:tr>
          </w:tbl>
          <w:p w14:paraId="5358064A">
            <w:pPr>
              <w:spacing w:before="31" w:beforeLines="10"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项目水平衡图如图2-</w:t>
            </w:r>
            <w:r>
              <w:rPr>
                <w:rFonts w:hint="eastAsia" w:ascii="Times New Roman" w:hAnsi="Times New Roman" w:eastAsia="宋体"/>
                <w:color w:val="000000" w:themeColor="text1"/>
                <w:sz w:val="24"/>
                <w:highlight w:val="none"/>
                <w:lang w:val="en-US" w:eastAsia="zh-CN"/>
                <w14:textFill>
                  <w14:solidFill>
                    <w14:schemeClr w14:val="tx1"/>
                  </w14:solidFill>
                </w14:textFill>
              </w:rPr>
              <w:t>2</w:t>
            </w:r>
            <w:r>
              <w:rPr>
                <w:rFonts w:hint="eastAsia" w:ascii="Times New Roman" w:hAnsi="Times New Roman" w:eastAsia="宋体"/>
                <w:color w:val="000000" w:themeColor="text1"/>
                <w:sz w:val="24"/>
                <w:highlight w:val="none"/>
                <w14:textFill>
                  <w14:solidFill>
                    <w14:schemeClr w14:val="tx1"/>
                  </w14:solidFill>
                </w14:textFill>
              </w:rPr>
              <w:t>所示。</w:t>
            </w:r>
          </w:p>
          <w:p w14:paraId="72F638B8">
            <w:pPr>
              <w:pStyle w:val="21"/>
              <w:spacing w:before="0" w:beforeAutospacing="0" w:after="0" w:afterAutospacing="0" w:line="360" w:lineRule="auto"/>
              <w:jc w:val="center"/>
              <w:rPr>
                <w:rFonts w:ascii="Times New Roman" w:hAnsi="Times New Roman" w:cs="宋体"/>
                <w:color w:val="000000" w:themeColor="text1"/>
                <w:szCs w:val="24"/>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object>
                <v:shape id="_x0000_i1026" o:spt="75" type="#_x0000_t75" style="height:95.4pt;width:371.4pt;" o:ole="t" filled="f" o:preferrelative="t" stroked="f" coordsize="21600,21600">
                  <v:path/>
                  <v:fill on="f" focussize="0,0"/>
                  <v:stroke on="f" joinstyle="miter"/>
                  <v:imagedata r:id="rId14" cropbottom="21620f" o:title=""/>
                  <o:lock v:ext="edit" aspectratio="t"/>
                  <w10:wrap type="none"/>
                  <w10:anchorlock/>
                </v:shape>
                <o:OLEObject Type="Embed" ProgID="Visio.Drawing.11" ShapeID="_x0000_i1026" DrawAspect="Content" ObjectID="_1468075726" r:id="rId13">
                  <o:LockedField>false</o:LockedField>
                </o:OLEObject>
              </w:object>
            </w:r>
          </w:p>
          <w:p w14:paraId="6AEAE400">
            <w:pPr>
              <w:spacing w:line="360" w:lineRule="auto"/>
              <w:jc w:val="center"/>
              <w:rPr>
                <w:rFonts w:ascii="Times New Roman" w:hAnsi="Times New Roman" w:eastAsia="黑体"/>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图2-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ascii="Times New Roman" w:hAnsi="Times New Roman" w:eastAsia="宋体" w:cs="Times New Roman"/>
                <w:color w:val="000000" w:themeColor="text1"/>
                <w:sz w:val="24"/>
                <w:highlight w:val="none"/>
                <w14:textFill>
                  <w14:solidFill>
                    <w14:schemeClr w14:val="tx1"/>
                  </w14:solidFill>
                </w14:textFill>
              </w:rPr>
              <w:t xml:space="preserve">  项目水平衡图</w:t>
            </w:r>
            <w:r>
              <w:rPr>
                <w:rFonts w:hint="eastAsia" w:ascii="Times New Roman" w:hAnsi="Times New Roman" w:eastAsia="黑体"/>
                <w:color w:val="000000" w:themeColor="text1"/>
                <w:sz w:val="24"/>
                <w:highlight w:val="none"/>
                <w14:textFill>
                  <w14:solidFill>
                    <w14:schemeClr w14:val="tx1"/>
                  </w14:solidFill>
                </w14:textFill>
              </w:rPr>
              <w:t>（m</w:t>
            </w:r>
            <w:r>
              <w:rPr>
                <w:rFonts w:hint="eastAsia" w:ascii="Times New Roman" w:hAnsi="Times New Roman" w:eastAsia="黑体"/>
                <w:color w:val="000000" w:themeColor="text1"/>
                <w:sz w:val="24"/>
                <w:highlight w:val="none"/>
                <w:vertAlign w:val="superscript"/>
                <w14:textFill>
                  <w14:solidFill>
                    <w14:schemeClr w14:val="tx1"/>
                  </w14:solidFill>
                </w14:textFill>
              </w:rPr>
              <w:t>3</w:t>
            </w:r>
            <w:r>
              <w:rPr>
                <w:rFonts w:hint="eastAsia" w:ascii="Times New Roman" w:hAnsi="Times New Roman" w:eastAsia="黑体"/>
                <w:color w:val="000000" w:themeColor="text1"/>
                <w:sz w:val="24"/>
                <w:highlight w:val="none"/>
                <w14:textFill>
                  <w14:solidFill>
                    <w14:schemeClr w14:val="tx1"/>
                  </w14:solidFill>
                </w14:textFill>
              </w:rPr>
              <w:t>/d）</w:t>
            </w:r>
          </w:p>
          <w:p w14:paraId="76419699">
            <w:pPr>
              <w:spacing w:before="31" w:beforeLines="10" w:after="31" w:afterLines="10" w:line="360" w:lineRule="auto"/>
              <w:rPr>
                <w:rFonts w:hint="eastAsia" w:ascii="Times New Roman" w:hAnsi="Times New Roman" w:eastAsia="宋体"/>
                <w:b/>
                <w:bCs/>
                <w:color w:val="000000" w:themeColor="text1"/>
                <w:sz w:val="24"/>
                <w:highlight w:val="none"/>
                <w14:textFill>
                  <w14:solidFill>
                    <w14:schemeClr w14:val="tx1"/>
                  </w14:solidFill>
                </w14:textFill>
              </w:rPr>
            </w:pPr>
          </w:p>
          <w:p w14:paraId="5039C943">
            <w:pPr>
              <w:spacing w:before="31" w:beforeLines="10" w:after="31" w:afterLines="10"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2.9、厂区平面布置</w:t>
            </w:r>
          </w:p>
          <w:p w14:paraId="53EAF385">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建设单位租赁的厂房为坤坤农业生产厂房。厂房1F北侧用于布置抛丸设备，南侧布设原料库房；厂房2F南侧主要布置1条喷粉线，厂房北侧布置成品库房。项目平面布置详见</w:t>
            </w:r>
            <w:r>
              <w:rPr>
                <w:rFonts w:hint="eastAsia" w:ascii="Times New Roman" w:hAnsi="Times New Roman" w:eastAsia="宋体"/>
                <w:color w:val="000000" w:themeColor="text1"/>
                <w:sz w:val="24"/>
                <w:highlight w:val="none"/>
                <w:u w:val="single"/>
                <w14:textFill>
                  <w14:solidFill>
                    <w14:schemeClr w14:val="tx1"/>
                  </w14:solidFill>
                </w14:textFill>
              </w:rPr>
              <w:t>附图3</w:t>
            </w:r>
            <w:r>
              <w:rPr>
                <w:rFonts w:hint="eastAsia" w:ascii="Times New Roman" w:hAnsi="Times New Roman" w:eastAsia="宋体"/>
                <w:color w:val="000000" w:themeColor="text1"/>
                <w:sz w:val="24"/>
                <w:highlight w:val="none"/>
                <w14:textFill>
                  <w14:solidFill>
                    <w14:schemeClr w14:val="tx1"/>
                  </w14:solidFill>
                </w14:textFill>
              </w:rPr>
              <w:t>。</w:t>
            </w:r>
          </w:p>
          <w:p w14:paraId="778D0988">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项目整个布置可做到物流、人流和信息流的流向清晰、明确，互不交叉和干扰；生产线的布置符合生产程序的物流走向。平面布局总体上功能组织合理、用地配置得当、结构清晰、道路顺畅，符合环保要求。</w:t>
            </w:r>
          </w:p>
        </w:tc>
      </w:tr>
      <w:tr w14:paraId="57ED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64" w:hRule="atLeast"/>
        </w:trPr>
        <w:tc>
          <w:tcPr>
            <w:tcW w:w="357" w:type="pct"/>
            <w:vAlign w:val="center"/>
          </w:tcPr>
          <w:p w14:paraId="1FFCF58F">
            <w:pPr>
              <w:spacing w:line="360" w:lineRule="auto"/>
              <w:jc w:val="center"/>
              <w:rPr>
                <w:rFonts w:ascii="Times New Roman" w:hAnsi="Times New Roman"/>
                <w:b/>
                <w:bCs/>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工艺流程和产排污环节</w:t>
            </w:r>
          </w:p>
        </w:tc>
        <w:tc>
          <w:tcPr>
            <w:tcW w:w="4642" w:type="pct"/>
            <w:vAlign w:val="center"/>
          </w:tcPr>
          <w:p w14:paraId="4665281F">
            <w:pPr>
              <w:spacing w:before="31" w:beforeLines="10" w:after="31" w:afterLines="10"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2.10、施工期工艺流程和产排污环节</w:t>
            </w:r>
          </w:p>
          <w:p w14:paraId="31C0F771">
            <w:pPr>
              <w:pStyle w:val="43"/>
              <w:spacing w:line="360" w:lineRule="auto"/>
              <w:rPr>
                <w:rFonts w:ascii="Times New Roman" w:hAnsi="Times New Roman" w:eastAsia="宋体" w:cstheme="minorBidi"/>
                <w:color w:val="000000" w:themeColor="text1"/>
                <w:kern w:val="2"/>
                <w:sz w:val="24"/>
                <w:highlight w:val="none"/>
                <w14:textFill>
                  <w14:solidFill>
                    <w14:schemeClr w14:val="tx1"/>
                  </w14:solidFill>
                </w14:textFill>
              </w:rPr>
            </w:pPr>
            <w:r>
              <w:rPr>
                <w:rFonts w:hint="eastAsia" w:ascii="Times New Roman" w:hAnsi="Times New Roman" w:eastAsia="宋体" w:cstheme="minorBidi"/>
                <w:color w:val="000000" w:themeColor="text1"/>
                <w:kern w:val="2"/>
                <w:sz w:val="24"/>
                <w:highlight w:val="none"/>
                <w14:textFill>
                  <w14:solidFill>
                    <w14:schemeClr w14:val="tx1"/>
                  </w14:solidFill>
                </w14:textFill>
              </w:rPr>
              <w:t>项目租用已建成厂房，施工期主要是利用现有厂房进行新增设备安装，工期较短，土建施工较少，施工活动对周边环境影响较小。</w:t>
            </w:r>
          </w:p>
          <w:p w14:paraId="52E17D25">
            <w:pPr>
              <w:spacing w:before="31" w:beforeLines="10" w:after="31" w:afterLines="10"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施工期废气主要是运输车辆产生的尾气，施工期废水主要为施工人员的生活污水，施工期噪声主要来源于施工现场各类机械设备和物料运输的交通噪声，施工期固体废物主要为改造过程中产生的建筑垃圾以及设备安装过程中产生的固体废物和施工人员的生活垃圾。</w:t>
            </w:r>
          </w:p>
          <w:p w14:paraId="2F8ADF24">
            <w:pPr>
              <w:spacing w:before="31" w:beforeLines="10" w:after="31" w:afterLines="10" w:line="372"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2.11、运营期工艺流程和产排污环节</w:t>
            </w:r>
          </w:p>
          <w:p w14:paraId="7D9F34BA">
            <w:pPr>
              <w:spacing w:line="372" w:lineRule="auto"/>
              <w:ind w:firstLine="480" w:firstLineChars="200"/>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项目主要对外购的摩托车钢圈进行抛丸、喷粉、固化加工，</w:t>
            </w:r>
            <w:r>
              <w:rPr>
                <w:rFonts w:hint="eastAsia" w:ascii="Times New Roman" w:hAnsi="Times New Roman" w:eastAsia="宋体"/>
                <w:color w:val="000000" w:themeColor="text1"/>
                <w:sz w:val="24"/>
                <w:highlight w:val="none"/>
                <w:u w:val="single"/>
                <w14:textFill>
                  <w14:solidFill>
                    <w14:schemeClr w14:val="tx1"/>
                  </w14:solidFill>
                </w14:textFill>
              </w:rPr>
              <w:t>工艺流程及产污环节具体如下图</w:t>
            </w:r>
            <w:r>
              <w:rPr>
                <w:rFonts w:hint="eastAsia" w:ascii="Times New Roman" w:hAnsi="Times New Roman" w:eastAsia="宋体"/>
                <w:color w:val="000000" w:themeColor="text1"/>
                <w:sz w:val="24"/>
                <w:highlight w:val="none"/>
                <w14:textFill>
                  <w14:solidFill>
                    <w14:schemeClr w14:val="tx1"/>
                  </w14:solidFill>
                </w14:textFill>
              </w:rPr>
              <w:t>：</w:t>
            </w:r>
          </w:p>
          <w:p w14:paraId="5FB6BCCD">
            <w:pPr>
              <w:pStyle w:val="3"/>
              <w:ind w:firstLine="422"/>
              <w:rPr>
                <w:color w:val="000000" w:themeColor="text1"/>
                <w:highlight w:val="none"/>
                <w14:textFill>
                  <w14:solidFill>
                    <w14:schemeClr w14:val="tx1"/>
                  </w14:solidFill>
                </w14:textFill>
              </w:rPr>
            </w:pPr>
          </w:p>
          <w:p w14:paraId="007600C8">
            <w:pPr>
              <w:pStyle w:val="43"/>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object>
                <v:shape id="_x0000_i1027" o:spt="75" type="#_x0000_t75" style="height:217.9pt;width:416.3pt;" o:ole="t" filled="f" o:preferrelative="t" stroked="f" coordsize="21600,21600">
                  <v:path/>
                  <v:fill on="f" focussize="0,0"/>
                  <v:stroke on="f"/>
                  <v:imagedata r:id="rId16" cropleft="10894f" croptop="5736f" cropright="9913f" cropbottom="43093f" o:title=""/>
                  <o:lock v:ext="edit" aspectratio="t"/>
                  <w10:wrap type="none"/>
                  <w10:anchorlock/>
                </v:shape>
                <o:OLEObject Type="Embed" ProgID="Visio.Drawing.15" ShapeID="_x0000_i1027" DrawAspect="Content" ObjectID="_1468075727" r:id="rId15">
                  <o:LockedField>false</o:LockedField>
                </o:OLEObject>
              </w:object>
            </w:r>
          </w:p>
          <w:p w14:paraId="4A08B93F">
            <w:pPr>
              <w:pStyle w:val="45"/>
              <w:spacing w:after="156"/>
              <w:rPr>
                <w:rFonts w:ascii="Times New Roman" w:hAnsi="Times New Roman" w:eastAsia="宋体" w:cs="Times New Roman"/>
                <w:b/>
                <w:bCs/>
                <w:color w:val="000000" w:themeColor="text1"/>
                <w:sz w:val="24"/>
                <w:highlight w:val="none"/>
                <w:u w:val="double"/>
                <w14:textFill>
                  <w14:solidFill>
                    <w14:schemeClr w14:val="tx1"/>
                  </w14:solidFill>
                </w14:textFill>
              </w:rPr>
            </w:pPr>
            <w:bookmarkStart w:id="7" w:name="_Ref19693"/>
            <w:r>
              <w:rPr>
                <w:rFonts w:ascii="Times New Roman" w:hAnsi="Times New Roman" w:eastAsia="宋体" w:cs="Times New Roman"/>
                <w:color w:val="000000" w:themeColor="text1"/>
                <w:sz w:val="24"/>
                <w:highlight w:val="none"/>
                <w14:textFill>
                  <w14:solidFill>
                    <w14:schemeClr w14:val="tx1"/>
                  </w14:solidFill>
                </w14:textFill>
              </w:rPr>
              <w:t>图2-</w:t>
            </w:r>
            <w:bookmarkEnd w:id="7"/>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ascii="Times New Roman" w:hAnsi="Times New Roman" w:eastAsia="宋体" w:cs="Times New Roman"/>
                <w:color w:val="000000" w:themeColor="text1"/>
                <w:sz w:val="24"/>
                <w:highlight w:val="none"/>
                <w14:textFill>
                  <w14:solidFill>
                    <w14:schemeClr w14:val="tx1"/>
                  </w14:solidFill>
                </w14:textFill>
              </w:rPr>
              <w:t xml:space="preserve"> 项目生产工艺流程及产污环节示意图</w:t>
            </w:r>
          </w:p>
          <w:p w14:paraId="4BB76F64">
            <w:pPr>
              <w:pStyle w:val="43"/>
              <w:spacing w:line="360" w:lineRule="auto"/>
              <w:ind w:firstLine="482"/>
              <w:rPr>
                <w:rFonts w:ascii="Times New Roman" w:hAnsi="Times New Roman" w:cs="Times New Roman"/>
                <w:b/>
                <w:bCs/>
                <w:color w:val="000000" w:themeColor="text1"/>
                <w:sz w:val="24"/>
                <w:highlight w:val="none"/>
                <w:u w:val="double"/>
                <w14:textFill>
                  <w14:solidFill>
                    <w14:schemeClr w14:val="tx1"/>
                  </w14:solidFill>
                </w14:textFill>
              </w:rPr>
            </w:pPr>
            <w:r>
              <w:rPr>
                <w:rFonts w:ascii="Times New Roman" w:hAnsi="Times New Roman" w:cs="Times New Roman"/>
                <w:b/>
                <w:bCs/>
                <w:color w:val="000000" w:themeColor="text1"/>
                <w:sz w:val="24"/>
                <w:highlight w:val="none"/>
                <w:u w:val="double"/>
                <w14:textFill>
                  <w14:solidFill>
                    <w14:schemeClr w14:val="tx1"/>
                  </w14:solidFill>
                </w14:textFill>
              </w:rPr>
              <w:t>生产工艺简述：</w:t>
            </w:r>
          </w:p>
          <w:p w14:paraId="57393BE6">
            <w:pPr>
              <w:pStyle w:val="43"/>
              <w:spacing w:line="360" w:lineRule="auto"/>
              <w:ind w:firstLine="482"/>
              <w:rPr>
                <w:rStyle w:val="46"/>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抛丸：</w:t>
            </w:r>
            <w:r>
              <w:rPr>
                <w:rStyle w:val="46"/>
                <w:rFonts w:ascii="Times New Roman" w:hAnsi="Times New Roman" w:cs="Times New Roman"/>
                <w:color w:val="000000" w:themeColor="text1"/>
                <w:sz w:val="24"/>
                <w:highlight w:val="none"/>
                <w14:textFill>
                  <w14:solidFill>
                    <w14:schemeClr w14:val="tx1"/>
                  </w14:solidFill>
                </w14:textFill>
              </w:rPr>
              <w:t>使用抛丸机对工件进行处理，</w:t>
            </w:r>
            <w:r>
              <w:rPr>
                <w:rStyle w:val="46"/>
                <w:rFonts w:hint="eastAsia" w:ascii="Times New Roman" w:hAnsi="Times New Roman" w:cs="Times New Roman"/>
                <w:color w:val="000000" w:themeColor="text1"/>
                <w:sz w:val="24"/>
                <w:highlight w:val="none"/>
                <w:lang w:eastAsia="zh-CN"/>
                <w14:textFill>
                  <w14:solidFill>
                    <w14:schemeClr w14:val="tx1"/>
                  </w14:solidFill>
                </w14:textFill>
              </w:rPr>
              <w:t>采用挂抛工艺，</w:t>
            </w:r>
            <w:r>
              <w:rPr>
                <w:rStyle w:val="46"/>
                <w:rFonts w:ascii="Times New Roman" w:hAnsi="Times New Roman" w:cs="Times New Roman"/>
                <w:color w:val="000000" w:themeColor="text1"/>
                <w:sz w:val="24"/>
                <w:highlight w:val="none"/>
                <w14:textFill>
                  <w14:solidFill>
                    <w14:schemeClr w14:val="tx1"/>
                  </w14:solidFill>
                </w14:textFill>
              </w:rPr>
              <w:t>利</w:t>
            </w:r>
            <w:r>
              <w:rPr>
                <w:rStyle w:val="46"/>
                <w:rFonts w:ascii="Times New Roman" w:hAnsi="Times New Roman" w:cs="Times New Roman"/>
                <w:color w:val="000000" w:themeColor="text1"/>
                <w:sz w:val="24"/>
                <w:highlight w:val="none"/>
                <w14:textFill>
                  <w14:solidFill>
                    <w14:schemeClr w14:val="tx1"/>
                  </w14:solidFill>
                </w14:textFill>
              </w:rPr>
              <w:t>用高速旋转叶轮将弹丸加速抛打至工件表面，对工件表面进行冲击，以打磨工件表面，祛除工件表面杂质、提高工件表面光滑度。设置</w:t>
            </w:r>
            <w:r>
              <w:rPr>
                <w:rStyle w:val="46"/>
                <w:rFonts w:hint="eastAsia" w:ascii="Times New Roman" w:hAnsi="Times New Roman" w:cs="Times New Roman"/>
                <w:color w:val="000000" w:themeColor="text1"/>
                <w:sz w:val="24"/>
                <w:highlight w:val="none"/>
                <w14:textFill>
                  <w14:solidFill>
                    <w14:schemeClr w14:val="tx1"/>
                  </w14:solidFill>
                </w14:textFill>
              </w:rPr>
              <w:t>1</w:t>
            </w:r>
            <w:r>
              <w:rPr>
                <w:rStyle w:val="46"/>
                <w:rFonts w:ascii="Times New Roman" w:hAnsi="Times New Roman" w:cs="Times New Roman"/>
                <w:color w:val="000000" w:themeColor="text1"/>
                <w:sz w:val="24"/>
                <w:highlight w:val="none"/>
                <w14:textFill>
                  <w14:solidFill>
                    <w14:schemeClr w14:val="tx1"/>
                  </w14:solidFill>
                </w14:textFill>
              </w:rPr>
              <w:t>台抛丸机，平均每批次可加工</w:t>
            </w:r>
            <w:r>
              <w:rPr>
                <w:rStyle w:val="46"/>
                <w:rFonts w:hint="eastAsia" w:ascii="Times New Roman" w:hAnsi="Times New Roman" w:cs="Times New Roman"/>
                <w:color w:val="000000" w:themeColor="text1"/>
                <w:sz w:val="24"/>
                <w:highlight w:val="none"/>
                <w14:textFill>
                  <w14:solidFill>
                    <w14:schemeClr w14:val="tx1"/>
                  </w14:solidFill>
                </w14:textFill>
              </w:rPr>
              <w:t>40</w:t>
            </w:r>
            <w:r>
              <w:rPr>
                <w:rStyle w:val="46"/>
                <w:rFonts w:ascii="Times New Roman" w:hAnsi="Times New Roman" w:cs="Times New Roman"/>
                <w:color w:val="000000" w:themeColor="text1"/>
                <w:sz w:val="24"/>
                <w:highlight w:val="none"/>
                <w14:textFill>
                  <w14:solidFill>
                    <w14:schemeClr w14:val="tx1"/>
                  </w14:solidFill>
                </w14:textFill>
              </w:rPr>
              <w:t>件，</w:t>
            </w:r>
            <w:r>
              <w:rPr>
                <w:rStyle w:val="46"/>
                <w:rFonts w:hint="eastAsia" w:ascii="Times New Roman" w:hAnsi="Times New Roman" w:cs="Times New Roman"/>
                <w:color w:val="000000" w:themeColor="text1"/>
                <w:sz w:val="24"/>
                <w:highlight w:val="none"/>
                <w14:textFill>
                  <w14:solidFill>
                    <w14:schemeClr w14:val="tx1"/>
                  </w14:solidFill>
                </w14:textFill>
              </w:rPr>
              <w:t>每批</w:t>
            </w:r>
            <w:r>
              <w:rPr>
                <w:rStyle w:val="46"/>
                <w:rFonts w:ascii="Times New Roman" w:hAnsi="Times New Roman" w:cs="Times New Roman"/>
                <w:color w:val="000000" w:themeColor="text1"/>
                <w:sz w:val="24"/>
                <w:highlight w:val="none"/>
                <w14:textFill>
                  <w14:solidFill>
                    <w14:schemeClr w14:val="tx1"/>
                  </w14:solidFill>
                </w14:textFill>
              </w:rPr>
              <w:t>所需时长约</w:t>
            </w:r>
            <w:r>
              <w:rPr>
                <w:rStyle w:val="46"/>
                <w:rFonts w:hint="eastAsia" w:ascii="Times New Roman" w:hAnsi="Times New Roman" w:cs="Times New Roman"/>
                <w:color w:val="000000" w:themeColor="text1"/>
                <w:sz w:val="24"/>
                <w:highlight w:val="none"/>
                <w:lang w:val="en-US" w:eastAsia="zh-CN"/>
                <w14:textFill>
                  <w14:solidFill>
                    <w14:schemeClr w14:val="tx1"/>
                  </w14:solidFill>
                </w14:textFill>
              </w:rPr>
              <w:t>20</w:t>
            </w:r>
            <w:r>
              <w:rPr>
                <w:rStyle w:val="46"/>
                <w:rFonts w:ascii="Times New Roman" w:hAnsi="Times New Roman" w:cs="Times New Roman"/>
                <w:color w:val="000000" w:themeColor="text1"/>
                <w:sz w:val="24"/>
                <w:highlight w:val="none"/>
                <w14:textFill>
                  <w14:solidFill>
                    <w14:schemeClr w14:val="tx1"/>
                  </w14:solidFill>
                </w14:textFill>
              </w:rPr>
              <w:t>min</w:t>
            </w:r>
            <w:r>
              <w:rPr>
                <w:rStyle w:val="46"/>
                <w:rFonts w:hint="eastAsia" w:ascii="Times New Roman" w:hAnsi="Times New Roman" w:cs="Times New Roman"/>
                <w:color w:val="000000" w:themeColor="text1"/>
                <w:sz w:val="24"/>
                <w:highlight w:val="none"/>
                <w14:textFill>
                  <w14:solidFill>
                    <w14:schemeClr w14:val="tx1"/>
                  </w14:solidFill>
                </w14:textFill>
              </w:rPr>
              <w:t>，共计生产5000批/a，按最大负荷核算，年生产时间约</w:t>
            </w:r>
            <w:r>
              <w:rPr>
                <w:rStyle w:val="46"/>
                <w:rFonts w:hint="eastAsia" w:ascii="Times New Roman" w:hAnsi="Times New Roman" w:cs="Times New Roman"/>
                <w:color w:val="000000" w:themeColor="text1"/>
                <w:sz w:val="24"/>
                <w:highlight w:val="none"/>
                <w:lang w:val="en-US" w:eastAsia="zh-CN"/>
                <w14:textFill>
                  <w14:solidFill>
                    <w14:schemeClr w14:val="tx1"/>
                  </w14:solidFill>
                </w14:textFill>
              </w:rPr>
              <w:t>1667</w:t>
            </w:r>
            <w:r>
              <w:rPr>
                <w:rStyle w:val="46"/>
                <w:rFonts w:hint="eastAsia" w:ascii="Times New Roman" w:hAnsi="Times New Roman" w:cs="Times New Roman"/>
                <w:color w:val="000000" w:themeColor="text1"/>
                <w:sz w:val="24"/>
                <w:highlight w:val="none"/>
                <w14:textFill>
                  <w14:solidFill>
                    <w14:schemeClr w14:val="tx1"/>
                  </w14:solidFill>
                </w14:textFill>
              </w:rPr>
              <w:t>h</w:t>
            </w:r>
            <w:r>
              <w:rPr>
                <w:rStyle w:val="46"/>
                <w:rFonts w:ascii="Times New Roman" w:hAnsi="Times New Roman" w:cs="Times New Roman"/>
                <w:color w:val="000000" w:themeColor="text1"/>
                <w:sz w:val="24"/>
                <w:highlight w:val="none"/>
                <w14:textFill>
                  <w14:solidFill>
                    <w14:schemeClr w14:val="tx1"/>
                  </w14:solidFill>
                </w14:textFill>
              </w:rPr>
              <w:t>。此工序产生抛丸废气G</w:t>
            </w:r>
            <w:r>
              <w:rPr>
                <w:rStyle w:val="46"/>
                <w:rFonts w:hint="eastAsia" w:ascii="Times New Roman" w:hAnsi="Times New Roman" w:cs="Times New Roman"/>
                <w:color w:val="000000" w:themeColor="text1"/>
                <w:sz w:val="24"/>
                <w:highlight w:val="none"/>
                <w14:textFill>
                  <w14:solidFill>
                    <w14:schemeClr w14:val="tx1"/>
                  </w14:solidFill>
                </w14:textFill>
              </w:rPr>
              <w:t>1</w:t>
            </w:r>
            <w:r>
              <w:rPr>
                <w:rStyle w:val="46"/>
                <w:rFonts w:ascii="Times New Roman" w:hAnsi="Times New Roman" w:cs="Times New Roman"/>
                <w:color w:val="000000" w:themeColor="text1"/>
                <w:sz w:val="24"/>
                <w:highlight w:val="none"/>
                <w14:textFill>
                  <w14:solidFill>
                    <w14:schemeClr w14:val="tx1"/>
                  </w14:solidFill>
                </w14:textFill>
              </w:rPr>
              <w:t>，废钢丸S</w:t>
            </w:r>
            <w:r>
              <w:rPr>
                <w:rStyle w:val="46"/>
                <w:rFonts w:hint="eastAsia" w:ascii="Times New Roman" w:hAnsi="Times New Roman" w:cs="Times New Roman"/>
                <w:color w:val="000000" w:themeColor="text1"/>
                <w:sz w:val="24"/>
                <w:highlight w:val="none"/>
                <w14:textFill>
                  <w14:solidFill>
                    <w14:schemeClr w14:val="tx1"/>
                  </w14:solidFill>
                </w14:textFill>
              </w:rPr>
              <w:t>1</w:t>
            </w:r>
            <w:r>
              <w:rPr>
                <w:rStyle w:val="46"/>
                <w:rFonts w:ascii="Times New Roman" w:hAnsi="Times New Roman" w:cs="Times New Roman"/>
                <w:color w:val="000000" w:themeColor="text1"/>
                <w:sz w:val="24"/>
                <w:highlight w:val="none"/>
                <w14:textFill>
                  <w14:solidFill>
                    <w14:schemeClr w14:val="tx1"/>
                  </w14:solidFill>
                </w14:textFill>
              </w:rPr>
              <w:t>以及设备噪声N。</w:t>
            </w:r>
          </w:p>
          <w:p w14:paraId="49BBC7F6">
            <w:pPr>
              <w:pStyle w:val="43"/>
              <w:spacing w:line="360" w:lineRule="auto"/>
              <w:ind w:firstLine="482"/>
              <w:rPr>
                <w:rStyle w:val="46"/>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上挂</w:t>
            </w:r>
            <w:r>
              <w:rPr>
                <w:rFonts w:hint="eastAsia" w:ascii="Times New Roman" w:hAnsi="Times New Roman" w:cs="Times New Roman"/>
                <w:b/>
                <w:bCs/>
                <w:color w:val="000000" w:themeColor="text1"/>
                <w:sz w:val="24"/>
                <w:highlight w:val="none"/>
                <w14:textFill>
                  <w14:solidFill>
                    <w14:schemeClr w14:val="tx1"/>
                  </w14:solidFill>
                </w14:textFill>
              </w:rPr>
              <w:t>喷粉</w:t>
            </w:r>
            <w:r>
              <w:rPr>
                <w:rFonts w:ascii="Times New Roman" w:hAnsi="Times New Roman" w:cs="Times New Roman"/>
                <w:b/>
                <w:bCs/>
                <w:color w:val="000000" w:themeColor="text1"/>
                <w:sz w:val="24"/>
                <w:highlight w:val="none"/>
                <w14:textFill>
                  <w14:solidFill>
                    <w14:schemeClr w14:val="tx1"/>
                  </w14:solidFill>
                </w14:textFill>
              </w:rPr>
              <w:t>线：</w:t>
            </w:r>
            <w:r>
              <w:rPr>
                <w:rStyle w:val="46"/>
                <w:rFonts w:ascii="Times New Roman" w:hAnsi="Times New Roman" w:cs="Times New Roman"/>
                <w:color w:val="000000" w:themeColor="text1"/>
                <w:sz w:val="24"/>
                <w:highlight w:val="none"/>
                <w14:textFill>
                  <w14:solidFill>
                    <w14:schemeClr w14:val="tx1"/>
                  </w14:solidFill>
                </w14:textFill>
              </w:rPr>
              <w:t>抛丸完成</w:t>
            </w:r>
            <w:r>
              <w:rPr>
                <w:rStyle w:val="46"/>
                <w:rFonts w:hint="eastAsia" w:ascii="Times New Roman" w:hAnsi="Times New Roman" w:cs="Times New Roman"/>
                <w:color w:val="000000" w:themeColor="text1"/>
                <w:sz w:val="24"/>
                <w:highlight w:val="none"/>
                <w14:textFill>
                  <w14:solidFill>
                    <w14:schemeClr w14:val="tx1"/>
                  </w14:solidFill>
                </w14:textFill>
              </w:rPr>
              <w:t>后</w:t>
            </w:r>
            <w:r>
              <w:rPr>
                <w:rStyle w:val="46"/>
                <w:rFonts w:ascii="Times New Roman" w:hAnsi="Times New Roman" w:cs="Times New Roman"/>
                <w:color w:val="000000" w:themeColor="text1"/>
                <w:sz w:val="24"/>
                <w:highlight w:val="none"/>
                <w14:textFill>
                  <w14:solidFill>
                    <w14:schemeClr w14:val="tx1"/>
                  </w14:solidFill>
                </w14:textFill>
              </w:rPr>
              <w:t>的产品，由人工上挂工件在吊具上，通过链条输送，索链运行速度</w:t>
            </w:r>
            <w:r>
              <w:rPr>
                <w:rStyle w:val="46"/>
                <w:rFonts w:hint="eastAsia" w:ascii="Times New Roman" w:hAnsi="Times New Roman" w:cs="Times New Roman"/>
                <w:color w:val="000000" w:themeColor="text1"/>
                <w:sz w:val="24"/>
                <w:highlight w:val="none"/>
                <w14:textFill>
                  <w14:solidFill>
                    <w14:schemeClr w14:val="tx1"/>
                  </w14:solidFill>
                </w14:textFill>
              </w:rPr>
              <w:t>1~</w:t>
            </w:r>
            <w:r>
              <w:rPr>
                <w:rFonts w:ascii="Times New Roman" w:hAnsi="Times New Roman" w:cs="Times New Roman"/>
                <w:color w:val="000000" w:themeColor="text1"/>
                <w:sz w:val="24"/>
                <w:highlight w:val="none"/>
                <w14:textFill>
                  <w14:solidFill>
                    <w14:schemeClr w14:val="tx1"/>
                  </w14:solidFill>
                </w14:textFill>
              </w:rPr>
              <w:t>1.</w:t>
            </w:r>
            <w:r>
              <w:rPr>
                <w:rFonts w:hint="eastAsia" w:ascii="Times New Roman" w:hAnsi="Times New Roman" w:cs="Times New Roman"/>
                <w:color w:val="000000" w:themeColor="text1"/>
                <w:sz w:val="24"/>
                <w:highlight w:val="none"/>
                <w14:textFill>
                  <w14:solidFill>
                    <w14:schemeClr w14:val="tx1"/>
                  </w14:solidFill>
                </w14:textFill>
              </w:rPr>
              <w:t>1</w:t>
            </w:r>
            <w:r>
              <w:rPr>
                <w:rFonts w:ascii="Times New Roman" w:hAnsi="Times New Roman" w:cs="Times New Roman"/>
                <w:color w:val="000000" w:themeColor="text1"/>
                <w:sz w:val="24"/>
                <w:highlight w:val="none"/>
                <w14:textFill>
                  <w14:solidFill>
                    <w14:schemeClr w14:val="tx1"/>
                  </w14:solidFill>
                </w14:textFill>
              </w:rPr>
              <w:t>m/min</w:t>
            </w:r>
            <w:r>
              <w:rPr>
                <w:rStyle w:val="46"/>
                <w:rFonts w:ascii="Times New Roman" w:hAnsi="Times New Roman" w:cs="Times New Roman"/>
                <w:color w:val="000000" w:themeColor="text1"/>
                <w:sz w:val="24"/>
                <w:highlight w:val="none"/>
                <w14:textFill>
                  <w14:solidFill>
                    <w14:schemeClr w14:val="tx1"/>
                  </w14:solidFill>
                </w14:textFill>
              </w:rPr>
              <w:t>，</w:t>
            </w:r>
            <w:r>
              <w:rPr>
                <w:rStyle w:val="46"/>
                <w:rFonts w:hint="eastAsia" w:ascii="Times New Roman" w:hAnsi="Times New Roman" w:cs="Times New Roman"/>
                <w:color w:val="000000" w:themeColor="text1"/>
                <w:sz w:val="24"/>
                <w:highlight w:val="none"/>
                <w14:textFill>
                  <w14:solidFill>
                    <w14:schemeClr w14:val="tx1"/>
                  </w14:solidFill>
                </w14:textFill>
              </w:rPr>
              <w:t>每个挂具间隔0.5m，</w:t>
            </w:r>
            <w:r>
              <w:rPr>
                <w:rStyle w:val="46"/>
                <w:rFonts w:ascii="Times New Roman" w:hAnsi="Times New Roman" w:cs="Times New Roman"/>
                <w:color w:val="000000" w:themeColor="text1"/>
                <w:sz w:val="24"/>
                <w:highlight w:val="none"/>
                <w14:textFill>
                  <w14:solidFill>
                    <w14:schemeClr w14:val="tx1"/>
                  </w14:solidFill>
                </w14:textFill>
              </w:rPr>
              <w:t>单个吊具装载</w:t>
            </w:r>
            <w:r>
              <w:rPr>
                <w:rStyle w:val="46"/>
                <w:rFonts w:hint="eastAsia" w:ascii="Times New Roman" w:hAnsi="Times New Roman" w:cs="Times New Roman"/>
                <w:color w:val="000000" w:themeColor="text1"/>
                <w:sz w:val="24"/>
                <w:highlight w:val="none"/>
                <w14:textFill>
                  <w14:solidFill>
                    <w14:schemeClr w14:val="tx1"/>
                  </w14:solidFill>
                </w14:textFill>
              </w:rPr>
              <w:t>1</w:t>
            </w:r>
            <w:r>
              <w:rPr>
                <w:rStyle w:val="46"/>
                <w:rFonts w:ascii="Times New Roman" w:hAnsi="Times New Roman" w:cs="Times New Roman"/>
                <w:color w:val="000000" w:themeColor="text1"/>
                <w:sz w:val="24"/>
                <w:highlight w:val="none"/>
                <w14:textFill>
                  <w14:solidFill>
                    <w14:schemeClr w14:val="tx1"/>
                  </w14:solidFill>
                </w14:textFill>
              </w:rPr>
              <w:t>件</w:t>
            </w:r>
            <w:r>
              <w:rPr>
                <w:rStyle w:val="46"/>
                <w:rFonts w:hint="eastAsia" w:ascii="Times New Roman" w:hAnsi="Times New Roman" w:cs="Times New Roman"/>
                <w:color w:val="000000" w:themeColor="text1"/>
                <w:sz w:val="24"/>
                <w:highlight w:val="none"/>
                <w14:textFill>
                  <w14:solidFill>
                    <w14:schemeClr w14:val="tx1"/>
                  </w14:solidFill>
                </w14:textFill>
              </w:rPr>
              <w:t>产品，则产品出线速度按0.5min/件计，年加工产品数量为210526件（5%次品率），生产时间1755h</w:t>
            </w:r>
            <w:r>
              <w:rPr>
                <w:rStyle w:val="46"/>
                <w:rFonts w:ascii="Times New Roman" w:hAnsi="Times New Roman" w:cs="Times New Roman"/>
                <w:color w:val="000000" w:themeColor="text1"/>
                <w:sz w:val="24"/>
                <w:highlight w:val="none"/>
                <w14:textFill>
                  <w14:solidFill>
                    <w14:schemeClr w14:val="tx1"/>
                  </w14:solidFill>
                </w14:textFill>
              </w:rPr>
              <w:t>。</w:t>
            </w:r>
          </w:p>
          <w:p w14:paraId="43F3074D">
            <w:pPr>
              <w:pStyle w:val="43"/>
              <w:spacing w:line="360" w:lineRule="auto"/>
              <w:ind w:firstLine="482"/>
              <w:rPr>
                <w:rFonts w:ascii="Times New Roman" w:hAnsi="Times New Roman" w:cs="Times New Roman"/>
                <w:b/>
                <w:bCs/>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喷</w:t>
            </w:r>
            <w:r>
              <w:rPr>
                <w:rFonts w:hint="eastAsia" w:ascii="Times New Roman" w:hAnsi="Times New Roman" w:cs="Times New Roman"/>
                <w:b/>
                <w:bCs/>
                <w:color w:val="000000" w:themeColor="text1"/>
                <w:sz w:val="24"/>
                <w:highlight w:val="none"/>
                <w14:textFill>
                  <w14:solidFill>
                    <w14:schemeClr w14:val="tx1"/>
                  </w14:solidFill>
                </w14:textFill>
              </w:rPr>
              <w:t>粉</w:t>
            </w:r>
            <w:r>
              <w:rPr>
                <w:rFonts w:ascii="Times New Roman" w:hAnsi="Times New Roman" w:cs="Times New Roman"/>
                <w:b/>
                <w:bCs/>
                <w:color w:val="000000" w:themeColor="text1"/>
                <w:sz w:val="24"/>
                <w:highlight w:val="none"/>
                <w14:textFill>
                  <w14:solidFill>
                    <w14:schemeClr w14:val="tx1"/>
                  </w14:solidFill>
                </w14:textFill>
              </w:rPr>
              <w:t>：</w:t>
            </w:r>
          </w:p>
          <w:p w14:paraId="5D6BF421">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粉末涂料采用袋装方式，人工开袋后，采用泵经管道送入喷粉箱中，喷粉箱为常闭状态，在开袋和落料过程中将产生投料粉尘G2、废包装材料S2。</w:t>
            </w:r>
          </w:p>
          <w:p w14:paraId="11818A0E">
            <w:pPr>
              <w:pStyle w:val="43"/>
              <w:spacing w:line="360" w:lineRule="auto"/>
              <w:ind w:firstLine="482"/>
              <w:rPr>
                <w:rFonts w:hint="default" w:ascii="Times New Roman" w:hAnsi="Times New Roman" w:cs="Times New Roman"/>
                <w:b/>
                <w:bCs/>
                <w:color w:val="000000" w:themeColor="text1"/>
                <w:sz w:val="24"/>
                <w:highlight w:val="none"/>
                <w:u w:val="single"/>
                <w:lang w:val="en-US"/>
                <w14:textFill>
                  <w14:solidFill>
                    <w14:schemeClr w14:val="tx1"/>
                  </w14:solidFill>
                </w14:textFill>
              </w:rPr>
            </w:pPr>
            <w:r>
              <w:rPr>
                <w:rFonts w:hint="eastAsia" w:ascii="Times New Roman" w:hAnsi="Times New Roman" w:cs="Times New Roman"/>
                <w:b/>
                <w:bCs/>
                <w:color w:val="000000" w:themeColor="text1"/>
                <w:sz w:val="24"/>
                <w:highlight w:val="none"/>
                <w:u w:val="single"/>
                <w14:textFill>
                  <w14:solidFill>
                    <w14:schemeClr w14:val="tx1"/>
                  </w14:solidFill>
                </w14:textFill>
              </w:rPr>
              <w:t>根据客户需求，产品加工主要涉及5种不同颜色的粉末涂料。本项目共设置5个喷房（</w:t>
            </w:r>
            <w:r>
              <w:rPr>
                <w:rFonts w:hint="eastAsia" w:ascii="Times New Roman" w:hAnsi="Times New Roman" w:cs="Times New Roman"/>
                <w:b/>
                <w:bCs/>
                <w:color w:val="000000" w:themeColor="text1"/>
                <w:sz w:val="24"/>
                <w:highlight w:val="none"/>
                <w:u w:val="single"/>
                <w:lang w:val="en-US" w:eastAsia="zh-CN"/>
                <w14:textFill>
                  <w14:solidFill>
                    <w14:schemeClr w14:val="tx1"/>
                  </w14:solidFill>
                </w14:textFill>
              </w:rPr>
              <w:t>5个喷房</w:t>
            </w:r>
            <w:r>
              <w:rPr>
                <w:rFonts w:hint="eastAsia" w:ascii="Times New Roman" w:hAnsi="Times New Roman" w:cs="Times New Roman"/>
                <w:b/>
                <w:bCs/>
                <w:color w:val="000000" w:themeColor="text1"/>
                <w:sz w:val="24"/>
                <w:highlight w:val="none"/>
                <w:u w:val="single"/>
                <w14:textFill>
                  <w14:solidFill>
                    <w14:schemeClr w14:val="tx1"/>
                  </w14:solidFill>
                </w14:textFill>
              </w:rPr>
              <w:t>不能同步运行，仅其中1个运行，另外4个备用</w:t>
            </w:r>
            <w:r>
              <w:rPr>
                <w:rFonts w:hint="eastAsia" w:ascii="Times New Roman" w:hAnsi="Times New Roman" w:cs="Times New Roman"/>
                <w:b/>
                <w:bCs/>
                <w:color w:val="000000" w:themeColor="text1"/>
                <w:sz w:val="24"/>
                <w:highlight w:val="none"/>
                <w:u w:val="single"/>
                <w:lang w:eastAsia="zh-CN"/>
                <w14:textFill>
                  <w14:solidFill>
                    <w14:schemeClr w14:val="tx1"/>
                  </w14:solidFill>
                </w14:textFill>
              </w:rPr>
              <w:t>。</w:t>
            </w:r>
            <w:r>
              <w:rPr>
                <w:rFonts w:hint="eastAsia" w:ascii="Times New Roman" w:hAnsi="Times New Roman" w:cs="Times New Roman"/>
                <w:b/>
                <w:bCs/>
                <w:color w:val="000000" w:themeColor="text1"/>
                <w:sz w:val="24"/>
                <w:highlight w:val="none"/>
                <w:u w:val="single"/>
                <w14:textFill>
                  <w14:solidFill>
                    <w14:schemeClr w14:val="tx1"/>
                  </w14:solidFill>
                </w14:textFill>
              </w:rPr>
              <w:t>），对应不同颜色的粉末涂料，不涉及换色。</w:t>
            </w:r>
            <w:r>
              <w:rPr>
                <w:rFonts w:hint="eastAsia" w:ascii="Times New Roman" w:hAnsi="Times New Roman" w:cs="Times New Roman"/>
                <w:b/>
                <w:bCs/>
                <w:color w:val="000000" w:themeColor="text1"/>
                <w:sz w:val="24"/>
                <w:highlight w:val="none"/>
                <w:u w:val="single"/>
                <w:lang w:val="en-US" w:eastAsia="zh-CN"/>
                <w14:textFill>
                  <w14:solidFill>
                    <w14:schemeClr w14:val="tx1"/>
                  </w14:solidFill>
                </w14:textFill>
              </w:rPr>
              <w:t>5个喷房及固化烘道经1条挂架轨道串联，挂架轨道从喷房中间贯穿，轨道为循环式闭合回路。</w:t>
            </w:r>
            <w:r>
              <w:rPr>
                <w:rFonts w:hint="eastAsia" w:ascii="Times New Roman" w:hAnsi="Times New Roman" w:cs="Times New Roman"/>
                <w:b/>
                <w:bCs/>
                <w:color w:val="000000" w:themeColor="text1"/>
                <w:sz w:val="24"/>
                <w:highlight w:val="none"/>
                <w:u w:val="single"/>
                <w:lang w:eastAsia="zh-CN"/>
                <w14:textFill>
                  <w14:solidFill>
                    <w14:schemeClr w14:val="tx1"/>
                  </w14:solidFill>
                </w14:textFill>
              </w:rPr>
              <w:t>整个生产线产能，受制于固化工序的时间，仅能匹配</w:t>
            </w:r>
            <w:r>
              <w:rPr>
                <w:rFonts w:hint="eastAsia" w:ascii="Times New Roman" w:hAnsi="Times New Roman" w:cs="Times New Roman"/>
                <w:b/>
                <w:bCs/>
                <w:color w:val="000000" w:themeColor="text1"/>
                <w:sz w:val="24"/>
                <w:highlight w:val="none"/>
                <w:u w:val="single"/>
                <w:lang w:val="en-US" w:eastAsia="zh-CN"/>
                <w14:textFill>
                  <w14:solidFill>
                    <w14:schemeClr w14:val="tx1"/>
                  </w14:solidFill>
                </w14:textFill>
              </w:rPr>
              <w:t>1个喷房工作。</w:t>
            </w:r>
          </w:p>
          <w:p w14:paraId="3199FC6D">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项目采用静电喷</w:t>
            </w:r>
            <w:r>
              <w:rPr>
                <w:rFonts w:hint="eastAsia" w:ascii="Times New Roman" w:hAnsi="Times New Roman" w:cs="Times New Roman"/>
                <w:color w:val="000000" w:themeColor="text1"/>
                <w:sz w:val="24"/>
                <w:highlight w:val="none"/>
                <w14:textFill>
                  <w14:solidFill>
                    <w14:schemeClr w14:val="tx1"/>
                  </w14:solidFill>
                </w14:textFill>
              </w:rPr>
              <w:t>粉</w:t>
            </w:r>
            <w:r>
              <w:rPr>
                <w:rFonts w:ascii="Times New Roman" w:hAnsi="Times New Roman" w:cs="Times New Roman"/>
                <w:color w:val="000000" w:themeColor="text1"/>
                <w:sz w:val="24"/>
                <w:highlight w:val="none"/>
                <w14:textFill>
                  <w14:solidFill>
                    <w14:schemeClr w14:val="tx1"/>
                  </w14:solidFill>
                </w14:textFill>
              </w:rPr>
              <w:t>，静电喷</w:t>
            </w:r>
            <w:r>
              <w:rPr>
                <w:rFonts w:hint="eastAsia" w:ascii="Times New Roman" w:hAnsi="Times New Roman" w:cs="Times New Roman"/>
                <w:color w:val="000000" w:themeColor="text1"/>
                <w:sz w:val="24"/>
                <w:highlight w:val="none"/>
                <w14:textFill>
                  <w14:solidFill>
                    <w14:schemeClr w14:val="tx1"/>
                  </w14:solidFill>
                </w14:textFill>
              </w:rPr>
              <w:t>粉</w:t>
            </w:r>
            <w:r>
              <w:rPr>
                <w:rFonts w:ascii="Times New Roman" w:hAnsi="Times New Roman" w:cs="Times New Roman"/>
                <w:color w:val="000000" w:themeColor="text1"/>
                <w:sz w:val="24"/>
                <w:highlight w:val="none"/>
                <w14:textFill>
                  <w14:solidFill>
                    <w14:schemeClr w14:val="tx1"/>
                  </w14:solidFill>
                </w14:textFill>
              </w:rPr>
              <w:t>是利用高压静电电场使带负电的涂料微粒沿着电场相反的方向定向运动，并将涂料微粒吸附在工件表面的一种喷涂方法。喷枪部分接负极，工件接地为正极，喷枪与工件之间形成一个高压电晕放电电场，当粉末粒子由喷枪口喷出经过放电区时，便</w:t>
            </w:r>
            <w:r>
              <w:rPr>
                <w:rFonts w:hint="eastAsia" w:ascii="Times New Roman" w:hAnsi="Times New Roman" w:cs="Times New Roman"/>
                <w:color w:val="000000" w:themeColor="text1"/>
                <w:sz w:val="24"/>
                <w:highlight w:val="none"/>
                <w14:textFill>
                  <w14:solidFill>
                    <w14:schemeClr w14:val="tx1"/>
                  </w14:solidFill>
                </w14:textFill>
              </w:rPr>
              <w:t>捕集</w:t>
            </w:r>
            <w:r>
              <w:rPr>
                <w:rFonts w:ascii="Times New Roman" w:hAnsi="Times New Roman" w:cs="Times New Roman"/>
                <w:color w:val="000000" w:themeColor="text1"/>
                <w:sz w:val="24"/>
                <w:highlight w:val="none"/>
                <w14:textFill>
                  <w14:solidFill>
                    <w14:schemeClr w14:val="tx1"/>
                  </w14:solidFill>
                </w14:textFill>
              </w:rPr>
              <w:t>大量的电子，成为带负电的微粒，在静电吸引的作用下，被吸附到带正电荷的工件上去。当粉末附着到一定厚度时，则会发生“同性相斥”作用，不能再吸附粉末，从而使各部分的粉层厚度均匀，</w:t>
            </w:r>
            <w:r>
              <w:rPr>
                <w:rFonts w:hint="eastAsia" w:ascii="Times New Roman" w:hAnsi="Times New Roman" w:cs="Times New Roman"/>
                <w:color w:val="000000" w:themeColor="text1"/>
                <w:sz w:val="24"/>
                <w:highlight w:val="none"/>
                <w14:textFill>
                  <w14:solidFill>
                    <w14:schemeClr w14:val="tx1"/>
                  </w14:solidFill>
                </w14:textFill>
              </w:rPr>
              <w:t>再</w:t>
            </w:r>
            <w:r>
              <w:rPr>
                <w:rFonts w:ascii="Times New Roman" w:hAnsi="Times New Roman" w:cs="Times New Roman"/>
                <w:color w:val="000000" w:themeColor="text1"/>
                <w:sz w:val="24"/>
                <w:highlight w:val="none"/>
                <w14:textFill>
                  <w14:solidFill>
                    <w14:schemeClr w14:val="tx1"/>
                  </w14:solidFill>
                </w14:textFill>
              </w:rPr>
              <w:t>经固化后粉层流平成为均匀的膜层。</w:t>
            </w:r>
          </w:p>
          <w:p w14:paraId="7B75A40E">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喷粉</w:t>
            </w:r>
            <w:r>
              <w:rPr>
                <w:rFonts w:ascii="Times New Roman" w:hAnsi="Times New Roman" w:cs="Times New Roman"/>
                <w:color w:val="000000" w:themeColor="text1"/>
                <w:sz w:val="24"/>
                <w:highlight w:val="none"/>
                <w14:textFill>
                  <w14:solidFill>
                    <w14:schemeClr w14:val="tx1"/>
                  </w14:solidFill>
                </w14:textFill>
              </w:rPr>
              <w:t>室内部循环采用侧抽风，使喷房空气气流组织合理，风力柔和，增加粉末在喷房内空中滞留时间，提高上粉率，并使回收系统负荷减少，使回收系统效率高、寿命长；喷塑室进出口设置长引口，便于降低喷室内回收风速，提高上粉率，同时保证粉末不外溢，项目喷房内设置有供粉装置及粉末回收装置，</w:t>
            </w:r>
            <w:r>
              <w:rPr>
                <w:rFonts w:hint="eastAsia" w:ascii="Times New Roman" w:hAnsi="Times New Roman" w:cs="Times New Roman"/>
                <w:color w:val="000000" w:themeColor="text1"/>
                <w:sz w:val="24"/>
                <w:highlight w:val="none"/>
                <w14:textFill>
                  <w14:solidFill>
                    <w14:schemeClr w14:val="tx1"/>
                  </w14:solidFill>
                </w14:textFill>
              </w:rPr>
              <w:t>喷粉</w:t>
            </w:r>
            <w:r>
              <w:rPr>
                <w:rFonts w:ascii="Times New Roman" w:hAnsi="Times New Roman" w:cs="Times New Roman"/>
                <w:color w:val="000000" w:themeColor="text1"/>
                <w:sz w:val="24"/>
                <w:highlight w:val="none"/>
                <w14:textFill>
                  <w14:solidFill>
                    <w14:schemeClr w14:val="tx1"/>
                  </w14:solidFill>
                </w14:textFill>
              </w:rPr>
              <w:t>废气气流在喷塑房内经负压抽风进入粉料回收系统，设置</w:t>
            </w:r>
            <w:r>
              <w:rPr>
                <w:rFonts w:hint="eastAsia" w:ascii="Times New Roman" w:hAnsi="Times New Roman" w:cs="Times New Roman"/>
                <w:color w:val="000000" w:themeColor="text1"/>
                <w:sz w:val="24"/>
                <w:highlight w:val="none"/>
                <w14:textFill>
                  <w14:solidFill>
                    <w14:schemeClr w14:val="tx1"/>
                  </w14:solidFill>
                </w14:textFill>
              </w:rPr>
              <w:t>一</w:t>
            </w:r>
            <w:r>
              <w:rPr>
                <w:rFonts w:ascii="Times New Roman" w:hAnsi="Times New Roman" w:cs="Times New Roman"/>
                <w:color w:val="000000" w:themeColor="text1"/>
                <w:sz w:val="24"/>
                <w:highlight w:val="none"/>
                <w14:textFill>
                  <w14:solidFill>
                    <w14:schemeClr w14:val="tx1"/>
                  </w14:solidFill>
                </w14:textFill>
              </w:rPr>
              <w:t>级滤筒回收装置处置。此工序产生喷</w:t>
            </w:r>
            <w:r>
              <w:rPr>
                <w:rFonts w:hint="eastAsia" w:ascii="Times New Roman" w:hAnsi="Times New Roman" w:cs="Times New Roman"/>
                <w:color w:val="000000" w:themeColor="text1"/>
                <w:sz w:val="24"/>
                <w:highlight w:val="none"/>
                <w14:textFill>
                  <w14:solidFill>
                    <w14:schemeClr w14:val="tx1"/>
                  </w14:solidFill>
                </w14:textFill>
              </w:rPr>
              <w:t>粉</w:t>
            </w:r>
            <w:r>
              <w:rPr>
                <w:rFonts w:ascii="Times New Roman" w:hAnsi="Times New Roman" w:cs="Times New Roman"/>
                <w:color w:val="000000" w:themeColor="text1"/>
                <w:sz w:val="24"/>
                <w:highlight w:val="none"/>
                <w14:textFill>
                  <w14:solidFill>
                    <w14:schemeClr w14:val="tx1"/>
                  </w14:solidFill>
                </w14:textFill>
              </w:rPr>
              <w:t>废气G</w:t>
            </w:r>
            <w:r>
              <w:rPr>
                <w:rFonts w:hint="eastAsia" w:ascii="Times New Roman" w:hAnsi="Times New Roman" w:cs="Times New Roman"/>
                <w:color w:val="000000" w:themeColor="text1"/>
                <w:sz w:val="24"/>
                <w:highlight w:val="none"/>
                <w14:textFill>
                  <w14:solidFill>
                    <w14:schemeClr w14:val="tx1"/>
                  </w14:solidFill>
                </w14:textFill>
              </w:rPr>
              <w:t>3</w:t>
            </w:r>
            <w:r>
              <w:rPr>
                <w:rFonts w:ascii="Times New Roman" w:hAnsi="Times New Roman" w:cs="Times New Roman"/>
                <w:color w:val="000000" w:themeColor="text1"/>
                <w:sz w:val="24"/>
                <w:highlight w:val="none"/>
                <w14:textFill>
                  <w14:solidFill>
                    <w14:schemeClr w14:val="tx1"/>
                  </w14:solidFill>
                </w14:textFill>
              </w:rPr>
              <w:t>。</w:t>
            </w:r>
          </w:p>
          <w:p w14:paraId="6B23B1B5">
            <w:pPr>
              <w:pStyle w:val="43"/>
              <w:spacing w:line="360" w:lineRule="auto"/>
              <w:ind w:firstLine="482"/>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固化：</w:t>
            </w:r>
            <w:r>
              <w:rPr>
                <w:rFonts w:ascii="Times New Roman" w:hAnsi="Times New Roman" w:cs="Times New Roman"/>
                <w:color w:val="000000" w:themeColor="text1"/>
                <w:sz w:val="24"/>
                <w:highlight w:val="none"/>
                <w14:textFill>
                  <w14:solidFill>
                    <w14:schemeClr w14:val="tx1"/>
                  </w14:solidFill>
                </w14:textFill>
              </w:rPr>
              <w:t>经</w:t>
            </w:r>
            <w:r>
              <w:rPr>
                <w:rFonts w:hint="eastAsia" w:ascii="Times New Roman" w:hAnsi="Times New Roman" w:cs="Times New Roman"/>
                <w:color w:val="000000" w:themeColor="text1"/>
                <w:sz w:val="24"/>
                <w:highlight w:val="none"/>
                <w14:textFill>
                  <w14:solidFill>
                    <w14:schemeClr w14:val="tx1"/>
                  </w14:solidFill>
                </w14:textFill>
              </w:rPr>
              <w:t>喷粉</w:t>
            </w:r>
            <w:r>
              <w:rPr>
                <w:rFonts w:ascii="Times New Roman" w:hAnsi="Times New Roman" w:cs="Times New Roman"/>
                <w:color w:val="000000" w:themeColor="text1"/>
                <w:sz w:val="24"/>
                <w:highlight w:val="none"/>
                <w14:textFill>
                  <w14:solidFill>
                    <w14:schemeClr w14:val="tx1"/>
                  </w14:solidFill>
                </w14:textFill>
              </w:rPr>
              <w:t>完成后的工件通过输送链条输送至烘道内进行加热固化，烘道</w:t>
            </w:r>
            <w:r>
              <w:rPr>
                <w:rFonts w:hint="eastAsia" w:ascii="Times New Roman" w:hAnsi="Times New Roman" w:cs="Times New Roman"/>
                <w:color w:val="000000" w:themeColor="text1"/>
                <w:sz w:val="24"/>
                <w:highlight w:val="none"/>
                <w14:textFill>
                  <w14:solidFill>
                    <w14:schemeClr w14:val="tx1"/>
                  </w14:solidFill>
                </w14:textFill>
              </w:rPr>
              <w:t>由前段-中段-后段组成，前段和后段不设保温层，中段设保温层。前段由烘道中段逸散的烟气对产品进行预热，起节能作用。</w:t>
            </w:r>
            <w:r>
              <w:rPr>
                <w:rFonts w:hint="eastAsia" w:ascii="Times New Roman" w:hAnsi="Times New Roman" w:cs="Times New Roman"/>
                <w:color w:val="000000" w:themeColor="text1"/>
                <w:sz w:val="24"/>
                <w:highlight w:val="none"/>
                <w14:textFill>
                  <w14:solidFill>
                    <w14:schemeClr w14:val="tx1"/>
                  </w14:solidFill>
                </w14:textFill>
              </w:rPr>
              <w:t>中段通入燃烧机燃烧</w:t>
            </w:r>
            <w:r>
              <w:rPr>
                <w:rFonts w:hint="eastAsia" w:ascii="Times New Roman" w:hAnsi="Times New Roman" w:cs="Times New Roman"/>
                <w:color w:val="000000" w:themeColor="text1"/>
                <w:sz w:val="24"/>
                <w:highlight w:val="none"/>
                <w:lang w:eastAsia="zh-CN"/>
                <w14:textFill>
                  <w14:solidFill>
                    <w14:schemeClr w14:val="tx1"/>
                  </w14:solidFill>
                </w14:textFill>
              </w:rPr>
              <w:t>液体石蜡</w:t>
            </w:r>
            <w:r>
              <w:rPr>
                <w:rFonts w:hint="eastAsia" w:ascii="Times New Roman" w:hAnsi="Times New Roman" w:cs="Times New Roman"/>
                <w:color w:val="000000" w:themeColor="text1"/>
                <w:sz w:val="24"/>
                <w:highlight w:val="none"/>
                <w14:textFill>
                  <w14:solidFill>
                    <w14:schemeClr w14:val="tx1"/>
                  </w14:solidFill>
                </w14:textFill>
              </w:rPr>
              <w:t>产生的热空气对产品进行</w:t>
            </w:r>
            <w:r>
              <w:rPr>
                <w:rFonts w:hint="eastAsia" w:ascii="Times New Roman" w:hAnsi="Times New Roman" w:cs="Times New Roman"/>
                <w:b/>
                <w:bCs/>
                <w:color w:val="000000" w:themeColor="text1"/>
                <w:sz w:val="24"/>
                <w:highlight w:val="none"/>
                <w14:textFill>
                  <w14:solidFill>
                    <w14:schemeClr w14:val="tx1"/>
                  </w14:solidFill>
                </w14:textFill>
              </w:rPr>
              <w:t>直接</w:t>
            </w:r>
            <w:r>
              <w:rPr>
                <w:rFonts w:ascii="Times New Roman" w:hAnsi="Times New Roman" w:cs="Times New Roman"/>
                <w:b/>
                <w:bCs/>
                <w:color w:val="000000" w:themeColor="text1"/>
                <w:sz w:val="24"/>
                <w:highlight w:val="none"/>
                <w14:textFill>
                  <w14:solidFill>
                    <w14:schemeClr w14:val="tx1"/>
                  </w14:solidFill>
                </w14:textFill>
              </w:rPr>
              <w:t>加热</w:t>
            </w:r>
            <w:r>
              <w:rPr>
                <w:rFonts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并进行热风循环，</w:t>
            </w:r>
            <w:r>
              <w:rPr>
                <w:rFonts w:ascii="Times New Roman" w:hAnsi="Times New Roman" w:cs="Times New Roman"/>
                <w:color w:val="000000" w:themeColor="text1"/>
                <w:sz w:val="24"/>
                <w:highlight w:val="none"/>
                <w14:textFill>
                  <w14:solidFill>
                    <w14:schemeClr w14:val="tx1"/>
                  </w14:solidFill>
                </w14:textFill>
              </w:rPr>
              <w:t>烘道</w:t>
            </w:r>
            <w:r>
              <w:rPr>
                <w:rFonts w:hint="eastAsia" w:ascii="Times New Roman" w:hAnsi="Times New Roman" w:cs="Times New Roman"/>
                <w:color w:val="000000" w:themeColor="text1"/>
                <w:sz w:val="24"/>
                <w:highlight w:val="none"/>
                <w14:textFill>
                  <w14:solidFill>
                    <w14:schemeClr w14:val="tx1"/>
                  </w14:solidFill>
                </w14:textFill>
              </w:rPr>
              <w:t>内</w:t>
            </w:r>
            <w:r>
              <w:rPr>
                <w:rFonts w:ascii="Times New Roman" w:hAnsi="Times New Roman" w:cs="Times New Roman"/>
                <w:color w:val="000000" w:themeColor="text1"/>
                <w:sz w:val="24"/>
                <w:highlight w:val="none"/>
                <w14:textFill>
                  <w14:solidFill>
                    <w14:schemeClr w14:val="tx1"/>
                  </w14:solidFill>
                </w14:textFill>
              </w:rPr>
              <w:t>固化温度维持在180-220℃左右</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可使塑粉层熔化。</w:t>
            </w:r>
            <w:r>
              <w:rPr>
                <w:rFonts w:hint="eastAsia" w:ascii="Times New Roman" w:hAnsi="Times New Roman" w:cs="Times New Roman"/>
                <w:color w:val="000000" w:themeColor="text1"/>
                <w:sz w:val="24"/>
                <w:highlight w:val="none"/>
                <w14:textFill>
                  <w14:solidFill>
                    <w14:schemeClr w14:val="tx1"/>
                  </w14:solidFill>
                </w14:textFill>
              </w:rPr>
              <w:t>后段主要进行产品</w:t>
            </w:r>
            <w:r>
              <w:rPr>
                <w:rFonts w:ascii="Times New Roman" w:hAnsi="Times New Roman" w:cs="Times New Roman"/>
                <w:color w:val="000000" w:themeColor="text1"/>
                <w:sz w:val="24"/>
                <w:highlight w:val="none"/>
                <w14:textFill>
                  <w14:solidFill>
                    <w14:schemeClr w14:val="tx1"/>
                  </w14:solidFill>
                </w14:textFill>
              </w:rPr>
              <w:t>流平、</w:t>
            </w:r>
            <w:r>
              <w:rPr>
                <w:rFonts w:hint="eastAsia" w:ascii="Times New Roman" w:hAnsi="Times New Roman" w:cs="Times New Roman"/>
                <w:color w:val="000000" w:themeColor="text1"/>
                <w:sz w:val="24"/>
                <w:highlight w:val="none"/>
                <w14:textFill>
                  <w14:solidFill>
                    <w14:schemeClr w14:val="tx1"/>
                  </w14:solidFill>
                </w14:textFill>
              </w:rPr>
              <w:t>冷却</w:t>
            </w:r>
            <w:r>
              <w:rPr>
                <w:rFonts w:ascii="Times New Roman" w:hAnsi="Times New Roman" w:cs="Times New Roman"/>
                <w:color w:val="000000" w:themeColor="text1"/>
                <w:sz w:val="24"/>
                <w:highlight w:val="none"/>
                <w14:textFill>
                  <w14:solidFill>
                    <w14:schemeClr w14:val="tx1"/>
                  </w14:solidFill>
                </w14:textFill>
              </w:rPr>
              <w:t>，从而使表面平整</w:t>
            </w:r>
            <w:r>
              <w:rPr>
                <w:rFonts w:hint="eastAsia" w:ascii="Times New Roman" w:hAnsi="Times New Roman" w:cs="Times New Roman"/>
                <w:color w:val="000000" w:themeColor="text1"/>
                <w:sz w:val="24"/>
                <w:highlight w:val="none"/>
                <w14:textFill>
                  <w14:solidFill>
                    <w14:schemeClr w14:val="tx1"/>
                  </w14:solidFill>
                </w14:textFill>
              </w:rPr>
              <w:t>，采用自然冷却的方式</w:t>
            </w:r>
            <w:r>
              <w:rPr>
                <w:rFonts w:hint="eastAsia" w:ascii="Times New Roman" w:hAnsi="Times New Roman" w:cs="Times New Roman"/>
                <w:color w:val="000000" w:themeColor="text1"/>
                <w:sz w:val="24"/>
                <w:highlight w:val="none"/>
                <w:lang w:eastAsia="zh-CN"/>
                <w14:textFill>
                  <w14:solidFill>
                    <w14:schemeClr w14:val="tx1"/>
                  </w14:solidFill>
                </w14:textFill>
              </w:rPr>
              <w:t>冷却工件</w:t>
            </w:r>
            <w:r>
              <w:rPr>
                <w:rFonts w:hint="eastAsia" w:ascii="Times New Roman" w:hAnsi="Times New Roman" w:cs="Times New Roman"/>
                <w:color w:val="000000" w:themeColor="text1"/>
                <w:sz w:val="24"/>
                <w:highlight w:val="none"/>
                <w14:textFill>
                  <w14:solidFill>
                    <w14:schemeClr w14:val="tx1"/>
                  </w14:solidFill>
                </w14:textFill>
              </w:rPr>
              <w:t>。</w:t>
            </w:r>
          </w:p>
          <w:p w14:paraId="53655A13">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14:textFill>
                  <w14:solidFill>
                    <w14:schemeClr w14:val="tx1"/>
                  </w14:solidFill>
                </w14:textFill>
              </w:rPr>
              <w:t>固化烘道长度为</w:t>
            </w:r>
            <w:r>
              <w:rPr>
                <w:rFonts w:hint="eastAsia" w:ascii="Times New Roman" w:hAnsi="Times New Roman" w:cs="Times New Roman"/>
                <w:color w:val="000000" w:themeColor="text1"/>
                <w:sz w:val="24"/>
                <w:highlight w:val="none"/>
                <w:lang w:val="en-US" w:eastAsia="zh-CN"/>
                <w14:textFill>
                  <w14:solidFill>
                    <w14:schemeClr w14:val="tx1"/>
                  </w14:solidFill>
                </w14:textFill>
              </w:rPr>
              <w:t>40</w:t>
            </w:r>
            <w:r>
              <w:rPr>
                <w:rFonts w:hint="eastAsia" w:ascii="Times New Roman" w:hAnsi="Times New Roman" w:cs="Times New Roman"/>
                <w:color w:val="000000" w:themeColor="text1"/>
                <w:sz w:val="24"/>
                <w:highlight w:val="none"/>
                <w14:textFill>
                  <w14:solidFill>
                    <w14:schemeClr w14:val="tx1"/>
                  </w14:solidFill>
                </w14:textFill>
              </w:rPr>
              <w:t>m，</w:t>
            </w:r>
            <w:r>
              <w:rPr>
                <w:rFonts w:hint="eastAsia" w:ascii="Times New Roman" w:hAnsi="Times New Roman" w:cs="Times New Roman"/>
                <w:color w:val="000000" w:themeColor="text1"/>
                <w:sz w:val="24"/>
                <w:highlight w:val="none"/>
                <w14:textFill>
                  <w14:solidFill>
                    <w14:schemeClr w14:val="tx1"/>
                  </w14:solidFill>
                </w14:textFill>
              </w:rPr>
              <w:t>进出同口，</w:t>
            </w:r>
            <w:r>
              <w:rPr>
                <w:rFonts w:hint="eastAsia" w:ascii="Times New Roman" w:hAnsi="Times New Roman" w:cs="Times New Roman"/>
                <w:color w:val="000000" w:themeColor="text1"/>
                <w:sz w:val="24"/>
                <w:highlight w:val="none"/>
                <w14:textFill>
                  <w14:solidFill>
                    <w14:schemeClr w14:val="tx1"/>
                  </w14:solidFill>
                </w14:textFill>
              </w:rPr>
              <w:t>传送速度按1m/min计，产品烘道内停留时间约40min</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14:textFill>
                  <w14:solidFill>
                    <w14:schemeClr w14:val="tx1"/>
                  </w14:solidFill>
                </w14:textFill>
              </w:rPr>
              <w:t>产品固化时间</w:t>
            </w:r>
            <w:r>
              <w:rPr>
                <w:rFonts w:hint="eastAsia" w:ascii="Times New Roman" w:hAnsi="Times New Roman" w:cs="Times New Roman"/>
                <w:color w:val="000000" w:themeColor="text1"/>
                <w:sz w:val="24"/>
                <w:highlight w:val="none"/>
                <w:lang w:eastAsia="zh-CN"/>
                <w14:textFill>
                  <w14:solidFill>
                    <w14:schemeClr w14:val="tx1"/>
                  </w14:solidFill>
                </w14:textFill>
              </w:rPr>
              <w:t>为</w:t>
            </w:r>
            <w:r>
              <w:rPr>
                <w:rFonts w:hint="eastAsia" w:ascii="Times New Roman" w:hAnsi="Times New Roman" w:cs="Times New Roman"/>
                <w:color w:val="000000" w:themeColor="text1"/>
                <w:sz w:val="24"/>
                <w:highlight w:val="none"/>
                <w14:textFill>
                  <w14:solidFill>
                    <w14:schemeClr w14:val="tx1"/>
                  </w14:solidFill>
                </w14:textFill>
              </w:rPr>
              <w:t>40min。</w:t>
            </w:r>
          </w:p>
          <w:p w14:paraId="723D6557">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塑粉在固化过程中产生少量有机废气，通过烘道进出口集气罩收集。该工序会产生固化废气G</w:t>
            </w:r>
            <w:r>
              <w:rPr>
                <w:rFonts w:hint="eastAsia" w:ascii="Times New Roman" w:hAnsi="Times New Roman" w:cs="Times New Roman"/>
                <w:color w:val="000000" w:themeColor="text1"/>
                <w:sz w:val="24"/>
                <w:highlight w:val="none"/>
                <w14:textFill>
                  <w14:solidFill>
                    <w14:schemeClr w14:val="tx1"/>
                  </w14:solidFill>
                </w14:textFill>
              </w:rPr>
              <w:t>4（燃烧废气及塑粉加热产生的有机废气）</w:t>
            </w:r>
            <w:r>
              <w:rPr>
                <w:rFonts w:ascii="Times New Roman" w:hAnsi="Times New Roman" w:cs="Times New Roman"/>
                <w:color w:val="000000" w:themeColor="text1"/>
                <w:sz w:val="24"/>
                <w:highlight w:val="none"/>
                <w14:textFill>
                  <w14:solidFill>
                    <w14:schemeClr w14:val="tx1"/>
                  </w14:solidFill>
                </w14:textFill>
              </w:rPr>
              <w:t>。</w:t>
            </w:r>
          </w:p>
          <w:p w14:paraId="62828FC6">
            <w:pPr>
              <w:pStyle w:val="43"/>
              <w:spacing w:line="360" w:lineRule="auto"/>
              <w:ind w:firstLine="482"/>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下线：</w:t>
            </w:r>
            <w:r>
              <w:rPr>
                <w:rFonts w:hint="eastAsia" w:ascii="Times New Roman" w:hAnsi="Times New Roman" w:cs="Times New Roman"/>
                <w:color w:val="000000" w:themeColor="text1"/>
                <w:sz w:val="24"/>
                <w:highlight w:val="none"/>
                <w14:textFill>
                  <w14:solidFill>
                    <w14:schemeClr w14:val="tx1"/>
                  </w14:solidFill>
                </w14:textFill>
              </w:rPr>
              <w:t>人工</w:t>
            </w:r>
            <w:r>
              <w:rPr>
                <w:rFonts w:ascii="Times New Roman" w:hAnsi="Times New Roman" w:cs="Times New Roman"/>
                <w:color w:val="000000" w:themeColor="text1"/>
                <w:sz w:val="24"/>
                <w:highlight w:val="none"/>
                <w14:textFill>
                  <w14:solidFill>
                    <w14:schemeClr w14:val="tx1"/>
                  </w14:solidFill>
                </w14:textFill>
              </w:rPr>
              <w:t>取下工件。</w:t>
            </w:r>
            <w:r>
              <w:rPr>
                <w:rFonts w:hint="eastAsia" w:ascii="Times New Roman" w:hAnsi="Times New Roman" w:cs="Times New Roman"/>
                <w:color w:val="000000" w:themeColor="text1"/>
                <w:sz w:val="24"/>
                <w:szCs w:val="24"/>
                <w:highlight w:val="none"/>
                <w:lang w:eastAsia="zh-CN"/>
                <w14:textFill>
                  <w14:solidFill>
                    <w14:schemeClr w14:val="tx1"/>
                  </w14:solidFill>
                </w14:textFill>
              </w:rPr>
              <w:t>挂具上附着的少量塑粉，使用多次后会结块，影响挂具使用功能。挂具委外清理。</w:t>
            </w:r>
          </w:p>
          <w:p w14:paraId="2D5E3B55">
            <w:pPr>
              <w:pStyle w:val="25"/>
              <w:spacing w:after="0"/>
              <w:ind w:left="0" w:leftChars="0" w:firstLine="482" w:firstLineChars="200"/>
              <w:rPr>
                <w:rFonts w:cs="Times New Roman" w:eastAsiaTheme="minorEastAsia"/>
                <w:color w:val="000000" w:themeColor="text1"/>
                <w:kern w:val="0"/>
                <w:sz w:val="24"/>
                <w:szCs w:val="24"/>
                <w:highlight w:val="none"/>
                <w14:textFill>
                  <w14:solidFill>
                    <w14:schemeClr w14:val="tx1"/>
                  </w14:solidFill>
                </w14:textFill>
              </w:rPr>
            </w:pPr>
            <w:r>
              <w:rPr>
                <w:rFonts w:cs="Times New Roman" w:eastAsiaTheme="minorEastAsia"/>
                <w:b/>
                <w:bCs/>
                <w:color w:val="000000" w:themeColor="text1"/>
                <w:kern w:val="0"/>
                <w:sz w:val="24"/>
                <w:szCs w:val="24"/>
                <w:highlight w:val="none"/>
                <w14:textFill>
                  <w14:solidFill>
                    <w14:schemeClr w14:val="tx1"/>
                  </w14:solidFill>
                </w14:textFill>
              </w:rPr>
              <w:t>检验：</w:t>
            </w:r>
            <w:r>
              <w:rPr>
                <w:rFonts w:cs="Times New Roman" w:eastAsiaTheme="minorEastAsia"/>
                <w:color w:val="000000" w:themeColor="text1"/>
                <w:kern w:val="0"/>
                <w:sz w:val="24"/>
                <w:szCs w:val="24"/>
                <w:highlight w:val="none"/>
                <w14:textFill>
                  <w14:solidFill>
                    <w14:schemeClr w14:val="tx1"/>
                  </w14:solidFill>
                </w14:textFill>
              </w:rPr>
              <w:t>人工</w:t>
            </w:r>
            <w:r>
              <w:rPr>
                <w:rFonts w:hint="eastAsia" w:cs="Times New Roman" w:eastAsiaTheme="minorEastAsia"/>
                <w:color w:val="000000" w:themeColor="text1"/>
                <w:kern w:val="0"/>
                <w:sz w:val="24"/>
                <w:szCs w:val="24"/>
                <w:highlight w:val="none"/>
                <w14:textFill>
                  <w14:solidFill>
                    <w14:schemeClr w14:val="tx1"/>
                  </w14:solidFill>
                </w14:textFill>
              </w:rPr>
              <w:t>肉眼检验工件涂层是否有起泡、皱皮、破损等情况</w:t>
            </w:r>
            <w:r>
              <w:rPr>
                <w:rFonts w:cs="Times New Roman" w:eastAsiaTheme="minorEastAsia"/>
                <w:color w:val="000000" w:themeColor="text1"/>
                <w:kern w:val="0"/>
                <w:sz w:val="24"/>
                <w:szCs w:val="24"/>
                <w:highlight w:val="none"/>
                <w14:textFill>
                  <w14:solidFill>
                    <w14:schemeClr w14:val="tx1"/>
                  </w14:solidFill>
                </w14:textFill>
              </w:rPr>
              <w:t>，</w:t>
            </w:r>
            <w:r>
              <w:rPr>
                <w:rFonts w:hint="eastAsia" w:cs="Times New Roman" w:eastAsiaTheme="minorEastAsia"/>
                <w:color w:val="000000" w:themeColor="text1"/>
                <w:kern w:val="0"/>
                <w:sz w:val="24"/>
                <w:szCs w:val="24"/>
                <w:highlight w:val="none"/>
                <w14:textFill>
                  <w14:solidFill>
                    <w14:schemeClr w14:val="tx1"/>
                  </w14:solidFill>
                </w14:textFill>
              </w:rPr>
              <w:t>此工序将产生</w:t>
            </w:r>
            <w:r>
              <w:rPr>
                <w:rFonts w:cs="Times New Roman" w:eastAsiaTheme="minorEastAsia"/>
                <w:color w:val="000000" w:themeColor="text1"/>
                <w:kern w:val="0"/>
                <w:sz w:val="24"/>
                <w:szCs w:val="24"/>
                <w:highlight w:val="none"/>
                <w14:textFill>
                  <w14:solidFill>
                    <w14:schemeClr w14:val="tx1"/>
                  </w14:solidFill>
                </w14:textFill>
              </w:rPr>
              <w:t>不合格品</w:t>
            </w:r>
            <w:r>
              <w:rPr>
                <w:rFonts w:hint="eastAsia" w:cs="Times New Roman" w:eastAsiaTheme="minorEastAsia"/>
                <w:color w:val="000000" w:themeColor="text1"/>
                <w:kern w:val="0"/>
                <w:sz w:val="24"/>
                <w:szCs w:val="24"/>
                <w:highlight w:val="none"/>
                <w14:textFill>
                  <w14:solidFill>
                    <w14:schemeClr w14:val="tx1"/>
                  </w14:solidFill>
                </w14:textFill>
              </w:rPr>
              <w:t>S</w:t>
            </w:r>
            <w:r>
              <w:rPr>
                <w:rFonts w:hint="eastAsia" w:cs="Times New Roman" w:eastAsiaTheme="minorEastAsia"/>
                <w:color w:val="000000" w:themeColor="text1"/>
                <w:kern w:val="0"/>
                <w:sz w:val="24"/>
                <w:szCs w:val="24"/>
                <w:highlight w:val="none"/>
                <w:lang w:val="en-US" w:eastAsia="zh-CN"/>
                <w14:textFill>
                  <w14:solidFill>
                    <w14:schemeClr w14:val="tx1"/>
                  </w14:solidFill>
                </w14:textFill>
              </w:rPr>
              <w:t>3</w:t>
            </w:r>
            <w:r>
              <w:rPr>
                <w:rFonts w:hint="eastAsia" w:cs="Times New Roman" w:eastAsiaTheme="minorEastAsia"/>
                <w:color w:val="000000" w:themeColor="text1"/>
                <w:kern w:val="0"/>
                <w:sz w:val="24"/>
                <w:szCs w:val="24"/>
                <w:highlight w:val="none"/>
                <w14:textFill>
                  <w14:solidFill>
                    <w14:schemeClr w14:val="tx1"/>
                  </w14:solidFill>
                </w14:textFill>
              </w:rPr>
              <w:t>约5%，作为一般固废处置</w:t>
            </w:r>
            <w:r>
              <w:rPr>
                <w:rFonts w:cs="Times New Roman" w:eastAsiaTheme="minorEastAsia"/>
                <w:color w:val="000000" w:themeColor="text1"/>
                <w:kern w:val="0"/>
                <w:sz w:val="24"/>
                <w:szCs w:val="24"/>
                <w:highlight w:val="none"/>
                <w14:textFill>
                  <w14:solidFill>
                    <w14:schemeClr w14:val="tx1"/>
                  </w14:solidFill>
                </w14:textFill>
              </w:rPr>
              <w:t>，合格品包装入库。</w:t>
            </w:r>
          </w:p>
          <w:p w14:paraId="1316E4AD">
            <w:pPr>
              <w:pStyle w:val="25"/>
              <w:spacing w:after="0"/>
              <w:ind w:left="0" w:leftChars="0" w:firstLine="482" w:firstLineChars="200"/>
              <w:rPr>
                <w:rFonts w:eastAsia="宋体" w:cs="Calibri"/>
                <w:b/>
                <w:bCs/>
                <w:color w:val="000000" w:themeColor="text1"/>
                <w:sz w:val="24"/>
                <w:szCs w:val="21"/>
                <w:highlight w:val="none"/>
                <w14:textFill>
                  <w14:solidFill>
                    <w14:schemeClr w14:val="tx1"/>
                  </w14:solidFill>
                </w14:textFill>
              </w:rPr>
            </w:pPr>
            <w:r>
              <w:rPr>
                <w:rFonts w:hint="eastAsia" w:cs="Times New Roman" w:eastAsiaTheme="minorEastAsia"/>
                <w:b/>
                <w:bCs/>
                <w:color w:val="000000" w:themeColor="text1"/>
                <w:kern w:val="0"/>
                <w:sz w:val="24"/>
                <w:szCs w:val="24"/>
                <w:highlight w:val="none"/>
                <w14:textFill>
                  <w14:solidFill>
                    <w14:schemeClr w14:val="tx1"/>
                  </w14:solidFill>
                </w14:textFill>
              </w:rPr>
              <w:t>其他公辅工程产污环节识别：</w:t>
            </w:r>
          </w:p>
          <w:p w14:paraId="3448C9BC">
            <w:pPr>
              <w:pStyle w:val="43"/>
              <w:spacing w:line="360" w:lineRule="auto"/>
              <w:ind w:firstLine="482"/>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pPr>
            <w:r>
              <w:rPr>
                <w:rFonts w:hint="eastAsia" w:ascii="Times New Roman" w:hAnsi="Times New Roman" w:cs="宋体"/>
                <w:color w:val="000000" w:themeColor="text1"/>
                <w:sz w:val="24"/>
                <w:szCs w:val="24"/>
                <w:highlight w:val="none"/>
                <w14:textFill>
                  <w14:solidFill>
                    <w14:schemeClr w14:val="tx1"/>
                  </w14:solidFill>
                </w14:textFill>
              </w:rPr>
              <w:t>废气处理设施运行过程产生污染物，抛丸废气治理产生的除尘灰S</w:t>
            </w:r>
            <w:r>
              <w:rPr>
                <w:rFonts w:hint="eastAsia" w:ascii="Times New Roman" w:hAnsi="Times New Roman" w:cs="宋体"/>
                <w:color w:val="000000" w:themeColor="text1"/>
                <w:sz w:val="24"/>
                <w:szCs w:val="24"/>
                <w:highlight w:val="none"/>
                <w:lang w:val="en-US" w:eastAsia="zh-CN"/>
                <w14:textFill>
                  <w14:solidFill>
                    <w14:schemeClr w14:val="tx1"/>
                  </w14:solidFill>
                </w14:textFill>
              </w:rPr>
              <w:t>4</w:t>
            </w:r>
            <w:r>
              <w:rPr>
                <w:rFonts w:hint="eastAsia" w:ascii="Times New Roman" w:hAnsi="Times New Roman" w:cs="宋体"/>
                <w:color w:val="000000" w:themeColor="text1"/>
                <w:sz w:val="24"/>
                <w:szCs w:val="24"/>
                <w:highlight w:val="none"/>
                <w14:textFill>
                  <w14:solidFill>
                    <w14:schemeClr w14:val="tx1"/>
                  </w14:solidFill>
                </w14:textFill>
              </w:rPr>
              <w:t>，喷粉废气治理</w:t>
            </w:r>
            <w:r>
              <w:rPr>
                <w:rFonts w:hint="eastAsia" w:ascii="Times New Roman" w:hAnsi="Times New Roman" w:cs="宋体"/>
                <w:color w:val="000000" w:themeColor="text1"/>
                <w:sz w:val="24"/>
                <w:szCs w:val="24"/>
                <w:highlight w:val="none"/>
                <w:lang w:eastAsia="zh-CN"/>
                <w14:textFill>
                  <w14:solidFill>
                    <w14:schemeClr w14:val="tx1"/>
                  </w14:solidFill>
                </w14:textFill>
              </w:rPr>
              <w:t>回收的塑粉</w:t>
            </w:r>
            <w:r>
              <w:rPr>
                <w:rFonts w:hint="eastAsia" w:ascii="Times New Roman" w:hAnsi="Times New Roman" w:cs="宋体"/>
                <w:color w:val="000000" w:themeColor="text1"/>
                <w:sz w:val="24"/>
                <w:szCs w:val="24"/>
                <w:highlight w:val="none"/>
                <w14:textFill>
                  <w14:solidFill>
                    <w14:schemeClr w14:val="tx1"/>
                  </w14:solidFill>
                </w14:textFill>
              </w:rPr>
              <w:t>S</w:t>
            </w:r>
            <w:r>
              <w:rPr>
                <w:rFonts w:hint="eastAsia" w:ascii="Times New Roman" w:hAnsi="Times New Roman" w:cs="宋体"/>
                <w:color w:val="000000" w:themeColor="text1"/>
                <w:sz w:val="24"/>
                <w:szCs w:val="24"/>
                <w:highlight w:val="none"/>
                <w:lang w:val="en-US" w:eastAsia="zh-CN"/>
                <w14:textFill>
                  <w14:solidFill>
                    <w14:schemeClr w14:val="tx1"/>
                  </w14:solidFill>
                </w14:textFill>
              </w:rPr>
              <w:t>5</w:t>
            </w:r>
            <w:r>
              <w:rPr>
                <w:rFonts w:hint="eastAsia" w:ascii="Times New Roman" w:hAnsi="Times New Roman" w:cs="宋体"/>
                <w:color w:val="000000" w:themeColor="text1"/>
                <w:sz w:val="24"/>
                <w:szCs w:val="24"/>
                <w:highlight w:val="none"/>
                <w14:textFill>
                  <w14:solidFill>
                    <w14:schemeClr w14:val="tx1"/>
                  </w14:solidFill>
                </w14:textFill>
              </w:rPr>
              <w:t>，固化废气治理产生的废活性炭S</w:t>
            </w:r>
            <w:r>
              <w:rPr>
                <w:rFonts w:hint="eastAsia" w:ascii="Times New Roman" w:hAnsi="Times New Roman" w:cs="宋体"/>
                <w:color w:val="000000" w:themeColor="text1"/>
                <w:sz w:val="24"/>
                <w:szCs w:val="24"/>
                <w:highlight w:val="none"/>
                <w:lang w:val="en-US" w:eastAsia="zh-CN"/>
                <w14:textFill>
                  <w14:solidFill>
                    <w14:schemeClr w14:val="tx1"/>
                  </w14:solidFill>
                </w14:textFill>
              </w:rPr>
              <w:t>6</w:t>
            </w:r>
            <w:r>
              <w:rPr>
                <w:rFonts w:hint="eastAsia" w:ascii="Times New Roman" w:hAnsi="Times New Roman" w:cs="宋体"/>
                <w:color w:val="000000" w:themeColor="text1"/>
                <w:sz w:val="24"/>
                <w:szCs w:val="24"/>
                <w:highlight w:val="none"/>
                <w14:textFill>
                  <w14:solidFill>
                    <w14:schemeClr w14:val="tx1"/>
                  </w14:solidFill>
                </w14:textFill>
              </w:rPr>
              <w:t>。</w:t>
            </w:r>
          </w:p>
          <w:p w14:paraId="371C7890">
            <w:pPr>
              <w:adjustRightInd w:val="0"/>
              <w:snapToGrid w:val="0"/>
              <w:spacing w:line="360"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项目设备运行过程使用手套、机油进行维护保养，维保过程中产生废油（S</w:t>
            </w:r>
            <w:r>
              <w:rPr>
                <w:rFonts w:hint="eastAsia" w:ascii="Times New Roman" w:hAnsi="Times New Roman" w:eastAsia="宋体"/>
                <w:color w:val="000000" w:themeColor="text1"/>
                <w:sz w:val="24"/>
                <w:highlight w:val="none"/>
                <w:lang w:val="en-US" w:eastAsia="zh-CN"/>
                <w14:textFill>
                  <w14:solidFill>
                    <w14:schemeClr w14:val="tx1"/>
                  </w14:solidFill>
                </w14:textFill>
              </w:rPr>
              <w:t>7</w:t>
            </w:r>
            <w:r>
              <w:rPr>
                <w:rFonts w:hint="eastAsia" w:ascii="Times New Roman" w:hAnsi="Times New Roman" w:eastAsia="宋体"/>
                <w:color w:val="000000" w:themeColor="text1"/>
                <w:sz w:val="24"/>
                <w:highlight w:val="none"/>
                <w14:textFill>
                  <w14:solidFill>
                    <w14:schemeClr w14:val="tx1"/>
                  </w14:solidFill>
                </w14:textFill>
              </w:rPr>
              <w:t>）、废油桶（S</w:t>
            </w:r>
            <w:r>
              <w:rPr>
                <w:rFonts w:hint="eastAsia" w:ascii="Times New Roman" w:hAnsi="Times New Roman" w:eastAsia="宋体"/>
                <w:color w:val="000000" w:themeColor="text1"/>
                <w:sz w:val="24"/>
                <w:highlight w:val="none"/>
                <w:lang w:val="en-US" w:eastAsia="zh-CN"/>
                <w14:textFill>
                  <w14:solidFill>
                    <w14:schemeClr w14:val="tx1"/>
                  </w14:solidFill>
                </w14:textFill>
              </w:rPr>
              <w:t>8</w:t>
            </w:r>
            <w:r>
              <w:rPr>
                <w:rFonts w:hint="eastAsia" w:ascii="Times New Roman" w:hAnsi="Times New Roman" w:eastAsia="宋体"/>
                <w:color w:val="000000" w:themeColor="text1"/>
                <w:sz w:val="24"/>
                <w:highlight w:val="none"/>
                <w14:textFill>
                  <w14:solidFill>
                    <w14:schemeClr w14:val="tx1"/>
                  </w14:solidFill>
                </w14:textFill>
              </w:rPr>
              <w:t>）、含油废棉纱和手套S</w:t>
            </w:r>
            <w:r>
              <w:rPr>
                <w:rFonts w:hint="eastAsia" w:ascii="Times New Roman" w:hAnsi="Times New Roman" w:eastAsia="宋体"/>
                <w:color w:val="000000" w:themeColor="text1"/>
                <w:sz w:val="24"/>
                <w:highlight w:val="none"/>
                <w:lang w:val="en-US" w:eastAsia="zh-CN"/>
                <w14:textFill>
                  <w14:solidFill>
                    <w14:schemeClr w14:val="tx1"/>
                  </w14:solidFill>
                </w14:textFill>
              </w:rPr>
              <w:t>9</w:t>
            </w:r>
            <w:r>
              <w:rPr>
                <w:rFonts w:hint="eastAsia" w:ascii="Times New Roman" w:hAnsi="Times New Roman" w:eastAsia="宋体"/>
                <w:color w:val="000000" w:themeColor="text1"/>
                <w:sz w:val="24"/>
                <w:highlight w:val="none"/>
                <w14:textFill>
                  <w14:solidFill>
                    <w14:schemeClr w14:val="tx1"/>
                  </w14:solidFill>
                </w14:textFill>
              </w:rPr>
              <w:t>；空压机产生的空压机废油液S1</w:t>
            </w:r>
            <w:r>
              <w:rPr>
                <w:rFonts w:hint="eastAsia" w:ascii="Times New Roman" w:hAnsi="Times New Roman" w:eastAsia="宋体"/>
                <w:color w:val="000000" w:themeColor="text1"/>
                <w:sz w:val="24"/>
                <w:highlight w:val="none"/>
                <w:lang w:val="en-US" w:eastAsia="zh-CN"/>
                <w14:textFill>
                  <w14:solidFill>
                    <w14:schemeClr w14:val="tx1"/>
                  </w14:solidFill>
                </w14:textFill>
              </w:rPr>
              <w:t>0</w:t>
            </w:r>
            <w:r>
              <w:rPr>
                <w:rFonts w:hint="eastAsia" w:ascii="Times New Roman" w:hAnsi="Times New Roman" w:eastAsia="宋体"/>
                <w:color w:val="000000" w:themeColor="text1"/>
                <w:sz w:val="24"/>
                <w:highlight w:val="none"/>
                <w14:textFill>
                  <w14:solidFill>
                    <w14:schemeClr w14:val="tx1"/>
                  </w14:solidFill>
                </w14:textFill>
              </w:rPr>
              <w:t>（空压机工作过程中产生的高浓度废油液，主要成分为废矿物油，混有少量空气压缩产生的水分）。</w:t>
            </w:r>
          </w:p>
          <w:p w14:paraId="5A49EEC6">
            <w:pPr>
              <w:pStyle w:val="21"/>
              <w:spacing w:before="0" w:beforeAutospacing="0" w:after="0" w:afterAutospacing="0" w:line="360"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u w:val="single"/>
                <w14:textFill>
                  <w14:solidFill>
                    <w14:schemeClr w14:val="tx1"/>
                  </w14:solidFill>
                </w14:textFill>
              </w:rPr>
              <w:t>项目生产过程中主要产污环节见下表</w:t>
            </w:r>
            <w:r>
              <w:rPr>
                <w:rFonts w:hint="eastAsia" w:ascii="Times New Roman" w:hAnsi="Times New Roman" w:cs="宋体"/>
                <w:color w:val="000000" w:themeColor="text1"/>
                <w:szCs w:val="24"/>
                <w:highlight w:val="none"/>
                <w14:textFill>
                  <w14:solidFill>
                    <w14:schemeClr w14:val="tx1"/>
                  </w14:solidFill>
                </w14:textFill>
              </w:rPr>
              <w:t>：</w:t>
            </w:r>
          </w:p>
          <w:p w14:paraId="615A0030">
            <w:pPr>
              <w:pStyle w:val="21"/>
              <w:spacing w:before="0" w:beforeAutospacing="0" w:after="0" w:afterAutospacing="0" w:line="360" w:lineRule="auto"/>
              <w:jc w:val="center"/>
              <w:rPr>
                <w:rFonts w:ascii="Times New Roman" w:hAnsi="Times New Roman" w:eastAsia="黑体"/>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表2-</w:t>
            </w:r>
            <w:r>
              <w:rPr>
                <w:rFonts w:hint="eastAsia" w:ascii="Times New Roman" w:hAnsi="Times New Roman" w:eastAsia="宋体" w:cs="Times New Roman"/>
                <w:color w:val="000000" w:themeColor="text1"/>
                <w:highlight w:val="none"/>
                <w14:textFill>
                  <w14:solidFill>
                    <w14:schemeClr w14:val="tx1"/>
                  </w14:solidFill>
                </w14:textFill>
              </w:rPr>
              <w:t>10</w:t>
            </w:r>
            <w:r>
              <w:rPr>
                <w:rFonts w:ascii="Times New Roman" w:hAnsi="Times New Roman" w:eastAsia="宋体" w:cs="Times New Roman"/>
                <w:color w:val="000000" w:themeColor="text1"/>
                <w:highlight w:val="none"/>
                <w14:textFill>
                  <w14:solidFill>
                    <w14:schemeClr w14:val="tx1"/>
                  </w14:solidFill>
                </w14:textFill>
              </w:rPr>
              <w:t xml:space="preserve">  产污环节及采取的处置措施</w:t>
            </w:r>
          </w:p>
          <w:tbl>
            <w:tblPr>
              <w:tblStyle w:val="26"/>
              <w:tblW w:w="493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53"/>
              <w:gridCol w:w="903"/>
              <w:gridCol w:w="1629"/>
              <w:gridCol w:w="1717"/>
              <w:gridCol w:w="3334"/>
            </w:tblGrid>
            <w:tr w14:paraId="714DF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tcBorders>
                    <w:tl2br w:val="nil"/>
                    <w:tr2bl w:val="nil"/>
                  </w:tcBorders>
                  <w:vAlign w:val="center"/>
                </w:tcPr>
                <w:p w14:paraId="54C61E9B">
                  <w:pPr>
                    <w:spacing w:before="78" w:beforeLines="25" w:after="78" w:afterLines="25" w:line="300" w:lineRule="auto"/>
                    <w:jc w:val="center"/>
                    <w:rPr>
                      <w:rFonts w:ascii="Times New Roman" w:hAnsi="Times New Roman" w:eastAsia="宋体"/>
                      <w:b/>
                      <w:bCs/>
                      <w:color w:val="000000" w:themeColor="text1"/>
                      <w:spacing w:val="2"/>
                      <w:szCs w:val="21"/>
                      <w:highlight w:val="none"/>
                      <w14:textFill>
                        <w14:solidFill>
                          <w14:schemeClr w14:val="tx1"/>
                        </w14:solidFill>
                      </w14:textFill>
                    </w:rPr>
                  </w:pPr>
                  <w:r>
                    <w:rPr>
                      <w:rFonts w:hint="eastAsia" w:ascii="Times New Roman" w:hAnsi="Times New Roman" w:eastAsia="宋体"/>
                      <w:b/>
                      <w:bCs/>
                      <w:color w:val="000000" w:themeColor="text1"/>
                      <w:spacing w:val="2"/>
                      <w:szCs w:val="21"/>
                      <w:highlight w:val="none"/>
                      <w14:textFill>
                        <w14:solidFill>
                          <w14:schemeClr w14:val="tx1"/>
                        </w14:solidFill>
                      </w14:textFill>
                    </w:rPr>
                    <w:t>类别</w:t>
                  </w:r>
                </w:p>
              </w:tc>
              <w:tc>
                <w:tcPr>
                  <w:tcW w:w="541" w:type="pct"/>
                  <w:tcBorders>
                    <w:tl2br w:val="nil"/>
                    <w:tr2bl w:val="nil"/>
                  </w:tcBorders>
                  <w:vAlign w:val="center"/>
                </w:tcPr>
                <w:p w14:paraId="4F911319">
                  <w:pPr>
                    <w:spacing w:before="78" w:beforeLines="25" w:after="78" w:afterLines="25" w:line="300" w:lineRule="auto"/>
                    <w:jc w:val="center"/>
                    <w:rPr>
                      <w:rFonts w:ascii="Times New Roman" w:hAnsi="Times New Roman" w:eastAsia="宋体"/>
                      <w:b/>
                      <w:bCs/>
                      <w:color w:val="000000" w:themeColor="text1"/>
                      <w:spacing w:val="2"/>
                      <w:szCs w:val="21"/>
                      <w:highlight w:val="none"/>
                      <w14:textFill>
                        <w14:solidFill>
                          <w14:schemeClr w14:val="tx1"/>
                        </w14:solidFill>
                      </w14:textFill>
                    </w:rPr>
                  </w:pPr>
                  <w:r>
                    <w:rPr>
                      <w:rFonts w:hint="eastAsia" w:ascii="Times New Roman" w:hAnsi="Times New Roman" w:eastAsia="宋体"/>
                      <w:b/>
                      <w:bCs/>
                      <w:color w:val="000000" w:themeColor="text1"/>
                      <w:spacing w:val="2"/>
                      <w:szCs w:val="21"/>
                      <w:highlight w:val="none"/>
                      <w14:textFill>
                        <w14:solidFill>
                          <w14:schemeClr w14:val="tx1"/>
                        </w14:solidFill>
                      </w14:textFill>
                    </w:rPr>
                    <w:t>序号</w:t>
                  </w:r>
                </w:p>
              </w:tc>
              <w:tc>
                <w:tcPr>
                  <w:tcW w:w="977" w:type="pct"/>
                  <w:tcBorders>
                    <w:tl2br w:val="nil"/>
                    <w:tr2bl w:val="nil"/>
                  </w:tcBorders>
                  <w:vAlign w:val="center"/>
                </w:tcPr>
                <w:p w14:paraId="0B968A6A">
                  <w:pPr>
                    <w:spacing w:before="78" w:beforeLines="25" w:after="78" w:afterLines="25" w:line="300" w:lineRule="auto"/>
                    <w:jc w:val="center"/>
                    <w:rPr>
                      <w:rFonts w:ascii="Times New Roman" w:hAnsi="Times New Roman" w:eastAsia="宋体"/>
                      <w:b/>
                      <w:bCs/>
                      <w:color w:val="000000" w:themeColor="text1"/>
                      <w:spacing w:val="2"/>
                      <w:szCs w:val="21"/>
                      <w:highlight w:val="none"/>
                      <w14:textFill>
                        <w14:solidFill>
                          <w14:schemeClr w14:val="tx1"/>
                        </w14:solidFill>
                      </w14:textFill>
                    </w:rPr>
                  </w:pPr>
                  <w:r>
                    <w:rPr>
                      <w:rFonts w:hint="eastAsia" w:ascii="Times New Roman" w:hAnsi="Times New Roman" w:eastAsia="宋体"/>
                      <w:b/>
                      <w:bCs/>
                      <w:color w:val="000000" w:themeColor="text1"/>
                      <w:spacing w:val="2"/>
                      <w:szCs w:val="21"/>
                      <w:highlight w:val="none"/>
                      <w14:textFill>
                        <w14:solidFill>
                          <w14:schemeClr w14:val="tx1"/>
                        </w14:solidFill>
                      </w14:textFill>
                    </w:rPr>
                    <w:t>产污环节</w:t>
                  </w:r>
                </w:p>
              </w:tc>
              <w:tc>
                <w:tcPr>
                  <w:tcW w:w="1029" w:type="pct"/>
                  <w:tcBorders>
                    <w:tl2br w:val="nil"/>
                    <w:tr2bl w:val="nil"/>
                  </w:tcBorders>
                  <w:vAlign w:val="center"/>
                </w:tcPr>
                <w:p w14:paraId="2948C04D">
                  <w:pPr>
                    <w:spacing w:before="78" w:beforeLines="25" w:after="78" w:afterLines="25" w:line="300" w:lineRule="auto"/>
                    <w:jc w:val="center"/>
                    <w:rPr>
                      <w:rFonts w:ascii="Times New Roman" w:hAnsi="Times New Roman" w:eastAsia="宋体"/>
                      <w:b/>
                      <w:bCs/>
                      <w:color w:val="000000" w:themeColor="text1"/>
                      <w:spacing w:val="2"/>
                      <w:szCs w:val="21"/>
                      <w:highlight w:val="none"/>
                      <w14:textFill>
                        <w14:solidFill>
                          <w14:schemeClr w14:val="tx1"/>
                        </w14:solidFill>
                      </w14:textFill>
                    </w:rPr>
                  </w:pPr>
                  <w:r>
                    <w:rPr>
                      <w:rFonts w:hint="eastAsia" w:ascii="Times New Roman" w:hAnsi="Times New Roman" w:eastAsia="宋体"/>
                      <w:b/>
                      <w:bCs/>
                      <w:color w:val="000000" w:themeColor="text1"/>
                      <w:spacing w:val="2"/>
                      <w:szCs w:val="21"/>
                      <w:highlight w:val="none"/>
                      <w14:textFill>
                        <w14:solidFill>
                          <w14:schemeClr w14:val="tx1"/>
                        </w14:solidFill>
                      </w14:textFill>
                    </w:rPr>
                    <w:t>污染因子</w:t>
                  </w:r>
                </w:p>
              </w:tc>
              <w:tc>
                <w:tcPr>
                  <w:tcW w:w="1999" w:type="pct"/>
                  <w:tcBorders>
                    <w:tl2br w:val="nil"/>
                    <w:tr2bl w:val="nil"/>
                  </w:tcBorders>
                  <w:vAlign w:val="center"/>
                </w:tcPr>
                <w:p w14:paraId="670621DD">
                  <w:pPr>
                    <w:spacing w:before="78" w:beforeLines="25" w:after="78" w:afterLines="25" w:line="300" w:lineRule="auto"/>
                    <w:jc w:val="center"/>
                    <w:rPr>
                      <w:rFonts w:ascii="Times New Roman" w:hAnsi="Times New Roman" w:eastAsia="宋体"/>
                      <w:b/>
                      <w:bCs/>
                      <w:color w:val="000000" w:themeColor="text1"/>
                      <w:spacing w:val="2"/>
                      <w:szCs w:val="21"/>
                      <w:highlight w:val="none"/>
                      <w14:textFill>
                        <w14:solidFill>
                          <w14:schemeClr w14:val="tx1"/>
                        </w14:solidFill>
                      </w14:textFill>
                    </w:rPr>
                  </w:pPr>
                  <w:r>
                    <w:rPr>
                      <w:rFonts w:hint="eastAsia" w:ascii="Times New Roman" w:hAnsi="Times New Roman" w:eastAsia="宋体"/>
                      <w:b/>
                      <w:bCs/>
                      <w:color w:val="000000" w:themeColor="text1"/>
                      <w:spacing w:val="2"/>
                      <w:szCs w:val="21"/>
                      <w:highlight w:val="none"/>
                      <w14:textFill>
                        <w14:solidFill>
                          <w14:schemeClr w14:val="tx1"/>
                        </w14:solidFill>
                      </w14:textFill>
                    </w:rPr>
                    <w:t>采取的处理措施</w:t>
                  </w:r>
                </w:p>
              </w:tc>
            </w:tr>
            <w:tr w14:paraId="51879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restart"/>
                  <w:tcBorders>
                    <w:tl2br w:val="nil"/>
                    <w:tr2bl w:val="nil"/>
                  </w:tcBorders>
                  <w:vAlign w:val="center"/>
                </w:tcPr>
                <w:p w14:paraId="57207A07">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废气</w:t>
                  </w:r>
                </w:p>
              </w:tc>
              <w:tc>
                <w:tcPr>
                  <w:tcW w:w="541" w:type="pct"/>
                  <w:tcBorders>
                    <w:tl2br w:val="nil"/>
                    <w:tr2bl w:val="nil"/>
                  </w:tcBorders>
                  <w:vAlign w:val="center"/>
                </w:tcPr>
                <w:p w14:paraId="13F64978">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G1</w:t>
                  </w:r>
                </w:p>
              </w:tc>
              <w:tc>
                <w:tcPr>
                  <w:tcW w:w="977" w:type="pct"/>
                  <w:tcBorders>
                    <w:tl2br w:val="nil"/>
                    <w:tr2bl w:val="nil"/>
                  </w:tcBorders>
                  <w:vAlign w:val="center"/>
                </w:tcPr>
                <w:p w14:paraId="6A6D3BC9">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抛丸</w:t>
                  </w:r>
                </w:p>
              </w:tc>
              <w:tc>
                <w:tcPr>
                  <w:tcW w:w="1029" w:type="pct"/>
                  <w:tcBorders>
                    <w:tl2br w:val="nil"/>
                    <w:tr2bl w:val="nil"/>
                  </w:tcBorders>
                  <w:vAlign w:val="center"/>
                </w:tcPr>
                <w:p w14:paraId="7B9B7AE3">
                  <w:pPr>
                    <w:spacing w:before="68" w:beforeLines="22" w:after="68" w:afterLines="22" w:line="296"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颗粒物</w:t>
                  </w:r>
                </w:p>
              </w:tc>
              <w:tc>
                <w:tcPr>
                  <w:tcW w:w="1999" w:type="pct"/>
                  <w:tcBorders>
                    <w:tl2br w:val="nil"/>
                    <w:tr2bl w:val="nil"/>
                  </w:tcBorders>
                  <w:vAlign w:val="center"/>
                </w:tcPr>
                <w:p w14:paraId="16C653BF">
                  <w:pPr>
                    <w:spacing w:before="68" w:beforeLines="22" w:after="68" w:afterLines="22" w:line="296" w:lineRule="auto"/>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kern w:val="44"/>
                      <w:szCs w:val="21"/>
                      <w:highlight w:val="none"/>
                      <w14:textFill>
                        <w14:solidFill>
                          <w14:schemeClr w14:val="tx1"/>
                        </w14:solidFill>
                      </w14:textFill>
                    </w:rPr>
                    <w:t>项目1台抛丸机产生的废气经自带布袋除尘器收集处置后通过1根15m高</w:t>
                  </w:r>
                  <w:r>
                    <w:rPr>
                      <w:rFonts w:hint="eastAsia" w:ascii="Times New Roman" w:hAnsi="Times New Roman" w:eastAsia="宋体"/>
                      <w:b/>
                      <w:bCs/>
                      <w:color w:val="000000" w:themeColor="text1"/>
                      <w:kern w:val="44"/>
                      <w:szCs w:val="21"/>
                      <w:highlight w:val="none"/>
                      <w14:textFill>
                        <w14:solidFill>
                          <w14:schemeClr w14:val="tx1"/>
                        </w14:solidFill>
                      </w14:textFill>
                    </w:rPr>
                    <w:t>DA001</w:t>
                  </w:r>
                  <w:r>
                    <w:rPr>
                      <w:rFonts w:hint="eastAsia" w:ascii="Times New Roman" w:hAnsi="Times New Roman" w:eastAsia="宋体"/>
                      <w:color w:val="000000" w:themeColor="text1"/>
                      <w:kern w:val="44"/>
                      <w:szCs w:val="21"/>
                      <w:highlight w:val="none"/>
                      <w14:textFill>
                        <w14:solidFill>
                          <w14:schemeClr w14:val="tx1"/>
                        </w14:solidFill>
                      </w14:textFill>
                    </w:rPr>
                    <w:t>排气筒引至厂房屋顶排放。</w:t>
                  </w:r>
                </w:p>
              </w:tc>
            </w:tr>
            <w:tr w14:paraId="3610B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5965B666">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vAlign w:val="center"/>
                </w:tcPr>
                <w:p w14:paraId="2E134D09">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G2</w:t>
                  </w:r>
                </w:p>
              </w:tc>
              <w:tc>
                <w:tcPr>
                  <w:tcW w:w="977" w:type="pct"/>
                  <w:vMerge w:val="restart"/>
                  <w:tcBorders>
                    <w:tl2br w:val="nil"/>
                    <w:tr2bl w:val="nil"/>
                  </w:tcBorders>
                  <w:vAlign w:val="center"/>
                </w:tcPr>
                <w:p w14:paraId="357F0DEA">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喷粉</w:t>
                  </w:r>
                </w:p>
              </w:tc>
              <w:tc>
                <w:tcPr>
                  <w:tcW w:w="1029" w:type="pct"/>
                  <w:tcBorders>
                    <w:tl2br w:val="nil"/>
                    <w:tr2bl w:val="nil"/>
                  </w:tcBorders>
                  <w:vAlign w:val="center"/>
                </w:tcPr>
                <w:p w14:paraId="664593F6">
                  <w:pPr>
                    <w:spacing w:before="68" w:beforeLines="22" w:after="68" w:afterLines="22" w:line="296"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颗粒物</w:t>
                  </w:r>
                </w:p>
              </w:tc>
              <w:tc>
                <w:tcPr>
                  <w:tcW w:w="1999" w:type="pct"/>
                  <w:tcBorders>
                    <w:tl2br w:val="nil"/>
                    <w:tr2bl w:val="nil"/>
                  </w:tcBorders>
                  <w:vAlign w:val="center"/>
                </w:tcPr>
                <w:p w14:paraId="164A28EC">
                  <w:pPr>
                    <w:spacing w:before="68" w:beforeLines="22" w:after="68" w:afterLines="22" w:line="296" w:lineRule="auto"/>
                    <w:rPr>
                      <w:rFonts w:ascii="Times New Roman" w:hAnsi="Times New Roman" w:eastAsia="宋体"/>
                      <w:color w:val="000000" w:themeColor="text1"/>
                      <w:kern w:val="44"/>
                      <w:szCs w:val="21"/>
                      <w:highlight w:val="none"/>
                      <w14:textFill>
                        <w14:solidFill>
                          <w14:schemeClr w14:val="tx1"/>
                        </w14:solidFill>
                      </w14:textFill>
                    </w:rPr>
                  </w:pPr>
                  <w:r>
                    <w:rPr>
                      <w:rFonts w:hint="eastAsia" w:ascii="Times New Roman" w:hAnsi="Times New Roman" w:eastAsia="宋体"/>
                      <w:color w:val="000000" w:themeColor="text1"/>
                      <w:kern w:val="44"/>
                      <w:szCs w:val="21"/>
                      <w:highlight w:val="none"/>
                      <w14:textFill>
                        <w14:solidFill>
                          <w14:schemeClr w14:val="tx1"/>
                        </w14:solidFill>
                      </w14:textFill>
                    </w:rPr>
                    <w:t>人工开袋及</w:t>
                  </w:r>
                  <w:r>
                    <w:rPr>
                      <w:rFonts w:hint="eastAsia" w:ascii="Times New Roman" w:hAnsi="Times New Roman" w:eastAsia="宋体"/>
                      <w:color w:val="000000" w:themeColor="text1"/>
                      <w:kern w:val="44"/>
                      <w:szCs w:val="21"/>
                      <w:highlight w:val="none"/>
                      <w:lang w:eastAsia="zh-CN"/>
                      <w14:textFill>
                        <w14:solidFill>
                          <w14:schemeClr w14:val="tx1"/>
                        </w14:solidFill>
                      </w14:textFill>
                    </w:rPr>
                    <w:t>投料</w:t>
                  </w:r>
                  <w:r>
                    <w:rPr>
                      <w:rFonts w:hint="eastAsia" w:ascii="Times New Roman" w:hAnsi="Times New Roman" w:eastAsia="宋体"/>
                      <w:color w:val="000000" w:themeColor="text1"/>
                      <w:kern w:val="44"/>
                      <w:szCs w:val="21"/>
                      <w:highlight w:val="none"/>
                      <w14:textFill>
                        <w14:solidFill>
                          <w14:schemeClr w14:val="tx1"/>
                        </w14:solidFill>
                      </w14:textFill>
                    </w:rPr>
                    <w:t>过程中产生少量粉尘，厂区内无组织排放。</w:t>
                  </w:r>
                </w:p>
              </w:tc>
            </w:tr>
            <w:tr w14:paraId="12989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3A338BDA">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vAlign w:val="center"/>
                </w:tcPr>
                <w:p w14:paraId="668907A1">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G3</w:t>
                  </w:r>
                </w:p>
              </w:tc>
              <w:tc>
                <w:tcPr>
                  <w:tcW w:w="977" w:type="pct"/>
                  <w:vMerge w:val="continue"/>
                  <w:tcBorders>
                    <w:tl2br w:val="nil"/>
                    <w:tr2bl w:val="nil"/>
                  </w:tcBorders>
                  <w:vAlign w:val="center"/>
                </w:tcPr>
                <w:p w14:paraId="31F698BC">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c>
                <w:tcPr>
                  <w:tcW w:w="1029" w:type="pct"/>
                  <w:tcBorders>
                    <w:tl2br w:val="nil"/>
                    <w:tr2bl w:val="nil"/>
                  </w:tcBorders>
                  <w:vAlign w:val="center"/>
                </w:tcPr>
                <w:p w14:paraId="5C4E37B1">
                  <w:pPr>
                    <w:spacing w:before="78" w:beforeLines="25" w:after="78" w:afterLines="25" w:line="300" w:lineRule="auto"/>
                    <w:jc w:val="center"/>
                    <w:rPr>
                      <w:rFonts w:hint="eastAsia" w:ascii="Times New Roman" w:hAnsi="Times New Roman" w:eastAsia="宋体"/>
                      <w:color w:val="000000" w:themeColor="text1"/>
                      <w:spacing w:val="2"/>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颗粒物</w:t>
                  </w:r>
                </w:p>
              </w:tc>
              <w:tc>
                <w:tcPr>
                  <w:tcW w:w="1999" w:type="pct"/>
                  <w:tcBorders>
                    <w:tl2br w:val="nil"/>
                    <w:tr2bl w:val="nil"/>
                  </w:tcBorders>
                  <w:vAlign w:val="center"/>
                </w:tcPr>
                <w:p w14:paraId="3FBB6182">
                  <w:pPr>
                    <w:spacing w:before="78" w:beforeLines="25" w:after="78" w:afterLines="25" w:line="300" w:lineRule="auto"/>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喷粉废气经自带滤筒回收装置处置后经1根15m高</w:t>
                  </w:r>
                  <w:r>
                    <w:rPr>
                      <w:rFonts w:hint="eastAsia" w:ascii="Times New Roman" w:hAnsi="Times New Roman" w:eastAsia="宋体"/>
                      <w:b/>
                      <w:bCs/>
                      <w:color w:val="000000" w:themeColor="text1"/>
                      <w:spacing w:val="2"/>
                      <w:szCs w:val="21"/>
                      <w:highlight w:val="none"/>
                      <w14:textFill>
                        <w14:solidFill>
                          <w14:schemeClr w14:val="tx1"/>
                        </w14:solidFill>
                      </w14:textFill>
                    </w:rPr>
                    <w:t>DA002</w:t>
                  </w:r>
                  <w:r>
                    <w:rPr>
                      <w:rFonts w:hint="eastAsia" w:ascii="Times New Roman" w:hAnsi="Times New Roman" w:eastAsia="宋体"/>
                      <w:color w:val="000000" w:themeColor="text1"/>
                      <w:spacing w:val="2"/>
                      <w:szCs w:val="21"/>
                      <w:highlight w:val="none"/>
                      <w14:textFill>
                        <w14:solidFill>
                          <w14:schemeClr w14:val="tx1"/>
                        </w14:solidFill>
                      </w14:textFill>
                    </w:rPr>
                    <w:t>排气筒引</w:t>
                  </w:r>
                  <w:r>
                    <w:rPr>
                      <w:rFonts w:hint="eastAsia" w:ascii="Times New Roman" w:hAnsi="Times New Roman" w:eastAsia="宋体"/>
                      <w:color w:val="000000" w:themeColor="text1"/>
                      <w:kern w:val="44"/>
                      <w:szCs w:val="21"/>
                      <w:highlight w:val="none"/>
                      <w14:textFill>
                        <w14:solidFill>
                          <w14:schemeClr w14:val="tx1"/>
                        </w14:solidFill>
                      </w14:textFill>
                    </w:rPr>
                    <w:t>至</w:t>
                  </w:r>
                  <w:r>
                    <w:rPr>
                      <w:rFonts w:hint="eastAsia" w:ascii="Times New Roman" w:hAnsi="Times New Roman" w:eastAsia="宋体"/>
                      <w:color w:val="000000" w:themeColor="text1"/>
                      <w:spacing w:val="2"/>
                      <w:szCs w:val="21"/>
                      <w:highlight w:val="none"/>
                      <w14:textFill>
                        <w14:solidFill>
                          <w14:schemeClr w14:val="tx1"/>
                        </w14:solidFill>
                      </w14:textFill>
                    </w:rPr>
                    <w:t>厂房屋顶排放。</w:t>
                  </w:r>
                </w:p>
              </w:tc>
            </w:tr>
            <w:tr w14:paraId="27A32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0375D8DA">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vAlign w:val="center"/>
                </w:tcPr>
                <w:p w14:paraId="5B0CC489">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G4</w:t>
                  </w:r>
                </w:p>
              </w:tc>
              <w:tc>
                <w:tcPr>
                  <w:tcW w:w="977" w:type="pct"/>
                  <w:tcBorders>
                    <w:tl2br w:val="nil"/>
                    <w:tr2bl w:val="nil"/>
                  </w:tcBorders>
                  <w:vAlign w:val="center"/>
                </w:tcPr>
                <w:p w14:paraId="13DCB575">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固化</w:t>
                  </w:r>
                </w:p>
              </w:tc>
              <w:tc>
                <w:tcPr>
                  <w:tcW w:w="1029" w:type="pct"/>
                  <w:tcBorders>
                    <w:tl2br w:val="nil"/>
                    <w:tr2bl w:val="nil"/>
                  </w:tcBorders>
                  <w:vAlign w:val="center"/>
                </w:tcPr>
                <w:p w14:paraId="1529FC62">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非甲烷总烃</w:t>
                  </w:r>
                  <w:r>
                    <w:rPr>
                      <w:rFonts w:hint="eastAsia" w:ascii="Times New Roman" w:hAnsi="Times New Roman" w:eastAsia="宋体"/>
                      <w:color w:val="000000" w:themeColor="text1"/>
                      <w:spacing w:val="2"/>
                      <w:szCs w:val="21"/>
                      <w:highlight w:val="none"/>
                      <w:lang w:eastAsia="zh-CN"/>
                      <w14:textFill>
                        <w14:solidFill>
                          <w14:schemeClr w14:val="tx1"/>
                        </w14:solidFill>
                      </w14:textFill>
                    </w:rPr>
                    <w:t>、</w:t>
                  </w:r>
                  <w:r>
                    <w:rPr>
                      <w:rFonts w:hint="eastAsia" w:ascii="Times New Roman" w:hAnsi="Times New Roman" w:eastAsia="宋体"/>
                      <w:color w:val="000000" w:themeColor="text1"/>
                      <w:spacing w:val="2"/>
                      <w:szCs w:val="21"/>
                      <w:highlight w:val="none"/>
                      <w14:textFill>
                        <w14:solidFill>
                          <w14:schemeClr w14:val="tx1"/>
                        </w14:solidFill>
                      </w14:textFill>
                    </w:rPr>
                    <w:t>二氧化硫、氮氧化物、颗粒物</w:t>
                  </w:r>
                </w:p>
              </w:tc>
              <w:tc>
                <w:tcPr>
                  <w:tcW w:w="1999" w:type="pct"/>
                  <w:tcBorders>
                    <w:tl2br w:val="nil"/>
                    <w:tr2bl w:val="nil"/>
                  </w:tcBorders>
                  <w:vAlign w:val="center"/>
                </w:tcPr>
                <w:p w14:paraId="06C3FBE5">
                  <w:pPr>
                    <w:spacing w:before="78" w:beforeLines="25" w:after="78" w:afterLines="25" w:line="300" w:lineRule="auto"/>
                    <w:rPr>
                      <w:rFonts w:ascii="Times New Roman" w:hAnsi="Times New Roman" w:eastAsia="宋体"/>
                      <w:color w:val="000000" w:themeColor="text1"/>
                      <w:kern w:val="44"/>
                      <w:szCs w:val="21"/>
                      <w:highlight w:val="none"/>
                      <w14:textFill>
                        <w14:solidFill>
                          <w14:schemeClr w14:val="tx1"/>
                        </w14:solidFill>
                      </w14:textFill>
                    </w:rPr>
                  </w:pPr>
                  <w:r>
                    <w:rPr>
                      <w:rFonts w:hint="eastAsia" w:ascii="Times New Roman" w:hAnsi="Times New Roman" w:eastAsia="宋体"/>
                      <w:color w:val="000000" w:themeColor="text1"/>
                      <w:kern w:val="44"/>
                      <w:szCs w:val="21"/>
                      <w:highlight w:val="none"/>
                      <w14:textFill>
                        <w14:solidFill>
                          <w14:schemeClr w14:val="tx1"/>
                        </w14:solidFill>
                      </w14:textFill>
                    </w:rPr>
                    <w:t>固化废气经烘道进出口集气罩收集后进入1套“过滤棉+</w:t>
                  </w:r>
                  <w:r>
                    <w:rPr>
                      <w:rFonts w:hint="eastAsia" w:ascii="Times New Roman" w:hAnsi="Times New Roman" w:eastAsia="宋体"/>
                      <w:color w:val="000000" w:themeColor="text1"/>
                      <w:kern w:val="44"/>
                      <w:szCs w:val="21"/>
                      <w:highlight w:val="none"/>
                      <w:lang w:eastAsia="zh-CN"/>
                      <w14:textFill>
                        <w14:solidFill>
                          <w14:schemeClr w14:val="tx1"/>
                        </w14:solidFill>
                      </w14:textFill>
                    </w:rPr>
                    <w:t>两级</w:t>
                  </w:r>
                  <w:r>
                    <w:rPr>
                      <w:rFonts w:hint="eastAsia" w:ascii="Times New Roman" w:hAnsi="Times New Roman" w:eastAsia="宋体"/>
                      <w:color w:val="000000" w:themeColor="text1"/>
                      <w:kern w:val="44"/>
                      <w:szCs w:val="21"/>
                      <w:highlight w:val="none"/>
                      <w14:textFill>
                        <w14:solidFill>
                          <w14:schemeClr w14:val="tx1"/>
                        </w14:solidFill>
                      </w14:textFill>
                    </w:rPr>
                    <w:t>活性炭”装置处置后经15m高</w:t>
                  </w:r>
                  <w:r>
                    <w:rPr>
                      <w:rFonts w:hint="eastAsia" w:ascii="Times New Roman" w:hAnsi="Times New Roman" w:eastAsia="宋体"/>
                      <w:b/>
                      <w:bCs/>
                      <w:color w:val="000000" w:themeColor="text1"/>
                      <w:kern w:val="44"/>
                      <w:szCs w:val="21"/>
                      <w:highlight w:val="none"/>
                      <w14:textFill>
                        <w14:solidFill>
                          <w14:schemeClr w14:val="tx1"/>
                        </w14:solidFill>
                      </w14:textFill>
                    </w:rPr>
                    <w:t>DA003</w:t>
                  </w:r>
                  <w:r>
                    <w:rPr>
                      <w:rFonts w:hint="eastAsia" w:ascii="Times New Roman" w:hAnsi="Times New Roman" w:eastAsia="宋体"/>
                      <w:color w:val="000000" w:themeColor="text1"/>
                      <w:kern w:val="44"/>
                      <w:szCs w:val="21"/>
                      <w:highlight w:val="none"/>
                      <w14:textFill>
                        <w14:solidFill>
                          <w14:schemeClr w14:val="tx1"/>
                        </w14:solidFill>
                      </w14:textFill>
                    </w:rPr>
                    <w:t>排气筒引至厂房屋顶排放。</w:t>
                  </w:r>
                </w:p>
              </w:tc>
            </w:tr>
            <w:tr w14:paraId="40427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tcBorders>
                    <w:tl2br w:val="nil"/>
                    <w:tr2bl w:val="nil"/>
                  </w:tcBorders>
                  <w:vAlign w:val="center"/>
                </w:tcPr>
                <w:p w14:paraId="3A21C2E2">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废水</w:t>
                  </w:r>
                </w:p>
              </w:tc>
              <w:tc>
                <w:tcPr>
                  <w:tcW w:w="541" w:type="pct"/>
                  <w:tcBorders>
                    <w:tl2br w:val="nil"/>
                    <w:tr2bl w:val="nil"/>
                  </w:tcBorders>
                  <w:vAlign w:val="center"/>
                </w:tcPr>
                <w:p w14:paraId="3C3E19AA">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w:t>
                  </w:r>
                </w:p>
              </w:tc>
              <w:tc>
                <w:tcPr>
                  <w:tcW w:w="977" w:type="pct"/>
                  <w:tcBorders>
                    <w:tl2br w:val="nil"/>
                    <w:tr2bl w:val="nil"/>
                  </w:tcBorders>
                  <w:vAlign w:val="center"/>
                </w:tcPr>
                <w:p w14:paraId="356B6620">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生活污水</w:t>
                  </w:r>
                </w:p>
              </w:tc>
              <w:tc>
                <w:tcPr>
                  <w:tcW w:w="1029" w:type="pct"/>
                  <w:tcBorders>
                    <w:tl2br w:val="nil"/>
                    <w:tr2bl w:val="nil"/>
                  </w:tcBorders>
                  <w:vAlign w:val="center"/>
                </w:tcPr>
                <w:p w14:paraId="7439AB85">
                  <w:pPr>
                    <w:spacing w:before="68" w:beforeLines="22" w:after="68" w:afterLines="22" w:line="296"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pH、</w:t>
                  </w:r>
                  <w:r>
                    <w:rPr>
                      <w:rFonts w:ascii="Times New Roman" w:hAnsi="Times New Roman" w:eastAsia="宋体" w:cs="Times New Roman"/>
                      <w:color w:val="000000" w:themeColor="text1"/>
                      <w:spacing w:val="2"/>
                      <w:szCs w:val="21"/>
                      <w:highlight w:val="none"/>
                      <w14:textFill>
                        <w14:solidFill>
                          <w14:schemeClr w14:val="tx1"/>
                        </w14:solidFill>
                      </w14:textFill>
                    </w:rPr>
                    <w:t>COD、氨氮、</w:t>
                  </w:r>
                  <w:r>
                    <w:rPr>
                      <w:rFonts w:ascii="Times New Roman" w:hAnsi="Times New Roman" w:eastAsia="宋体" w:cs="Times New Roman"/>
                      <w:bCs/>
                      <w:color w:val="000000" w:themeColor="text1"/>
                      <w:highlight w:val="none"/>
                      <w14:textFill>
                        <w14:solidFill>
                          <w14:schemeClr w14:val="tx1"/>
                        </w14:solidFill>
                      </w14:textFill>
                    </w:rPr>
                    <w:t>SS</w:t>
                  </w:r>
                </w:p>
              </w:tc>
              <w:tc>
                <w:tcPr>
                  <w:tcW w:w="1999" w:type="pct"/>
                  <w:tcBorders>
                    <w:tl2br w:val="nil"/>
                    <w:tr2bl w:val="nil"/>
                  </w:tcBorders>
                  <w:vAlign w:val="center"/>
                </w:tcPr>
                <w:p w14:paraId="6375FB9C">
                  <w:pPr>
                    <w:spacing w:before="68" w:beforeLines="22" w:after="68" w:afterLines="22" w:line="296" w:lineRule="auto"/>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依坤坤农业现有</w:t>
                  </w:r>
                  <w:r>
                    <w:rPr>
                      <w:rFonts w:hint="eastAsia" w:ascii="Times New Roman" w:hAnsi="Times New Roman" w:eastAsia="宋体"/>
                      <w:b/>
                      <w:bCs/>
                      <w:color w:val="000000" w:themeColor="text1"/>
                      <w:spacing w:val="2"/>
                      <w:szCs w:val="21"/>
                      <w:highlight w:val="none"/>
                      <w14:textFill>
                        <w14:solidFill>
                          <w14:schemeClr w14:val="tx1"/>
                        </w14:solidFill>
                      </w14:textFill>
                    </w:rPr>
                    <w:t>生化池</w:t>
                  </w:r>
                  <w:r>
                    <w:rPr>
                      <w:rFonts w:hint="eastAsia" w:ascii="Times New Roman" w:hAnsi="Times New Roman" w:eastAsia="宋体"/>
                      <w:color w:val="000000" w:themeColor="text1"/>
                      <w:spacing w:val="2"/>
                      <w:szCs w:val="21"/>
                      <w:highlight w:val="none"/>
                      <w14:textFill>
                        <w14:solidFill>
                          <w14:schemeClr w14:val="tx1"/>
                        </w14:solidFill>
                      </w14:textFill>
                    </w:rPr>
                    <w:t>预处理后，排入园区市政污水管网，进入园区污水处理厂深度处理。</w:t>
                  </w:r>
                </w:p>
              </w:tc>
            </w:tr>
            <w:tr w14:paraId="6CA8E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tcBorders>
                    <w:tl2br w:val="nil"/>
                    <w:tr2bl w:val="nil"/>
                  </w:tcBorders>
                  <w:vAlign w:val="center"/>
                </w:tcPr>
                <w:p w14:paraId="50FE7F6E">
                  <w:pPr>
                    <w:spacing w:before="78" w:beforeLines="25" w:after="78" w:afterLines="25" w:line="300"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噪声</w:t>
                  </w:r>
                </w:p>
              </w:tc>
              <w:tc>
                <w:tcPr>
                  <w:tcW w:w="541" w:type="pct"/>
                  <w:tcBorders>
                    <w:tl2br w:val="nil"/>
                    <w:tr2bl w:val="nil"/>
                  </w:tcBorders>
                  <w:vAlign w:val="center"/>
                </w:tcPr>
                <w:p w14:paraId="4E6B86BC">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N</w:t>
                  </w:r>
                </w:p>
              </w:tc>
              <w:tc>
                <w:tcPr>
                  <w:tcW w:w="977" w:type="pct"/>
                  <w:tcBorders>
                    <w:tl2br w:val="nil"/>
                    <w:tr2bl w:val="nil"/>
                  </w:tcBorders>
                  <w:vAlign w:val="center"/>
                </w:tcPr>
                <w:p w14:paraId="0E1CCA18">
                  <w:pPr>
                    <w:spacing w:before="78" w:beforeLines="25" w:after="78" w:afterLines="25" w:line="300"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设备噪声</w:t>
                  </w:r>
                </w:p>
              </w:tc>
              <w:tc>
                <w:tcPr>
                  <w:tcW w:w="1029" w:type="pct"/>
                  <w:tcBorders>
                    <w:tl2br w:val="nil"/>
                    <w:tr2bl w:val="nil"/>
                  </w:tcBorders>
                  <w:vAlign w:val="center"/>
                </w:tcPr>
                <w:p w14:paraId="0181AE80">
                  <w:pPr>
                    <w:spacing w:before="78" w:beforeLines="25" w:after="78" w:afterLines="25" w:line="296"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噪声</w:t>
                  </w:r>
                </w:p>
              </w:tc>
              <w:tc>
                <w:tcPr>
                  <w:tcW w:w="1999" w:type="pct"/>
                  <w:tcBorders>
                    <w:tl2br w:val="nil"/>
                    <w:tr2bl w:val="nil"/>
                  </w:tcBorders>
                  <w:vAlign w:val="center"/>
                </w:tcPr>
                <w:p w14:paraId="67100551">
                  <w:pPr>
                    <w:spacing w:before="78" w:beforeLines="25" w:after="78" w:afterLines="25" w:line="296" w:lineRule="auto"/>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采用低噪声设备，基础减振、车间隔声、距离衰减等措施。</w:t>
                  </w:r>
                </w:p>
              </w:tc>
            </w:tr>
            <w:tr w14:paraId="1627E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451" w:type="pct"/>
                  <w:vMerge w:val="restart"/>
                  <w:tcBorders>
                    <w:tl2br w:val="nil"/>
                    <w:tr2bl w:val="nil"/>
                  </w:tcBorders>
                  <w:vAlign w:val="center"/>
                </w:tcPr>
                <w:p w14:paraId="2633FEDB">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固废</w:t>
                  </w:r>
                </w:p>
              </w:tc>
              <w:tc>
                <w:tcPr>
                  <w:tcW w:w="541" w:type="pct"/>
                  <w:tcBorders>
                    <w:tl2br w:val="nil"/>
                    <w:tr2bl w:val="nil"/>
                  </w:tcBorders>
                  <w:vAlign w:val="center"/>
                </w:tcPr>
                <w:p w14:paraId="33C4CD49">
                  <w:pPr>
                    <w:spacing w:before="78" w:beforeLines="25" w:after="78" w:afterLines="25" w:line="300"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S1</w:t>
                  </w:r>
                </w:p>
              </w:tc>
              <w:tc>
                <w:tcPr>
                  <w:tcW w:w="977" w:type="pct"/>
                  <w:tcBorders>
                    <w:tl2br w:val="nil"/>
                    <w:tr2bl w:val="nil"/>
                  </w:tcBorders>
                  <w:vAlign w:val="center"/>
                </w:tcPr>
                <w:p w14:paraId="20042610">
                  <w:pPr>
                    <w:spacing w:before="78" w:beforeLines="25" w:after="78" w:afterLines="25" w:line="300"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抛丸</w:t>
                  </w:r>
                </w:p>
              </w:tc>
              <w:tc>
                <w:tcPr>
                  <w:tcW w:w="1029" w:type="pct"/>
                  <w:tcBorders>
                    <w:tl2br w:val="nil"/>
                    <w:tr2bl w:val="nil"/>
                  </w:tcBorders>
                  <w:vAlign w:val="center"/>
                </w:tcPr>
                <w:p w14:paraId="5A3504A9">
                  <w:pPr>
                    <w:spacing w:before="78" w:beforeLines="25" w:after="78" w:afterLines="25" w:line="300"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废钢丸</w:t>
                  </w:r>
                </w:p>
              </w:tc>
              <w:tc>
                <w:tcPr>
                  <w:tcW w:w="1999" w:type="pct"/>
                  <w:vMerge w:val="restart"/>
                  <w:tcBorders>
                    <w:tl2br w:val="nil"/>
                    <w:tr2bl w:val="nil"/>
                  </w:tcBorders>
                  <w:vAlign w:val="center"/>
                </w:tcPr>
                <w:p w14:paraId="3F00A0DC">
                  <w:pPr>
                    <w:spacing w:before="78" w:beforeLines="25" w:after="78" w:afterLines="25" w:line="300" w:lineRule="auto"/>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外售废旧物资回收单位综合利用。</w:t>
                  </w:r>
                </w:p>
              </w:tc>
            </w:tr>
            <w:tr w14:paraId="79708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451" w:type="pct"/>
                  <w:vMerge w:val="continue"/>
                  <w:tcBorders>
                    <w:tl2br w:val="nil"/>
                    <w:tr2bl w:val="nil"/>
                  </w:tcBorders>
                  <w:vAlign w:val="center"/>
                </w:tcPr>
                <w:p w14:paraId="14C05F88">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vAlign w:val="center"/>
                </w:tcPr>
                <w:p w14:paraId="331DB0C2">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S2</w:t>
                  </w:r>
                </w:p>
              </w:tc>
              <w:tc>
                <w:tcPr>
                  <w:tcW w:w="977" w:type="pct"/>
                  <w:tcBorders>
                    <w:tl2br w:val="nil"/>
                    <w:tr2bl w:val="nil"/>
                  </w:tcBorders>
                  <w:vAlign w:val="center"/>
                </w:tcPr>
                <w:p w14:paraId="1512DFD7">
                  <w:pPr>
                    <w:spacing w:before="78" w:beforeLines="25" w:after="78" w:afterLines="25" w:line="300"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喷粉</w:t>
                  </w:r>
                </w:p>
              </w:tc>
              <w:tc>
                <w:tcPr>
                  <w:tcW w:w="1029" w:type="pct"/>
                  <w:tcBorders>
                    <w:tl2br w:val="nil"/>
                    <w:tr2bl w:val="nil"/>
                  </w:tcBorders>
                  <w:vAlign w:val="center"/>
                </w:tcPr>
                <w:p w14:paraId="1021FB06">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废包装</w:t>
                  </w:r>
                </w:p>
              </w:tc>
              <w:tc>
                <w:tcPr>
                  <w:tcW w:w="1999" w:type="pct"/>
                  <w:vMerge w:val="continue"/>
                  <w:tcBorders>
                    <w:tl2br w:val="nil"/>
                    <w:tr2bl w:val="nil"/>
                  </w:tcBorders>
                  <w:vAlign w:val="center"/>
                </w:tcPr>
                <w:p w14:paraId="02A7C656">
                  <w:pPr>
                    <w:spacing w:before="78" w:beforeLines="25" w:after="78" w:afterLines="25" w:line="300" w:lineRule="auto"/>
                    <w:rPr>
                      <w:rFonts w:ascii="Times New Roman" w:hAnsi="Times New Roman" w:eastAsia="宋体"/>
                      <w:color w:val="000000" w:themeColor="text1"/>
                      <w:spacing w:val="2"/>
                      <w:szCs w:val="21"/>
                      <w:highlight w:val="none"/>
                      <w14:textFill>
                        <w14:solidFill>
                          <w14:schemeClr w14:val="tx1"/>
                        </w14:solidFill>
                      </w14:textFill>
                    </w:rPr>
                  </w:pPr>
                </w:p>
              </w:tc>
            </w:tr>
            <w:tr w14:paraId="7A88F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6D864E2B">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vAlign w:val="center"/>
                </w:tcPr>
                <w:p w14:paraId="5471C7AC">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S3</w:t>
                  </w:r>
                </w:p>
              </w:tc>
              <w:tc>
                <w:tcPr>
                  <w:tcW w:w="977" w:type="pct"/>
                  <w:tcBorders>
                    <w:tl2br w:val="nil"/>
                    <w:tr2bl w:val="nil"/>
                  </w:tcBorders>
                  <w:vAlign w:val="center"/>
                </w:tcPr>
                <w:p w14:paraId="2C05FBA9">
                  <w:pPr>
                    <w:spacing w:before="78" w:beforeLines="25" w:after="78" w:afterLines="25" w:line="300"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检验</w:t>
                  </w:r>
                </w:p>
              </w:tc>
              <w:tc>
                <w:tcPr>
                  <w:tcW w:w="1029" w:type="pct"/>
                  <w:tcBorders>
                    <w:tl2br w:val="nil"/>
                    <w:tr2bl w:val="nil"/>
                  </w:tcBorders>
                  <w:vAlign w:val="center"/>
                </w:tcPr>
                <w:p w14:paraId="7C9444A1">
                  <w:pPr>
                    <w:spacing w:before="62" w:beforeLines="20" w:after="62" w:afterLines="20" w:line="296"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次品件</w:t>
                  </w:r>
                </w:p>
              </w:tc>
              <w:tc>
                <w:tcPr>
                  <w:tcW w:w="1999" w:type="pct"/>
                  <w:vMerge w:val="continue"/>
                  <w:tcBorders>
                    <w:tl2br w:val="nil"/>
                    <w:tr2bl w:val="nil"/>
                  </w:tcBorders>
                  <w:vAlign w:val="center"/>
                </w:tcPr>
                <w:p w14:paraId="5F19C434">
                  <w:pPr>
                    <w:spacing w:before="62" w:beforeLines="20" w:after="62" w:afterLines="20" w:line="296" w:lineRule="auto"/>
                    <w:rPr>
                      <w:rFonts w:ascii="Times New Roman" w:hAnsi="Times New Roman" w:eastAsia="宋体"/>
                      <w:color w:val="000000" w:themeColor="text1"/>
                      <w:spacing w:val="2"/>
                      <w:szCs w:val="21"/>
                      <w:highlight w:val="none"/>
                      <w14:textFill>
                        <w14:solidFill>
                          <w14:schemeClr w14:val="tx1"/>
                        </w14:solidFill>
                      </w14:textFill>
                    </w:rPr>
                  </w:pPr>
                </w:p>
              </w:tc>
            </w:tr>
            <w:tr w14:paraId="5B5B6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73B218C5">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vAlign w:val="center"/>
                </w:tcPr>
                <w:p w14:paraId="126D287E">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S4</w:t>
                  </w:r>
                </w:p>
              </w:tc>
              <w:tc>
                <w:tcPr>
                  <w:tcW w:w="977" w:type="pct"/>
                  <w:tcBorders>
                    <w:tl2br w:val="nil"/>
                    <w:tr2bl w:val="nil"/>
                  </w:tcBorders>
                  <w:vAlign w:val="center"/>
                </w:tcPr>
                <w:p w14:paraId="00B7250C">
                  <w:pPr>
                    <w:spacing w:before="78" w:beforeLines="25" w:after="78" w:afterLines="25" w:line="300"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抛丸废气治理</w:t>
                  </w:r>
                </w:p>
              </w:tc>
              <w:tc>
                <w:tcPr>
                  <w:tcW w:w="1029" w:type="pct"/>
                  <w:tcBorders>
                    <w:tl2br w:val="nil"/>
                    <w:tr2bl w:val="nil"/>
                  </w:tcBorders>
                  <w:vAlign w:val="center"/>
                </w:tcPr>
                <w:p w14:paraId="0D14E47A">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除尘灰</w:t>
                  </w:r>
                </w:p>
              </w:tc>
              <w:tc>
                <w:tcPr>
                  <w:tcW w:w="1999" w:type="pct"/>
                  <w:vMerge w:val="continue"/>
                  <w:tcBorders>
                    <w:tl2br w:val="nil"/>
                    <w:tr2bl w:val="nil"/>
                  </w:tcBorders>
                  <w:vAlign w:val="center"/>
                </w:tcPr>
                <w:p w14:paraId="758DC8C0">
                  <w:pPr>
                    <w:spacing w:before="78" w:beforeLines="25" w:after="78" w:afterLines="25" w:line="300" w:lineRule="auto"/>
                    <w:rPr>
                      <w:rFonts w:ascii="Times New Roman" w:hAnsi="Times New Roman" w:eastAsia="宋体"/>
                      <w:color w:val="000000" w:themeColor="text1"/>
                      <w:spacing w:val="2"/>
                      <w:szCs w:val="21"/>
                      <w:highlight w:val="none"/>
                      <w14:textFill>
                        <w14:solidFill>
                          <w14:schemeClr w14:val="tx1"/>
                        </w14:solidFill>
                      </w14:textFill>
                    </w:rPr>
                  </w:pPr>
                </w:p>
              </w:tc>
            </w:tr>
            <w:tr w14:paraId="35150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16271A97">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shd w:val="clear" w:color="auto" w:fill="auto"/>
                  <w:vAlign w:val="center"/>
                </w:tcPr>
                <w:p w14:paraId="2AA225AE">
                  <w:pPr>
                    <w:spacing w:before="78" w:beforeLines="25" w:after="78" w:afterLines="25" w:line="300" w:lineRule="auto"/>
                    <w:jc w:val="center"/>
                    <w:rPr>
                      <w:rFonts w:hint="eastAsia" w:ascii="Times New Roman" w:hAnsi="Times New Roman" w:eastAsia="宋体" w:cstheme="minorBidi"/>
                      <w:color w:val="000000" w:themeColor="text1"/>
                      <w:spacing w:val="2"/>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S</w:t>
                  </w:r>
                  <w:r>
                    <w:rPr>
                      <w:rFonts w:hint="eastAsia" w:ascii="Times New Roman" w:hAnsi="Times New Roman" w:eastAsia="宋体"/>
                      <w:color w:val="000000" w:themeColor="text1"/>
                      <w:spacing w:val="2"/>
                      <w:szCs w:val="21"/>
                      <w:highlight w:val="none"/>
                      <w:lang w:val="en-US" w:eastAsia="zh-CN"/>
                      <w14:textFill>
                        <w14:solidFill>
                          <w14:schemeClr w14:val="tx1"/>
                        </w14:solidFill>
                      </w14:textFill>
                    </w:rPr>
                    <w:t>5</w:t>
                  </w:r>
                </w:p>
              </w:tc>
              <w:tc>
                <w:tcPr>
                  <w:tcW w:w="977" w:type="pct"/>
                  <w:tcBorders>
                    <w:tl2br w:val="nil"/>
                    <w:tr2bl w:val="nil"/>
                  </w:tcBorders>
                  <w:vAlign w:val="center"/>
                </w:tcPr>
                <w:p w14:paraId="298C3FA1">
                  <w:pPr>
                    <w:spacing w:before="78" w:beforeLines="25" w:after="78" w:afterLines="25" w:line="300"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喷粉废气治理</w:t>
                  </w:r>
                </w:p>
              </w:tc>
              <w:tc>
                <w:tcPr>
                  <w:tcW w:w="1029" w:type="pct"/>
                  <w:tcBorders>
                    <w:tl2br w:val="nil"/>
                    <w:tr2bl w:val="nil"/>
                  </w:tcBorders>
                  <w:vAlign w:val="center"/>
                </w:tcPr>
                <w:p w14:paraId="0471DEE8">
                  <w:pPr>
                    <w:spacing w:before="78" w:beforeLines="25" w:after="78" w:afterLines="25" w:line="300" w:lineRule="auto"/>
                    <w:jc w:val="center"/>
                    <w:rPr>
                      <w:rFonts w:hint="eastAsia" w:ascii="Times New Roman" w:hAnsi="Times New Roman" w:eastAsia="宋体"/>
                      <w:color w:val="000000" w:themeColor="text1"/>
                      <w:spacing w:val="2"/>
                      <w:szCs w:val="21"/>
                      <w:highlight w:val="none"/>
                      <w:lang w:eastAsia="zh-CN"/>
                      <w14:textFill>
                        <w14:solidFill>
                          <w14:schemeClr w14:val="tx1"/>
                        </w14:solidFill>
                      </w14:textFill>
                    </w:rPr>
                  </w:pPr>
                  <w:r>
                    <w:rPr>
                      <w:rFonts w:hint="eastAsia" w:ascii="Times New Roman" w:hAnsi="Times New Roman" w:eastAsia="宋体"/>
                      <w:color w:val="000000" w:themeColor="text1"/>
                      <w:spacing w:val="2"/>
                      <w:szCs w:val="21"/>
                      <w:highlight w:val="none"/>
                      <w:lang w:eastAsia="zh-CN"/>
                      <w14:textFill>
                        <w14:solidFill>
                          <w14:schemeClr w14:val="tx1"/>
                        </w14:solidFill>
                      </w14:textFill>
                    </w:rPr>
                    <w:t>回收塑粉</w:t>
                  </w:r>
                </w:p>
              </w:tc>
              <w:tc>
                <w:tcPr>
                  <w:tcW w:w="1999" w:type="pct"/>
                  <w:tcBorders>
                    <w:tl2br w:val="nil"/>
                    <w:tr2bl w:val="nil"/>
                  </w:tcBorders>
                  <w:vAlign w:val="center"/>
                </w:tcPr>
                <w:p w14:paraId="1F810E79">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回用于生产</w:t>
                  </w:r>
                </w:p>
              </w:tc>
            </w:tr>
            <w:tr w14:paraId="28A9A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16" w:hRule="atLeast"/>
                <w:jc w:val="center"/>
              </w:trPr>
              <w:tc>
                <w:tcPr>
                  <w:tcW w:w="451" w:type="pct"/>
                  <w:vMerge w:val="continue"/>
                  <w:tcBorders>
                    <w:tl2br w:val="nil"/>
                    <w:tr2bl w:val="nil"/>
                  </w:tcBorders>
                  <w:vAlign w:val="center"/>
                </w:tcPr>
                <w:p w14:paraId="02CEC281">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shd w:val="clear" w:color="auto" w:fill="auto"/>
                  <w:vAlign w:val="center"/>
                </w:tcPr>
                <w:p w14:paraId="51087706">
                  <w:pPr>
                    <w:spacing w:before="68" w:beforeLines="22" w:after="68" w:afterLines="22" w:line="293" w:lineRule="auto"/>
                    <w:jc w:val="center"/>
                    <w:rPr>
                      <w:rFonts w:hint="eastAsia" w:ascii="Times New Roman" w:hAnsi="Times New Roman" w:eastAsia="宋体" w:cstheme="minorBidi"/>
                      <w:color w:val="000000" w:themeColor="text1"/>
                      <w:spacing w:val="2"/>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S</w:t>
                  </w:r>
                  <w:r>
                    <w:rPr>
                      <w:rFonts w:hint="eastAsia" w:ascii="Times New Roman" w:hAnsi="Times New Roman" w:eastAsia="宋体"/>
                      <w:color w:val="000000" w:themeColor="text1"/>
                      <w:spacing w:val="2"/>
                      <w:szCs w:val="21"/>
                      <w:highlight w:val="none"/>
                      <w:lang w:val="en-US" w:eastAsia="zh-CN"/>
                      <w14:textFill>
                        <w14:solidFill>
                          <w14:schemeClr w14:val="tx1"/>
                        </w14:solidFill>
                      </w14:textFill>
                    </w:rPr>
                    <w:t>6</w:t>
                  </w:r>
                </w:p>
              </w:tc>
              <w:tc>
                <w:tcPr>
                  <w:tcW w:w="977" w:type="pct"/>
                  <w:tcBorders>
                    <w:tl2br w:val="nil"/>
                    <w:tr2bl w:val="nil"/>
                  </w:tcBorders>
                  <w:vAlign w:val="center"/>
                </w:tcPr>
                <w:p w14:paraId="4CCB08CF">
                  <w:pPr>
                    <w:spacing w:before="78" w:beforeLines="25" w:after="78" w:afterLines="25" w:line="300"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固化废气治理</w:t>
                  </w:r>
                </w:p>
              </w:tc>
              <w:tc>
                <w:tcPr>
                  <w:tcW w:w="1029" w:type="pct"/>
                  <w:tcBorders>
                    <w:tl2br w:val="nil"/>
                    <w:tr2bl w:val="nil"/>
                  </w:tcBorders>
                  <w:vAlign w:val="center"/>
                </w:tcPr>
                <w:p w14:paraId="241DBFB3">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废活性炭、废过滤棉</w:t>
                  </w:r>
                </w:p>
              </w:tc>
              <w:tc>
                <w:tcPr>
                  <w:tcW w:w="1999" w:type="pct"/>
                  <w:vMerge w:val="restart"/>
                  <w:tcBorders>
                    <w:tl2br w:val="nil"/>
                    <w:tr2bl w:val="nil"/>
                  </w:tcBorders>
                  <w:vAlign w:val="center"/>
                </w:tcPr>
                <w:p w14:paraId="244FE8FB">
                  <w:pPr>
                    <w:spacing w:before="78" w:beforeLines="25" w:after="78" w:afterLines="25" w:line="300" w:lineRule="auto"/>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属于危险废物，集中收集暂存于危废贮存点，并委托有相应危险废物处置资质单位定期进行转运处置。</w:t>
                  </w:r>
                </w:p>
              </w:tc>
            </w:tr>
            <w:tr w14:paraId="599F6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10493AED">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shd w:val="clear" w:color="auto" w:fill="auto"/>
                  <w:vAlign w:val="center"/>
                </w:tcPr>
                <w:p w14:paraId="646661B3">
                  <w:pPr>
                    <w:spacing w:before="68" w:beforeLines="22" w:after="68" w:afterLines="22" w:line="293" w:lineRule="auto"/>
                    <w:jc w:val="center"/>
                    <w:rPr>
                      <w:rFonts w:hint="eastAsia" w:ascii="Times New Roman" w:hAnsi="Times New Roman" w:eastAsia="宋体" w:cstheme="minorBidi"/>
                      <w:color w:val="000000" w:themeColor="text1"/>
                      <w:spacing w:val="2"/>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S</w:t>
                  </w:r>
                  <w:r>
                    <w:rPr>
                      <w:rFonts w:hint="eastAsia" w:ascii="Times New Roman" w:hAnsi="Times New Roman" w:eastAsia="宋体"/>
                      <w:color w:val="000000" w:themeColor="text1"/>
                      <w:spacing w:val="2"/>
                      <w:szCs w:val="21"/>
                      <w:highlight w:val="none"/>
                      <w:lang w:val="en-US" w:eastAsia="zh-CN"/>
                      <w14:textFill>
                        <w14:solidFill>
                          <w14:schemeClr w14:val="tx1"/>
                        </w14:solidFill>
                      </w14:textFill>
                    </w:rPr>
                    <w:t>7</w:t>
                  </w:r>
                </w:p>
              </w:tc>
              <w:tc>
                <w:tcPr>
                  <w:tcW w:w="977" w:type="pct"/>
                  <w:vMerge w:val="restart"/>
                  <w:tcBorders>
                    <w:tl2br w:val="nil"/>
                    <w:tr2bl w:val="nil"/>
                  </w:tcBorders>
                  <w:vAlign w:val="center"/>
                </w:tcPr>
                <w:p w14:paraId="46BEF46E">
                  <w:pPr>
                    <w:spacing w:before="68" w:beforeLines="22" w:after="68" w:afterLines="22" w:line="293"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设备保养</w:t>
                  </w:r>
                </w:p>
              </w:tc>
              <w:tc>
                <w:tcPr>
                  <w:tcW w:w="1029" w:type="pct"/>
                  <w:tcBorders>
                    <w:tl2br w:val="nil"/>
                    <w:tr2bl w:val="nil"/>
                  </w:tcBorders>
                  <w:vAlign w:val="center"/>
                </w:tcPr>
                <w:p w14:paraId="26B40916">
                  <w:pPr>
                    <w:spacing w:before="68" w:beforeLines="22" w:after="68" w:afterLines="22" w:line="293"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废机油</w:t>
                  </w:r>
                </w:p>
              </w:tc>
              <w:tc>
                <w:tcPr>
                  <w:tcW w:w="1999" w:type="pct"/>
                  <w:vMerge w:val="continue"/>
                  <w:tcBorders>
                    <w:tl2br w:val="nil"/>
                    <w:tr2bl w:val="nil"/>
                  </w:tcBorders>
                  <w:vAlign w:val="center"/>
                </w:tcPr>
                <w:p w14:paraId="63CD64C3">
                  <w:pPr>
                    <w:spacing w:before="78" w:beforeLines="25" w:after="78" w:afterLines="25" w:line="300" w:lineRule="auto"/>
                    <w:rPr>
                      <w:rFonts w:ascii="Times New Roman" w:hAnsi="Times New Roman" w:eastAsia="宋体"/>
                      <w:color w:val="000000" w:themeColor="text1"/>
                      <w:spacing w:val="2"/>
                      <w:szCs w:val="21"/>
                      <w:highlight w:val="none"/>
                      <w14:textFill>
                        <w14:solidFill>
                          <w14:schemeClr w14:val="tx1"/>
                        </w14:solidFill>
                      </w14:textFill>
                    </w:rPr>
                  </w:pPr>
                </w:p>
              </w:tc>
            </w:tr>
            <w:tr w14:paraId="354BF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53A02DF8">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shd w:val="clear" w:color="auto" w:fill="auto"/>
                  <w:vAlign w:val="center"/>
                </w:tcPr>
                <w:p w14:paraId="43105956">
                  <w:pPr>
                    <w:spacing w:before="68" w:beforeLines="22" w:after="68" w:afterLines="22" w:line="293" w:lineRule="auto"/>
                    <w:jc w:val="center"/>
                    <w:rPr>
                      <w:rFonts w:hint="eastAsia" w:ascii="Times New Roman" w:hAnsi="Times New Roman" w:eastAsia="宋体" w:cstheme="minorBidi"/>
                      <w:color w:val="000000" w:themeColor="text1"/>
                      <w:spacing w:val="2"/>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S</w:t>
                  </w:r>
                  <w:r>
                    <w:rPr>
                      <w:rFonts w:hint="eastAsia" w:ascii="Times New Roman" w:hAnsi="Times New Roman" w:eastAsia="宋体"/>
                      <w:color w:val="000000" w:themeColor="text1"/>
                      <w:spacing w:val="2"/>
                      <w:szCs w:val="21"/>
                      <w:highlight w:val="none"/>
                      <w:lang w:val="en-US" w:eastAsia="zh-CN"/>
                      <w14:textFill>
                        <w14:solidFill>
                          <w14:schemeClr w14:val="tx1"/>
                        </w14:solidFill>
                      </w14:textFill>
                    </w:rPr>
                    <w:t>8</w:t>
                  </w:r>
                </w:p>
              </w:tc>
              <w:tc>
                <w:tcPr>
                  <w:tcW w:w="977" w:type="pct"/>
                  <w:vMerge w:val="continue"/>
                  <w:tcBorders>
                    <w:tl2br w:val="nil"/>
                    <w:tr2bl w:val="nil"/>
                  </w:tcBorders>
                  <w:vAlign w:val="center"/>
                </w:tcPr>
                <w:p w14:paraId="654014B4">
                  <w:pPr>
                    <w:spacing w:before="68" w:beforeLines="22" w:after="68" w:afterLines="22" w:line="293"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p>
              </w:tc>
              <w:tc>
                <w:tcPr>
                  <w:tcW w:w="1029" w:type="pct"/>
                  <w:tcBorders>
                    <w:tl2br w:val="nil"/>
                    <w:tr2bl w:val="nil"/>
                  </w:tcBorders>
                  <w:vAlign w:val="center"/>
                </w:tcPr>
                <w:p w14:paraId="66671CC6">
                  <w:pPr>
                    <w:spacing w:before="68" w:beforeLines="22" w:after="68" w:afterLines="22" w:line="293"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废油桶</w:t>
                  </w:r>
                </w:p>
              </w:tc>
              <w:tc>
                <w:tcPr>
                  <w:tcW w:w="1999" w:type="pct"/>
                  <w:vMerge w:val="continue"/>
                  <w:tcBorders>
                    <w:tl2br w:val="nil"/>
                    <w:tr2bl w:val="nil"/>
                  </w:tcBorders>
                  <w:vAlign w:val="center"/>
                </w:tcPr>
                <w:p w14:paraId="1CC7BA8A">
                  <w:pPr>
                    <w:spacing w:before="78" w:beforeLines="25" w:after="78" w:afterLines="25" w:line="300" w:lineRule="auto"/>
                    <w:rPr>
                      <w:rFonts w:ascii="Times New Roman" w:hAnsi="Times New Roman" w:eastAsia="宋体"/>
                      <w:color w:val="000000" w:themeColor="text1"/>
                      <w:spacing w:val="2"/>
                      <w:szCs w:val="21"/>
                      <w:highlight w:val="none"/>
                      <w14:textFill>
                        <w14:solidFill>
                          <w14:schemeClr w14:val="tx1"/>
                        </w14:solidFill>
                      </w14:textFill>
                    </w:rPr>
                  </w:pPr>
                </w:p>
              </w:tc>
            </w:tr>
            <w:tr w14:paraId="13D79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3E06F6C2">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shd w:val="clear" w:color="auto" w:fill="auto"/>
                  <w:vAlign w:val="center"/>
                </w:tcPr>
                <w:p w14:paraId="2C35442C">
                  <w:pPr>
                    <w:spacing w:before="68" w:beforeLines="22" w:after="68" w:afterLines="22" w:line="293" w:lineRule="auto"/>
                    <w:jc w:val="center"/>
                    <w:rPr>
                      <w:rFonts w:hint="eastAsia" w:ascii="Times New Roman" w:hAnsi="Times New Roman" w:eastAsia="宋体" w:cstheme="minorBidi"/>
                      <w:color w:val="000000" w:themeColor="text1"/>
                      <w:spacing w:val="2"/>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S</w:t>
                  </w:r>
                  <w:r>
                    <w:rPr>
                      <w:rFonts w:hint="eastAsia" w:ascii="Times New Roman" w:hAnsi="Times New Roman" w:eastAsia="宋体"/>
                      <w:color w:val="000000" w:themeColor="text1"/>
                      <w:spacing w:val="2"/>
                      <w:szCs w:val="21"/>
                      <w:highlight w:val="none"/>
                      <w:lang w:val="en-US" w:eastAsia="zh-CN"/>
                      <w14:textFill>
                        <w14:solidFill>
                          <w14:schemeClr w14:val="tx1"/>
                        </w14:solidFill>
                      </w14:textFill>
                    </w:rPr>
                    <w:t>9</w:t>
                  </w:r>
                </w:p>
              </w:tc>
              <w:tc>
                <w:tcPr>
                  <w:tcW w:w="977" w:type="pct"/>
                  <w:vMerge w:val="continue"/>
                  <w:tcBorders>
                    <w:tl2br w:val="nil"/>
                    <w:tr2bl w:val="nil"/>
                  </w:tcBorders>
                  <w:vAlign w:val="center"/>
                </w:tcPr>
                <w:p w14:paraId="128521B5">
                  <w:pPr>
                    <w:spacing w:before="68" w:beforeLines="22" w:after="68" w:afterLines="22" w:line="293"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p>
              </w:tc>
              <w:tc>
                <w:tcPr>
                  <w:tcW w:w="1029" w:type="pct"/>
                  <w:tcBorders>
                    <w:tl2br w:val="nil"/>
                    <w:tr2bl w:val="nil"/>
                  </w:tcBorders>
                  <w:vAlign w:val="center"/>
                </w:tcPr>
                <w:p w14:paraId="186AC871">
                  <w:pPr>
                    <w:spacing w:before="68" w:beforeLines="22" w:after="68" w:afterLines="22" w:line="293"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含油废棉纱手套</w:t>
                  </w:r>
                </w:p>
              </w:tc>
              <w:tc>
                <w:tcPr>
                  <w:tcW w:w="1999" w:type="pct"/>
                  <w:vMerge w:val="continue"/>
                  <w:tcBorders>
                    <w:tl2br w:val="nil"/>
                    <w:tr2bl w:val="nil"/>
                  </w:tcBorders>
                  <w:vAlign w:val="center"/>
                </w:tcPr>
                <w:p w14:paraId="5398468E">
                  <w:pPr>
                    <w:spacing w:before="78" w:beforeLines="25" w:after="78" w:afterLines="25" w:line="300" w:lineRule="auto"/>
                    <w:rPr>
                      <w:rFonts w:ascii="Times New Roman" w:hAnsi="Times New Roman" w:eastAsia="宋体"/>
                      <w:color w:val="000000" w:themeColor="text1"/>
                      <w:spacing w:val="2"/>
                      <w:szCs w:val="21"/>
                      <w:highlight w:val="none"/>
                      <w14:textFill>
                        <w14:solidFill>
                          <w14:schemeClr w14:val="tx1"/>
                        </w14:solidFill>
                      </w14:textFill>
                    </w:rPr>
                  </w:pPr>
                </w:p>
              </w:tc>
            </w:tr>
            <w:tr w14:paraId="0CAF3D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51" w:type="pct"/>
                  <w:vMerge w:val="continue"/>
                  <w:tcBorders>
                    <w:tl2br w:val="nil"/>
                    <w:tr2bl w:val="nil"/>
                  </w:tcBorders>
                  <w:vAlign w:val="center"/>
                </w:tcPr>
                <w:p w14:paraId="5091CFAA">
                  <w:pPr>
                    <w:spacing w:before="78" w:beforeLines="25" w:after="78" w:afterLines="25" w:line="300" w:lineRule="auto"/>
                    <w:jc w:val="center"/>
                    <w:rPr>
                      <w:rFonts w:ascii="Times New Roman" w:hAnsi="Times New Roman" w:eastAsia="宋体"/>
                      <w:color w:val="000000" w:themeColor="text1"/>
                      <w:spacing w:val="2"/>
                      <w:szCs w:val="21"/>
                      <w:highlight w:val="none"/>
                      <w14:textFill>
                        <w14:solidFill>
                          <w14:schemeClr w14:val="tx1"/>
                        </w14:solidFill>
                      </w14:textFill>
                    </w:rPr>
                  </w:pPr>
                </w:p>
              </w:tc>
              <w:tc>
                <w:tcPr>
                  <w:tcW w:w="541" w:type="pct"/>
                  <w:tcBorders>
                    <w:tl2br w:val="nil"/>
                    <w:tr2bl w:val="nil"/>
                  </w:tcBorders>
                  <w:vAlign w:val="center"/>
                </w:tcPr>
                <w:p w14:paraId="04D88D7F">
                  <w:pPr>
                    <w:spacing w:before="68" w:beforeLines="22" w:after="68" w:afterLines="22" w:line="293" w:lineRule="auto"/>
                    <w:jc w:val="center"/>
                    <w:rPr>
                      <w:rFonts w:hint="eastAsia" w:ascii="Times New Roman" w:hAnsi="Times New Roman" w:eastAsia="宋体"/>
                      <w:color w:val="000000" w:themeColor="text1"/>
                      <w:spacing w:val="2"/>
                      <w:szCs w:val="21"/>
                      <w:highlight w:val="none"/>
                      <w:lang w:val="en-US" w:eastAsia="zh-CN"/>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S1</w:t>
                  </w:r>
                  <w:r>
                    <w:rPr>
                      <w:rFonts w:hint="eastAsia" w:ascii="Times New Roman" w:hAnsi="Times New Roman" w:eastAsia="宋体"/>
                      <w:color w:val="000000" w:themeColor="text1"/>
                      <w:spacing w:val="2"/>
                      <w:szCs w:val="21"/>
                      <w:highlight w:val="none"/>
                      <w:lang w:val="en-US" w:eastAsia="zh-CN"/>
                      <w14:textFill>
                        <w14:solidFill>
                          <w14:schemeClr w14:val="tx1"/>
                        </w14:solidFill>
                      </w14:textFill>
                    </w:rPr>
                    <w:t>0</w:t>
                  </w:r>
                </w:p>
              </w:tc>
              <w:tc>
                <w:tcPr>
                  <w:tcW w:w="977" w:type="pct"/>
                  <w:tcBorders>
                    <w:tl2br w:val="nil"/>
                    <w:tr2bl w:val="nil"/>
                  </w:tcBorders>
                  <w:vAlign w:val="center"/>
                </w:tcPr>
                <w:p w14:paraId="02B8E15C">
                  <w:pPr>
                    <w:spacing w:before="68" w:beforeLines="22" w:after="68" w:afterLines="22" w:line="293" w:lineRule="auto"/>
                    <w:jc w:val="center"/>
                    <w:rPr>
                      <w:rFonts w:ascii="Times New Roman" w:hAnsi="Times New Roman" w:eastAsia="宋体" w:cs="Times New Roman"/>
                      <w:color w:val="000000" w:themeColor="text1"/>
                      <w:spacing w:val="2"/>
                      <w:szCs w:val="21"/>
                      <w:highlight w:val="none"/>
                      <w14:textFill>
                        <w14:solidFill>
                          <w14:schemeClr w14:val="tx1"/>
                        </w14:solidFill>
                      </w14:textFill>
                    </w:rPr>
                  </w:pPr>
                  <w:r>
                    <w:rPr>
                      <w:rFonts w:hint="eastAsia" w:ascii="Times New Roman" w:hAnsi="Times New Roman" w:eastAsia="宋体" w:cs="Times New Roman"/>
                      <w:color w:val="000000" w:themeColor="text1"/>
                      <w:spacing w:val="2"/>
                      <w:szCs w:val="21"/>
                      <w:highlight w:val="none"/>
                      <w14:textFill>
                        <w14:solidFill>
                          <w14:schemeClr w14:val="tx1"/>
                        </w14:solidFill>
                      </w14:textFill>
                    </w:rPr>
                    <w:t>压缩空气加工</w:t>
                  </w:r>
                </w:p>
              </w:tc>
              <w:tc>
                <w:tcPr>
                  <w:tcW w:w="1029" w:type="pct"/>
                  <w:tcBorders>
                    <w:tl2br w:val="nil"/>
                    <w:tr2bl w:val="nil"/>
                  </w:tcBorders>
                  <w:vAlign w:val="center"/>
                </w:tcPr>
                <w:p w14:paraId="09AA3DF3">
                  <w:pPr>
                    <w:spacing w:before="68" w:beforeLines="22" w:after="68" w:afterLines="22" w:line="293" w:lineRule="auto"/>
                    <w:jc w:val="center"/>
                    <w:rPr>
                      <w:rFonts w:ascii="Times New Roman" w:hAnsi="Times New Roman" w:eastAsia="宋体"/>
                      <w:color w:val="000000" w:themeColor="text1"/>
                      <w:spacing w:val="2"/>
                      <w:szCs w:val="21"/>
                      <w:highlight w:val="none"/>
                      <w14:textFill>
                        <w14:solidFill>
                          <w14:schemeClr w14:val="tx1"/>
                        </w14:solidFill>
                      </w14:textFill>
                    </w:rPr>
                  </w:pPr>
                  <w:r>
                    <w:rPr>
                      <w:rFonts w:hint="eastAsia" w:ascii="Times New Roman" w:hAnsi="Times New Roman" w:eastAsia="宋体"/>
                      <w:color w:val="000000" w:themeColor="text1"/>
                      <w:spacing w:val="2"/>
                      <w:szCs w:val="21"/>
                      <w:highlight w:val="none"/>
                      <w14:textFill>
                        <w14:solidFill>
                          <w14:schemeClr w14:val="tx1"/>
                        </w14:solidFill>
                      </w14:textFill>
                    </w:rPr>
                    <w:t>空压机废油液</w:t>
                  </w:r>
                </w:p>
              </w:tc>
              <w:tc>
                <w:tcPr>
                  <w:tcW w:w="1999" w:type="pct"/>
                  <w:vMerge w:val="continue"/>
                  <w:tcBorders>
                    <w:tl2br w:val="nil"/>
                    <w:tr2bl w:val="nil"/>
                  </w:tcBorders>
                  <w:vAlign w:val="center"/>
                </w:tcPr>
                <w:p w14:paraId="6317373E">
                  <w:pPr>
                    <w:spacing w:before="78" w:beforeLines="25" w:after="78" w:afterLines="25" w:line="300" w:lineRule="auto"/>
                    <w:rPr>
                      <w:rFonts w:ascii="Times New Roman" w:hAnsi="Times New Roman" w:eastAsia="宋体"/>
                      <w:color w:val="000000" w:themeColor="text1"/>
                      <w:spacing w:val="2"/>
                      <w:szCs w:val="21"/>
                      <w:highlight w:val="none"/>
                      <w14:textFill>
                        <w14:solidFill>
                          <w14:schemeClr w14:val="tx1"/>
                        </w14:solidFill>
                      </w14:textFill>
                    </w:rPr>
                  </w:pPr>
                </w:p>
              </w:tc>
            </w:tr>
          </w:tbl>
          <w:p w14:paraId="2DEE0B55">
            <w:pPr>
              <w:spacing w:line="372" w:lineRule="auto"/>
              <w:ind w:firstLine="420" w:firstLineChars="200"/>
              <w:rPr>
                <w:rFonts w:ascii="Times New Roman" w:hAnsi="Times New Roman"/>
                <w:color w:val="000000" w:themeColor="text1"/>
                <w:highlight w:val="none"/>
                <w14:textFill>
                  <w14:solidFill>
                    <w14:schemeClr w14:val="tx1"/>
                  </w14:solidFill>
                </w14:textFill>
              </w:rPr>
            </w:pPr>
          </w:p>
        </w:tc>
      </w:tr>
      <w:tr w14:paraId="2005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949" w:hRule="atLeast"/>
        </w:trPr>
        <w:tc>
          <w:tcPr>
            <w:tcW w:w="357" w:type="pct"/>
            <w:vAlign w:val="center"/>
          </w:tcPr>
          <w:p w14:paraId="531ED065">
            <w:pPr>
              <w:spacing w:line="360" w:lineRule="auto"/>
              <w:jc w:val="center"/>
              <w:rPr>
                <w:rFonts w:ascii="Times New Roman" w:hAnsi="Times New Roman"/>
                <w:b/>
                <w:bCs/>
                <w:color w:val="000000" w:themeColor="text1"/>
                <w:sz w:val="24"/>
                <w:highlight w:val="none"/>
                <w14:textFill>
                  <w14:solidFill>
                    <w14:schemeClr w14:val="tx1"/>
                  </w14:solidFill>
                </w14:textFill>
              </w:rPr>
            </w:pPr>
            <w:r>
              <w:rPr>
                <w:rFonts w:hint="eastAsia" w:ascii="Times New Roman" w:hAnsi="Times New Roman" w:cs="宋体"/>
                <w:b/>
                <w:bCs/>
                <w:color w:val="000000" w:themeColor="text1"/>
                <w:sz w:val="24"/>
                <w:highlight w:val="none"/>
                <w14:textFill>
                  <w14:solidFill>
                    <w14:schemeClr w14:val="tx1"/>
                  </w14:solidFill>
                </w14:textFill>
              </w:rPr>
              <w:t>与项目有关的原有环境污染问题</w:t>
            </w:r>
          </w:p>
        </w:tc>
        <w:tc>
          <w:tcPr>
            <w:tcW w:w="4642" w:type="pct"/>
          </w:tcPr>
          <w:p w14:paraId="602DA554">
            <w:pPr>
              <w:spacing w:line="372"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2.12与项目有关的原有环境污染问题</w:t>
            </w:r>
          </w:p>
          <w:p w14:paraId="449EED5F">
            <w:pPr>
              <w:pStyle w:val="25"/>
              <w:spacing w:after="0"/>
              <w:ind w:left="0" w:leftChars="0" w:firstLine="480" w:firstLineChars="200"/>
              <w:rPr>
                <w:rFonts w:ascii="Times New Roman" w:hAnsi="Times New Roman"/>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重庆市九龙坡区渝军金属加工厂</w:t>
            </w:r>
            <w:r>
              <w:rPr>
                <w:rFonts w:eastAsia="宋体" w:cs="Times New Roman"/>
                <w:color w:val="000000" w:themeColor="text1"/>
                <w:sz w:val="24"/>
                <w:szCs w:val="24"/>
                <w:highlight w:val="none"/>
                <w14:textFill>
                  <w14:solidFill>
                    <w14:schemeClr w14:val="tx1"/>
                  </w14:solidFill>
                </w14:textFill>
              </w:rPr>
              <w:t>租用</w:t>
            </w:r>
            <w:r>
              <w:rPr>
                <w:rFonts w:hint="eastAsia" w:eastAsia="宋体" w:cs="Times New Roman"/>
                <w:color w:val="000000" w:themeColor="text1"/>
                <w:sz w:val="24"/>
                <w:szCs w:val="24"/>
                <w:highlight w:val="none"/>
                <w14:textFill>
                  <w14:solidFill>
                    <w14:schemeClr w14:val="tx1"/>
                  </w14:solidFill>
                </w14:textFill>
              </w:rPr>
              <w:t>重庆坤坤农业装备制造有限公司</w:t>
            </w:r>
            <w:r>
              <w:rPr>
                <w:rFonts w:eastAsia="宋体" w:cs="Times New Roman"/>
                <w:color w:val="000000" w:themeColor="text1"/>
                <w:sz w:val="24"/>
                <w:szCs w:val="24"/>
                <w:highlight w:val="none"/>
                <w14:textFill>
                  <w14:solidFill>
                    <w14:schemeClr w14:val="tx1"/>
                  </w14:solidFill>
                </w14:textFill>
              </w:rPr>
              <w:t>现有厂房建设</w:t>
            </w:r>
            <w:r>
              <w:rPr>
                <w:rFonts w:hint="eastAsia" w:eastAsia="宋体" w:cs="Times New Roman"/>
                <w:color w:val="000000" w:themeColor="text1"/>
                <w:sz w:val="24"/>
                <w:szCs w:val="24"/>
                <w:highlight w:val="none"/>
                <w14:textFill>
                  <w14:solidFill>
                    <w14:schemeClr w14:val="tx1"/>
                  </w14:solidFill>
                </w14:textFill>
              </w:rPr>
              <w:t>“渝军摩托车零部件加工项目”</w:t>
            </w:r>
            <w:r>
              <w:rPr>
                <w:rFonts w:eastAsia="宋体" w:cs="Times New Roman"/>
                <w:color w:val="000000" w:themeColor="text1"/>
                <w:sz w:val="24"/>
                <w:szCs w:val="24"/>
                <w:highlight w:val="none"/>
                <w14:textFill>
                  <w14:solidFill>
                    <w14:schemeClr w14:val="tx1"/>
                  </w14:solidFill>
                </w14:textFill>
              </w:rPr>
              <w:t>，</w:t>
            </w:r>
            <w:r>
              <w:rPr>
                <w:rFonts w:hint="eastAsia" w:eastAsia="宋体" w:cs="Times New Roman"/>
                <w:color w:val="000000" w:themeColor="text1"/>
                <w:sz w:val="24"/>
                <w:szCs w:val="24"/>
                <w:highlight w:val="none"/>
                <w14:textFill>
                  <w14:solidFill>
                    <w14:schemeClr w14:val="tx1"/>
                  </w14:solidFill>
                </w14:textFill>
              </w:rPr>
              <w:t>租赁</w:t>
            </w:r>
            <w:r>
              <w:rPr>
                <w:rFonts w:eastAsia="宋体" w:cs="Times New Roman"/>
                <w:color w:val="000000" w:themeColor="text1"/>
                <w:sz w:val="24"/>
                <w:szCs w:val="24"/>
                <w:highlight w:val="none"/>
                <w14:textFill>
                  <w14:solidFill>
                    <w14:schemeClr w14:val="tx1"/>
                  </w14:solidFill>
                </w14:textFill>
              </w:rPr>
              <w:t>厂房</w:t>
            </w:r>
            <w:r>
              <w:rPr>
                <w:rFonts w:hint="eastAsia" w:eastAsia="宋体" w:cs="Times New Roman"/>
                <w:color w:val="000000" w:themeColor="text1"/>
                <w:sz w:val="24"/>
                <w:szCs w:val="24"/>
                <w:highlight w:val="none"/>
                <w:lang w:eastAsia="zh-CN"/>
                <w14:textFill>
                  <w14:solidFill>
                    <w14:schemeClr w14:val="tx1"/>
                  </w14:solidFill>
                </w14:textFill>
              </w:rPr>
              <w:t>原为坤坤农业公司成品库房，坤坤农业公司已对原有堆存的产品进行清理，目前厂房空置，不存在原有环境污染问题。</w:t>
            </w:r>
            <w:r>
              <w:rPr>
                <w:rFonts w:eastAsia="宋体" w:cs="Times New Roman"/>
                <w:color w:val="000000" w:themeColor="text1"/>
                <w:sz w:val="24"/>
                <w:szCs w:val="24"/>
                <w:highlight w:val="none"/>
                <w14:textFill>
                  <w14:solidFill>
                    <w14:schemeClr w14:val="tx1"/>
                  </w14:solidFill>
                </w14:textFill>
              </w:rPr>
              <w:t>租房合同</w:t>
            </w:r>
            <w:r>
              <w:rPr>
                <w:rFonts w:hint="eastAsia" w:eastAsia="宋体" w:cs="Times New Roman"/>
                <w:color w:val="000000" w:themeColor="text1"/>
                <w:sz w:val="24"/>
                <w:szCs w:val="24"/>
                <w:highlight w:val="none"/>
                <w14:textFill>
                  <w14:solidFill>
                    <w14:schemeClr w14:val="tx1"/>
                  </w14:solidFill>
                </w14:textFill>
              </w:rPr>
              <w:t>详见</w:t>
            </w:r>
            <w:r>
              <w:rPr>
                <w:rFonts w:eastAsia="宋体" w:cs="Times New Roman"/>
                <w:color w:val="000000" w:themeColor="text1"/>
                <w:sz w:val="24"/>
                <w:szCs w:val="24"/>
                <w:highlight w:val="none"/>
                <w14:textFill>
                  <w14:solidFill>
                    <w14:schemeClr w14:val="tx1"/>
                  </w14:solidFill>
                </w14:textFill>
              </w:rPr>
              <w:t>附件</w:t>
            </w:r>
            <w:r>
              <w:rPr>
                <w:rFonts w:hint="eastAsia" w:eastAsia="宋体" w:cs="Times New Roman"/>
                <w:color w:val="000000" w:themeColor="text1"/>
                <w:sz w:val="24"/>
                <w:szCs w:val="24"/>
                <w:highlight w:val="none"/>
                <w14:textFill>
                  <w14:solidFill>
                    <w14:schemeClr w14:val="tx1"/>
                  </w14:solidFill>
                </w14:textFill>
              </w:rPr>
              <w:t>4</w:t>
            </w:r>
            <w:r>
              <w:rPr>
                <w:rFonts w:hint="eastAsia" w:eastAsia="宋体" w:cs="Times New Roman"/>
                <w:color w:val="000000" w:themeColor="text1"/>
                <w:sz w:val="24"/>
                <w:szCs w:val="24"/>
                <w:highlight w:val="none"/>
                <w14:textFill>
                  <w14:solidFill>
                    <w14:schemeClr w14:val="tx1"/>
                  </w14:solidFill>
                </w14:textFill>
              </w:rPr>
              <w:t>。</w:t>
            </w:r>
          </w:p>
        </w:tc>
      </w:tr>
    </w:tbl>
    <w:p w14:paraId="036370F2">
      <w:pPr>
        <w:pStyle w:val="21"/>
        <w:widowControl w:val="0"/>
        <w:spacing w:before="31" w:beforeLines="10" w:beforeAutospacing="0" w:after="31" w:afterLines="10" w:afterAutospacing="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pgSz w:w="11906" w:h="16838"/>
          <w:pgMar w:top="1440" w:right="1344" w:bottom="1440" w:left="1514" w:header="851" w:footer="992" w:gutter="0"/>
          <w:pgNumType w:fmt="numberInDash"/>
          <w:cols w:space="425" w:num="1"/>
          <w:docGrid w:type="lines" w:linePitch="312" w:charSpace="0"/>
        </w:sectPr>
      </w:pPr>
      <w:bookmarkStart w:id="8" w:name="_Toc10269"/>
    </w:p>
    <w:p w14:paraId="18F0B4A8">
      <w:pPr>
        <w:pStyle w:val="21"/>
        <w:widowControl w:val="0"/>
        <w:spacing w:before="31" w:beforeLines="10" w:beforeAutospacing="0" w:after="31" w:afterLines="10" w:afterAutospacing="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hint="eastAsia" w:ascii="Times New Roman" w:hAnsi="Times New Roman" w:eastAsia="黑体"/>
          <w:snapToGrid w:val="0"/>
          <w:color w:val="000000" w:themeColor="text1"/>
          <w:sz w:val="30"/>
          <w:szCs w:val="30"/>
          <w:highlight w:val="none"/>
          <w14:textFill>
            <w14:solidFill>
              <w14:schemeClr w14:val="tx1"/>
            </w14:solidFill>
          </w14:textFill>
        </w:rPr>
        <w:t>三、区域环境质量现状、环境保护目标及评价标准</w:t>
      </w:r>
      <w:bookmarkEnd w:id="8"/>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53"/>
        <w:gridCol w:w="8809"/>
      </w:tblGrid>
      <w:tr w14:paraId="077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771" w:hRule="atLeast"/>
        </w:trPr>
        <w:tc>
          <w:tcPr>
            <w:tcW w:w="365" w:type="pct"/>
            <w:vAlign w:val="center"/>
          </w:tcPr>
          <w:p w14:paraId="654F421B">
            <w:pPr>
              <w:spacing w:line="360" w:lineRule="auto"/>
              <w:jc w:val="center"/>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s="宋体"/>
                <w:b/>
                <w:bCs/>
                <w:color w:val="000000" w:themeColor="text1"/>
                <w:kern w:val="0"/>
                <w:sz w:val="24"/>
                <w:highlight w:val="none"/>
                <w14:textFill>
                  <w14:solidFill>
                    <w14:schemeClr w14:val="tx1"/>
                  </w14:solidFill>
                </w14:textFill>
              </w:rPr>
              <w:t>区域环境质量现状</w:t>
            </w:r>
          </w:p>
        </w:tc>
        <w:tc>
          <w:tcPr>
            <w:tcW w:w="4634" w:type="pct"/>
          </w:tcPr>
          <w:p w14:paraId="2CA8050A">
            <w:pPr>
              <w:pStyle w:val="21"/>
              <w:spacing w:before="31" w:beforeLines="10" w:beforeAutospacing="0" w:after="31" w:afterLines="10" w:afterAutospacing="0" w:line="372" w:lineRule="auto"/>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3.1、环境空气质量现状</w:t>
            </w:r>
          </w:p>
          <w:p w14:paraId="44D61471">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项目位于重庆市西彭工业园，根据《重庆市人民政府关于印发重庆市环境空气质量功能区划分规定的通知》（渝府发〔2016〕19号），项目所在区域环境空气质量功能属二类区域，环境空气质量执行《环境空气质量标准》（GB 3095-2012）二级标准。</w:t>
            </w:r>
          </w:p>
          <w:p w14:paraId="63DB1BA6">
            <w:pPr>
              <w:pStyle w:val="21"/>
              <w:spacing w:before="31" w:beforeLines="10" w:beforeAutospacing="0" w:after="31" w:afterLines="10" w:afterAutospacing="0" w:line="372" w:lineRule="auto"/>
              <w:ind w:firstLine="482"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1）常规污染物</w:t>
            </w:r>
          </w:p>
          <w:p w14:paraId="67C09F05">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评价引用重庆市生态环境局公布的《2024重庆市生态环境状况公报》中九龙坡区环境大气质量状况数据，项目区域环境空气质量状况评价见表3-1。</w:t>
            </w:r>
          </w:p>
          <w:p w14:paraId="63A17C59">
            <w:pPr>
              <w:pStyle w:val="21"/>
              <w:spacing w:before="0" w:beforeAutospacing="0" w:after="0" w:afterAutospacing="0" w:line="372"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表3-1  区域空气质量现状评价表 单位μg/m</w:t>
            </w:r>
            <w:r>
              <w:rPr>
                <w:rFonts w:ascii="Times New Roman" w:hAnsi="Times New Roman" w:eastAsia="宋体" w:cs="Times New Roman"/>
                <w:color w:val="000000" w:themeColor="text1"/>
                <w:szCs w:val="24"/>
                <w:highlight w:val="none"/>
                <w:vertAlign w:val="superscript"/>
                <w14:textFill>
                  <w14:solidFill>
                    <w14:schemeClr w14:val="tx1"/>
                  </w14:solidFill>
                </w14:textFill>
              </w:rPr>
              <w:t>3</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517"/>
              <w:gridCol w:w="2494"/>
              <w:gridCol w:w="1169"/>
              <w:gridCol w:w="1169"/>
              <w:gridCol w:w="1169"/>
              <w:gridCol w:w="1174"/>
            </w:tblGrid>
            <w:tr w14:paraId="14AB6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452C5400">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污染物</w:t>
                  </w:r>
                </w:p>
              </w:tc>
              <w:tc>
                <w:tcPr>
                  <w:tcW w:w="1434" w:type="pct"/>
                  <w:tcBorders>
                    <w:tl2br w:val="nil"/>
                    <w:tr2bl w:val="nil"/>
                  </w:tcBorders>
                  <w:vAlign w:val="center"/>
                </w:tcPr>
                <w:p w14:paraId="509F4C88">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年评价指标</w:t>
                  </w:r>
                </w:p>
              </w:tc>
              <w:tc>
                <w:tcPr>
                  <w:tcW w:w="672" w:type="pct"/>
                  <w:tcBorders>
                    <w:tl2br w:val="nil"/>
                    <w:tr2bl w:val="nil"/>
                  </w:tcBorders>
                  <w:vAlign w:val="center"/>
                </w:tcPr>
                <w:p w14:paraId="0A47D0A8">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现状浓度</w:t>
                  </w:r>
                </w:p>
              </w:tc>
              <w:tc>
                <w:tcPr>
                  <w:tcW w:w="672" w:type="pct"/>
                  <w:tcBorders>
                    <w:tl2br w:val="nil"/>
                    <w:tr2bl w:val="nil"/>
                  </w:tcBorders>
                  <w:vAlign w:val="center"/>
                </w:tcPr>
                <w:p w14:paraId="001C68F2">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标准值</w:t>
                  </w:r>
                </w:p>
              </w:tc>
              <w:tc>
                <w:tcPr>
                  <w:tcW w:w="672" w:type="pct"/>
                  <w:tcBorders>
                    <w:tl2br w:val="nil"/>
                    <w:tr2bl w:val="nil"/>
                  </w:tcBorders>
                  <w:vAlign w:val="center"/>
                </w:tcPr>
                <w:p w14:paraId="5CF2A9F5">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占标率%</w:t>
                  </w:r>
                </w:p>
              </w:tc>
              <w:tc>
                <w:tcPr>
                  <w:tcW w:w="675" w:type="pct"/>
                  <w:tcBorders>
                    <w:tl2br w:val="nil"/>
                    <w:tr2bl w:val="nil"/>
                  </w:tcBorders>
                  <w:vAlign w:val="center"/>
                </w:tcPr>
                <w:p w14:paraId="646F15FD">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达标情况</w:t>
                  </w:r>
                </w:p>
              </w:tc>
            </w:tr>
            <w:tr w14:paraId="76C86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0EC365BC">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PM</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10</w:t>
                  </w:r>
                </w:p>
              </w:tc>
              <w:tc>
                <w:tcPr>
                  <w:tcW w:w="1434" w:type="pct"/>
                  <w:vMerge w:val="restart"/>
                  <w:tcBorders>
                    <w:tl2br w:val="nil"/>
                    <w:tr2bl w:val="nil"/>
                  </w:tcBorders>
                  <w:vAlign w:val="center"/>
                </w:tcPr>
                <w:p w14:paraId="79229ACF">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年均质量浓度</w:t>
                  </w:r>
                </w:p>
              </w:tc>
              <w:tc>
                <w:tcPr>
                  <w:tcW w:w="672" w:type="pct"/>
                  <w:tcBorders>
                    <w:tl2br w:val="nil"/>
                    <w:tr2bl w:val="nil"/>
                  </w:tcBorders>
                  <w:vAlign w:val="center"/>
                </w:tcPr>
                <w:p w14:paraId="3F99FC46">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51</w:t>
                  </w:r>
                </w:p>
              </w:tc>
              <w:tc>
                <w:tcPr>
                  <w:tcW w:w="672" w:type="pct"/>
                  <w:tcBorders>
                    <w:tl2br w:val="nil"/>
                    <w:tr2bl w:val="nil"/>
                  </w:tcBorders>
                  <w:vAlign w:val="center"/>
                </w:tcPr>
                <w:p w14:paraId="116FD3B0">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70</w:t>
                  </w:r>
                </w:p>
              </w:tc>
              <w:tc>
                <w:tcPr>
                  <w:tcW w:w="672" w:type="pct"/>
                  <w:tcBorders>
                    <w:tl2br w:val="nil"/>
                    <w:tr2bl w:val="nil"/>
                  </w:tcBorders>
                  <w:vAlign w:val="center"/>
                </w:tcPr>
                <w:p w14:paraId="0A18BAA4">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kern w:val="0"/>
                      <w:szCs w:val="21"/>
                      <w:highlight w:val="none"/>
                      <w:lang w:bidi="ar"/>
                      <w14:textFill>
                        <w14:solidFill>
                          <w14:schemeClr w14:val="tx1"/>
                        </w14:solidFill>
                      </w14:textFill>
                    </w:rPr>
                    <w:t>85.7</w:t>
                  </w:r>
                </w:p>
              </w:tc>
              <w:tc>
                <w:tcPr>
                  <w:tcW w:w="675" w:type="pct"/>
                  <w:tcBorders>
                    <w:tl2br w:val="nil"/>
                    <w:tr2bl w:val="nil"/>
                  </w:tcBorders>
                  <w:vAlign w:val="center"/>
                </w:tcPr>
                <w:p w14:paraId="71BCE5CA">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r w14:paraId="6386C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018EA048">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PM</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2.5</w:t>
                  </w:r>
                </w:p>
              </w:tc>
              <w:tc>
                <w:tcPr>
                  <w:tcW w:w="1434" w:type="pct"/>
                  <w:vMerge w:val="continue"/>
                  <w:tcBorders>
                    <w:tl2br w:val="nil"/>
                    <w:tr2bl w:val="nil"/>
                  </w:tcBorders>
                  <w:vAlign w:val="center"/>
                </w:tcPr>
                <w:p w14:paraId="57A7AB6B">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672" w:type="pct"/>
                  <w:tcBorders>
                    <w:tl2br w:val="nil"/>
                    <w:tr2bl w:val="nil"/>
                  </w:tcBorders>
                  <w:vAlign w:val="center"/>
                </w:tcPr>
                <w:p w14:paraId="566809BA">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32.3</w:t>
                  </w:r>
                </w:p>
              </w:tc>
              <w:tc>
                <w:tcPr>
                  <w:tcW w:w="672" w:type="pct"/>
                  <w:tcBorders>
                    <w:tl2br w:val="nil"/>
                    <w:tr2bl w:val="nil"/>
                  </w:tcBorders>
                  <w:vAlign w:val="center"/>
                </w:tcPr>
                <w:p w14:paraId="704A126A">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35</w:t>
                  </w:r>
                </w:p>
              </w:tc>
              <w:tc>
                <w:tcPr>
                  <w:tcW w:w="672" w:type="pct"/>
                  <w:tcBorders>
                    <w:tl2br w:val="nil"/>
                    <w:tr2bl w:val="nil"/>
                  </w:tcBorders>
                  <w:vAlign w:val="center"/>
                </w:tcPr>
                <w:p w14:paraId="64B15149">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kern w:val="0"/>
                      <w:szCs w:val="21"/>
                      <w:highlight w:val="none"/>
                      <w:lang w:bidi="ar"/>
                      <w14:textFill>
                        <w14:solidFill>
                          <w14:schemeClr w14:val="tx1"/>
                        </w14:solidFill>
                      </w14:textFill>
                    </w:rPr>
                    <w:t>92.3</w:t>
                  </w:r>
                </w:p>
              </w:tc>
              <w:tc>
                <w:tcPr>
                  <w:tcW w:w="675" w:type="pct"/>
                  <w:tcBorders>
                    <w:tl2br w:val="nil"/>
                    <w:tr2bl w:val="nil"/>
                  </w:tcBorders>
                  <w:vAlign w:val="center"/>
                </w:tcPr>
                <w:p w14:paraId="01884334">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r w14:paraId="0692D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43C04AD6">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NO</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2</w:t>
                  </w:r>
                </w:p>
              </w:tc>
              <w:tc>
                <w:tcPr>
                  <w:tcW w:w="1434" w:type="pct"/>
                  <w:vMerge w:val="continue"/>
                  <w:tcBorders>
                    <w:tl2br w:val="nil"/>
                    <w:tr2bl w:val="nil"/>
                  </w:tcBorders>
                  <w:vAlign w:val="center"/>
                </w:tcPr>
                <w:p w14:paraId="4303BBE6">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672" w:type="pct"/>
                  <w:tcBorders>
                    <w:tl2br w:val="nil"/>
                    <w:tr2bl w:val="nil"/>
                  </w:tcBorders>
                  <w:vAlign w:val="center"/>
                </w:tcPr>
                <w:p w14:paraId="014C3D53">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34</w:t>
                  </w:r>
                </w:p>
              </w:tc>
              <w:tc>
                <w:tcPr>
                  <w:tcW w:w="672" w:type="pct"/>
                  <w:tcBorders>
                    <w:tl2br w:val="nil"/>
                    <w:tr2bl w:val="nil"/>
                  </w:tcBorders>
                  <w:vAlign w:val="center"/>
                </w:tcPr>
                <w:p w14:paraId="64D959AA">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40</w:t>
                  </w:r>
                </w:p>
              </w:tc>
              <w:tc>
                <w:tcPr>
                  <w:tcW w:w="672" w:type="pct"/>
                  <w:tcBorders>
                    <w:tl2br w:val="nil"/>
                    <w:tr2bl w:val="nil"/>
                  </w:tcBorders>
                  <w:vAlign w:val="center"/>
                </w:tcPr>
                <w:p w14:paraId="0151B7AA">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kern w:val="0"/>
                      <w:szCs w:val="21"/>
                      <w:highlight w:val="none"/>
                      <w:lang w:bidi="ar"/>
                      <w14:textFill>
                        <w14:solidFill>
                          <w14:schemeClr w14:val="tx1"/>
                        </w14:solidFill>
                      </w14:textFill>
                    </w:rPr>
                    <w:t>85.0</w:t>
                  </w:r>
                </w:p>
              </w:tc>
              <w:tc>
                <w:tcPr>
                  <w:tcW w:w="675" w:type="pct"/>
                  <w:tcBorders>
                    <w:tl2br w:val="nil"/>
                    <w:tr2bl w:val="nil"/>
                  </w:tcBorders>
                  <w:vAlign w:val="center"/>
                </w:tcPr>
                <w:p w14:paraId="36FF98B9">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r w14:paraId="5B378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49985C14">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SO</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2</w:t>
                  </w:r>
                </w:p>
              </w:tc>
              <w:tc>
                <w:tcPr>
                  <w:tcW w:w="1434" w:type="pct"/>
                  <w:vMerge w:val="continue"/>
                  <w:tcBorders>
                    <w:tl2br w:val="nil"/>
                    <w:tr2bl w:val="nil"/>
                  </w:tcBorders>
                  <w:vAlign w:val="center"/>
                </w:tcPr>
                <w:p w14:paraId="75115702">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672" w:type="pct"/>
                  <w:tcBorders>
                    <w:tl2br w:val="nil"/>
                    <w:tr2bl w:val="nil"/>
                  </w:tcBorders>
                  <w:vAlign w:val="center"/>
                </w:tcPr>
                <w:p w14:paraId="3543EF93">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8</w:t>
                  </w:r>
                </w:p>
              </w:tc>
              <w:tc>
                <w:tcPr>
                  <w:tcW w:w="672" w:type="pct"/>
                  <w:tcBorders>
                    <w:tl2br w:val="nil"/>
                    <w:tr2bl w:val="nil"/>
                  </w:tcBorders>
                  <w:vAlign w:val="center"/>
                </w:tcPr>
                <w:p w14:paraId="0A4A9A05">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60</w:t>
                  </w:r>
                </w:p>
              </w:tc>
              <w:tc>
                <w:tcPr>
                  <w:tcW w:w="672" w:type="pct"/>
                  <w:tcBorders>
                    <w:tl2br w:val="nil"/>
                    <w:tr2bl w:val="nil"/>
                  </w:tcBorders>
                  <w:vAlign w:val="center"/>
                </w:tcPr>
                <w:p w14:paraId="6B036D75">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kern w:val="0"/>
                      <w:szCs w:val="21"/>
                      <w:highlight w:val="none"/>
                      <w:lang w:bidi="ar"/>
                      <w14:textFill>
                        <w14:solidFill>
                          <w14:schemeClr w14:val="tx1"/>
                        </w14:solidFill>
                      </w14:textFill>
                    </w:rPr>
                    <w:t>13.3</w:t>
                  </w:r>
                </w:p>
              </w:tc>
              <w:tc>
                <w:tcPr>
                  <w:tcW w:w="675" w:type="pct"/>
                  <w:tcBorders>
                    <w:tl2br w:val="nil"/>
                    <w:tr2bl w:val="nil"/>
                  </w:tcBorders>
                  <w:vAlign w:val="center"/>
                </w:tcPr>
                <w:p w14:paraId="7D8B11D1">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r w14:paraId="13ACC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7CB2D41C">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CO（mg/m</w:t>
                  </w:r>
                  <w:r>
                    <w:rPr>
                      <w:rFonts w:hint="eastAsia" w:ascii="Times New Roman" w:hAnsi="Times New Roman" w:eastAsia="宋体" w:cs="宋体"/>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宋体"/>
                      <w:color w:val="000000" w:themeColor="text1"/>
                      <w:sz w:val="21"/>
                      <w:szCs w:val="21"/>
                      <w:highlight w:val="none"/>
                      <w14:textFill>
                        <w14:solidFill>
                          <w14:schemeClr w14:val="tx1"/>
                        </w14:solidFill>
                      </w14:textFill>
                    </w:rPr>
                    <w:t>）</w:t>
                  </w:r>
                </w:p>
              </w:tc>
              <w:tc>
                <w:tcPr>
                  <w:tcW w:w="1434" w:type="pct"/>
                  <w:tcBorders>
                    <w:tl2br w:val="nil"/>
                    <w:tr2bl w:val="nil"/>
                  </w:tcBorders>
                  <w:vAlign w:val="center"/>
                </w:tcPr>
                <w:p w14:paraId="73802AE8">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日均浓度的第95百分位</w:t>
                  </w:r>
                </w:p>
              </w:tc>
              <w:tc>
                <w:tcPr>
                  <w:tcW w:w="672" w:type="pct"/>
                  <w:tcBorders>
                    <w:tl2br w:val="nil"/>
                    <w:tr2bl w:val="nil"/>
                  </w:tcBorders>
                  <w:vAlign w:val="center"/>
                </w:tcPr>
                <w:p w14:paraId="16FB067D">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1.2</w:t>
                  </w:r>
                </w:p>
              </w:tc>
              <w:tc>
                <w:tcPr>
                  <w:tcW w:w="672" w:type="pct"/>
                  <w:tcBorders>
                    <w:tl2br w:val="nil"/>
                    <w:tr2bl w:val="nil"/>
                  </w:tcBorders>
                  <w:vAlign w:val="center"/>
                </w:tcPr>
                <w:p w14:paraId="373494CB">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4</w:t>
                  </w:r>
                </w:p>
              </w:tc>
              <w:tc>
                <w:tcPr>
                  <w:tcW w:w="672" w:type="pct"/>
                  <w:tcBorders>
                    <w:tl2br w:val="nil"/>
                    <w:tr2bl w:val="nil"/>
                  </w:tcBorders>
                  <w:vAlign w:val="center"/>
                </w:tcPr>
                <w:p w14:paraId="773D101A">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kern w:val="0"/>
                      <w:szCs w:val="21"/>
                      <w:highlight w:val="none"/>
                      <w:lang w:bidi="ar"/>
                      <w14:textFill>
                        <w14:solidFill>
                          <w14:schemeClr w14:val="tx1"/>
                        </w14:solidFill>
                      </w14:textFill>
                    </w:rPr>
                    <w:t>30.0</w:t>
                  </w:r>
                </w:p>
              </w:tc>
              <w:tc>
                <w:tcPr>
                  <w:tcW w:w="675" w:type="pct"/>
                  <w:tcBorders>
                    <w:tl2br w:val="nil"/>
                    <w:tr2bl w:val="nil"/>
                  </w:tcBorders>
                  <w:vAlign w:val="center"/>
                </w:tcPr>
                <w:p w14:paraId="7C9FA5E9">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r w14:paraId="1A65F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72" w:type="pct"/>
                  <w:tcBorders>
                    <w:tl2br w:val="nil"/>
                    <w:tr2bl w:val="nil"/>
                  </w:tcBorders>
                  <w:vAlign w:val="center"/>
                </w:tcPr>
                <w:p w14:paraId="676FBD1D">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O</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3</w:t>
                  </w:r>
                </w:p>
              </w:tc>
              <w:tc>
                <w:tcPr>
                  <w:tcW w:w="1434" w:type="pct"/>
                  <w:tcBorders>
                    <w:tl2br w:val="nil"/>
                    <w:tr2bl w:val="nil"/>
                  </w:tcBorders>
                  <w:vAlign w:val="center"/>
                </w:tcPr>
                <w:p w14:paraId="44B6F706">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日均最大8h平均浓度的第90百分位</w:t>
                  </w:r>
                </w:p>
              </w:tc>
              <w:tc>
                <w:tcPr>
                  <w:tcW w:w="672" w:type="pct"/>
                  <w:tcBorders>
                    <w:tl2br w:val="nil"/>
                    <w:tr2bl w:val="nil"/>
                  </w:tcBorders>
                  <w:vAlign w:val="center"/>
                </w:tcPr>
                <w:p w14:paraId="3A2F73D4">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140</w:t>
                  </w:r>
                </w:p>
              </w:tc>
              <w:tc>
                <w:tcPr>
                  <w:tcW w:w="672" w:type="pct"/>
                  <w:tcBorders>
                    <w:tl2br w:val="nil"/>
                    <w:tr2bl w:val="nil"/>
                  </w:tcBorders>
                  <w:vAlign w:val="center"/>
                </w:tcPr>
                <w:p w14:paraId="497B4CE7">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160</w:t>
                  </w:r>
                </w:p>
              </w:tc>
              <w:tc>
                <w:tcPr>
                  <w:tcW w:w="672" w:type="pct"/>
                  <w:tcBorders>
                    <w:tl2br w:val="nil"/>
                    <w:tr2bl w:val="nil"/>
                  </w:tcBorders>
                  <w:vAlign w:val="center"/>
                </w:tcPr>
                <w:p w14:paraId="1A421F4C">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kern w:val="0"/>
                      <w:szCs w:val="21"/>
                      <w:highlight w:val="none"/>
                      <w:lang w:bidi="ar"/>
                      <w14:textFill>
                        <w14:solidFill>
                          <w14:schemeClr w14:val="tx1"/>
                        </w14:solidFill>
                      </w14:textFill>
                    </w:rPr>
                    <w:t>87.5</w:t>
                  </w:r>
                </w:p>
              </w:tc>
              <w:tc>
                <w:tcPr>
                  <w:tcW w:w="675" w:type="pct"/>
                  <w:tcBorders>
                    <w:tl2br w:val="nil"/>
                    <w:tr2bl w:val="nil"/>
                  </w:tcBorders>
                  <w:vAlign w:val="center"/>
                </w:tcPr>
                <w:p w14:paraId="75B7773B">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bl>
          <w:p w14:paraId="55B56DB0">
            <w:pPr>
              <w:pStyle w:val="21"/>
              <w:spacing w:before="31" w:beforeLines="1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由上表可知，九龙坡区2024年全区环境空气质量中PM</w:t>
            </w:r>
            <w:r>
              <w:rPr>
                <w:rFonts w:hint="eastAsia" w:ascii="Times New Roman" w:hAnsi="Times New Roman" w:cs="宋体"/>
                <w:color w:val="000000" w:themeColor="text1"/>
                <w:szCs w:val="24"/>
                <w:highlight w:val="none"/>
                <w:vertAlign w:val="subscript"/>
                <w14:textFill>
                  <w14:solidFill>
                    <w14:schemeClr w14:val="tx1"/>
                  </w14:solidFill>
                </w14:textFill>
              </w:rPr>
              <w:t>10</w:t>
            </w:r>
            <w:r>
              <w:rPr>
                <w:rFonts w:hint="eastAsia" w:ascii="Times New Roman" w:hAnsi="Times New Roman" w:cs="宋体"/>
                <w:color w:val="000000" w:themeColor="text1"/>
                <w:szCs w:val="24"/>
                <w:highlight w:val="none"/>
                <w14:textFill>
                  <w14:solidFill>
                    <w14:schemeClr w14:val="tx1"/>
                  </w14:solidFill>
                </w14:textFill>
              </w:rPr>
              <w:t>、SO</w:t>
            </w:r>
            <w:r>
              <w:rPr>
                <w:rFonts w:hint="eastAsia" w:ascii="Times New Roman" w:hAnsi="Times New Roman" w:cs="宋体"/>
                <w:color w:val="000000" w:themeColor="text1"/>
                <w:szCs w:val="24"/>
                <w:highlight w:val="none"/>
                <w:vertAlign w:val="subscript"/>
                <w14:textFill>
                  <w14:solidFill>
                    <w14:schemeClr w14:val="tx1"/>
                  </w14:solidFill>
                </w14:textFill>
              </w:rPr>
              <w:t>2</w:t>
            </w:r>
            <w:r>
              <w:rPr>
                <w:rFonts w:hint="eastAsia" w:ascii="Times New Roman" w:hAnsi="Times New Roman" w:cs="宋体"/>
                <w:color w:val="000000" w:themeColor="text1"/>
                <w:szCs w:val="24"/>
                <w:highlight w:val="none"/>
                <w14:textFill>
                  <w14:solidFill>
                    <w14:schemeClr w14:val="tx1"/>
                  </w14:solidFill>
                </w14:textFill>
              </w:rPr>
              <w:t>、CO、O</w:t>
            </w:r>
            <w:r>
              <w:rPr>
                <w:rFonts w:hint="eastAsia" w:ascii="Times New Roman" w:hAnsi="Times New Roman" w:cs="宋体"/>
                <w:color w:val="000000" w:themeColor="text1"/>
                <w:szCs w:val="24"/>
                <w:highlight w:val="none"/>
                <w:vertAlign w:val="subscript"/>
                <w14:textFill>
                  <w14:solidFill>
                    <w14:schemeClr w14:val="tx1"/>
                  </w14:solidFill>
                </w14:textFill>
              </w:rPr>
              <w:t>3</w:t>
            </w:r>
            <w:r>
              <w:rPr>
                <w:rFonts w:hint="eastAsia" w:ascii="Times New Roman" w:hAnsi="Times New Roman" w:cs="宋体"/>
                <w:color w:val="000000" w:themeColor="text1"/>
                <w:szCs w:val="24"/>
                <w:highlight w:val="none"/>
                <w14:textFill>
                  <w14:solidFill>
                    <w14:schemeClr w14:val="tx1"/>
                  </w14:solidFill>
                </w14:textFill>
              </w:rPr>
              <w:t>、PM</w:t>
            </w:r>
            <w:r>
              <w:rPr>
                <w:rFonts w:hint="eastAsia" w:ascii="Times New Roman" w:hAnsi="Times New Roman" w:cs="宋体"/>
                <w:color w:val="000000" w:themeColor="text1"/>
                <w:szCs w:val="24"/>
                <w:highlight w:val="none"/>
                <w:vertAlign w:val="subscript"/>
                <w14:textFill>
                  <w14:solidFill>
                    <w14:schemeClr w14:val="tx1"/>
                  </w14:solidFill>
                </w14:textFill>
              </w:rPr>
              <w:t>2.5</w:t>
            </w:r>
            <w:r>
              <w:rPr>
                <w:rFonts w:hint="eastAsia" w:ascii="Times New Roman" w:hAnsi="Times New Roman" w:cs="宋体"/>
                <w:color w:val="000000" w:themeColor="text1"/>
                <w:szCs w:val="24"/>
                <w:highlight w:val="none"/>
                <w14:textFill>
                  <w14:solidFill>
                    <w14:schemeClr w14:val="tx1"/>
                  </w14:solidFill>
                </w14:textFill>
              </w:rPr>
              <w:t>、NO</w:t>
            </w:r>
            <w:r>
              <w:rPr>
                <w:rFonts w:hint="eastAsia" w:ascii="Times New Roman" w:hAnsi="Times New Roman" w:cs="宋体"/>
                <w:color w:val="000000" w:themeColor="text1"/>
                <w:szCs w:val="24"/>
                <w:highlight w:val="none"/>
                <w:vertAlign w:val="subscript"/>
                <w14:textFill>
                  <w14:solidFill>
                    <w14:schemeClr w14:val="tx1"/>
                  </w14:solidFill>
                </w14:textFill>
              </w:rPr>
              <w:t>2</w:t>
            </w:r>
            <w:r>
              <w:rPr>
                <w:rFonts w:hint="eastAsia" w:ascii="Times New Roman" w:hAnsi="Times New Roman" w:cs="宋体"/>
                <w:color w:val="000000" w:themeColor="text1"/>
                <w:szCs w:val="24"/>
                <w:highlight w:val="none"/>
                <w14:textFill>
                  <w14:solidFill>
                    <w14:schemeClr w14:val="tx1"/>
                  </w14:solidFill>
                </w14:textFill>
              </w:rPr>
              <w:t>均满足《环境空气质量标准》（GB3095-2012）二类区域标准，为达标区。</w:t>
            </w:r>
          </w:p>
          <w:p w14:paraId="2C3DECC7">
            <w:pPr>
              <w:pStyle w:val="21"/>
              <w:spacing w:before="31" w:beforeLines="10" w:beforeAutospacing="0" w:after="31" w:afterLines="10" w:afterAutospacing="0" w:line="372" w:lineRule="auto"/>
              <w:ind w:firstLine="482"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2）其他污染物</w:t>
            </w:r>
          </w:p>
          <w:p w14:paraId="5EB16116">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为进一步了解项目影响范围内的环境空气质量现状，</w:t>
            </w:r>
            <w:r>
              <w:rPr>
                <w:rFonts w:hint="eastAsia" w:ascii="Times New Roman" w:hAnsi="Times New Roman" w:cs="Times New Roman"/>
                <w:color w:val="000000" w:themeColor="text1"/>
                <w:sz w:val="24"/>
                <w:highlight w:val="none"/>
                <w:lang w:eastAsia="zh-CN"/>
                <w14:textFill>
                  <w14:solidFill>
                    <w14:schemeClr w14:val="tx1"/>
                  </w14:solidFill>
                </w14:textFill>
              </w:rPr>
              <w:t>特委托检测单位对项目</w:t>
            </w:r>
            <w:r>
              <w:rPr>
                <w:rFonts w:ascii="Times New Roman" w:hAnsi="Times New Roman" w:cs="Times New Roman"/>
                <w:color w:val="000000" w:themeColor="text1"/>
                <w:sz w:val="24"/>
                <w:highlight w:val="none"/>
                <w14:textFill>
                  <w14:solidFill>
                    <w14:schemeClr w14:val="tx1"/>
                  </w14:solidFill>
                </w14:textFill>
              </w:rPr>
              <w:t>评价特征因子非甲烷总烃</w:t>
            </w:r>
            <w:r>
              <w:rPr>
                <w:rFonts w:hint="eastAsia" w:ascii="Times New Roman" w:hAnsi="Times New Roman" w:cs="Times New Roman"/>
                <w:color w:val="000000" w:themeColor="text1"/>
                <w:sz w:val="24"/>
                <w:highlight w:val="none"/>
                <w:lang w:eastAsia="zh-CN"/>
                <w14:textFill>
                  <w14:solidFill>
                    <w14:schemeClr w14:val="tx1"/>
                  </w14:solidFill>
                </w14:textFill>
              </w:rPr>
              <w:t>的现状情况进行检测</w:t>
            </w:r>
            <w:r>
              <w:rPr>
                <w:rFonts w:ascii="Times New Roman" w:hAnsi="Times New Roman" w:cs="Times New Roman"/>
                <w:color w:val="000000" w:themeColor="text1"/>
                <w:sz w:val="24"/>
                <w:highlight w:val="none"/>
                <w14:textFill>
                  <w14:solidFill>
                    <w14:schemeClr w14:val="tx1"/>
                  </w14:solidFill>
                </w14:textFill>
              </w:rPr>
              <w:t>。监测时间为202</w:t>
            </w:r>
            <w:r>
              <w:rPr>
                <w:rFonts w:hint="eastAsia" w:ascii="Times New Roman" w:hAnsi="Times New Roman" w:cs="Times New Roman"/>
                <w:color w:val="000000" w:themeColor="text1"/>
                <w:sz w:val="24"/>
                <w:highlight w:val="none"/>
                <w:lang w:val="en-US" w:eastAsia="zh-CN"/>
                <w14:textFill>
                  <w14:solidFill>
                    <w14:schemeClr w14:val="tx1"/>
                  </w14:solidFill>
                </w14:textFill>
              </w:rPr>
              <w:t>5</w:t>
            </w:r>
            <w:r>
              <w:rPr>
                <w:rFonts w:ascii="Times New Roman" w:hAnsi="Times New Roman" w:cs="Times New Roman"/>
                <w:color w:val="000000" w:themeColor="text1"/>
                <w:sz w:val="24"/>
                <w:highlight w:val="none"/>
                <w14:textFill>
                  <w14:solidFill>
                    <w14:schemeClr w14:val="tx1"/>
                  </w14:solidFill>
                </w14:textFill>
              </w:rPr>
              <w:t>年</w:t>
            </w:r>
            <w:r>
              <w:rPr>
                <w:rFonts w:hint="eastAsia" w:ascii="Times New Roman" w:hAnsi="Times New Roman" w:cs="Times New Roman"/>
                <w:color w:val="000000" w:themeColor="text1"/>
                <w:sz w:val="24"/>
                <w:highlight w:val="none"/>
                <w:lang w:val="en-US" w:eastAsia="zh-CN"/>
                <w14:textFill>
                  <w14:solidFill>
                    <w14:schemeClr w14:val="tx1"/>
                  </w14:solidFill>
                </w14:textFill>
              </w:rPr>
              <w:t>09</w:t>
            </w:r>
            <w:r>
              <w:rPr>
                <w:rFonts w:ascii="Times New Roman" w:hAnsi="Times New Roman" w:cs="Times New Roman"/>
                <w:color w:val="000000" w:themeColor="text1"/>
                <w:sz w:val="24"/>
                <w:highlight w:val="none"/>
                <w14:textFill>
                  <w14:solidFill>
                    <w14:schemeClr w14:val="tx1"/>
                  </w14:solidFill>
                </w14:textFill>
              </w:rPr>
              <w:t>月</w:t>
            </w:r>
            <w:r>
              <w:rPr>
                <w:rFonts w:hint="eastAsia" w:ascii="Times New Roman" w:hAnsi="Times New Roman" w:cs="Times New Roman"/>
                <w:color w:val="000000" w:themeColor="text1"/>
                <w:sz w:val="24"/>
                <w:highlight w:val="none"/>
                <w:lang w:val="en-US" w:eastAsia="zh-CN"/>
                <w14:textFill>
                  <w14:solidFill>
                    <w14:schemeClr w14:val="tx1"/>
                  </w14:solidFill>
                </w14:textFill>
              </w:rPr>
              <w:t>24</w:t>
            </w:r>
            <w:r>
              <w:rPr>
                <w:rFonts w:ascii="Times New Roman" w:hAnsi="Times New Roman" w:cs="Times New Roman"/>
                <w:color w:val="000000" w:themeColor="text1"/>
                <w:sz w:val="24"/>
                <w:highlight w:val="none"/>
                <w14:textFill>
                  <w14:solidFill>
                    <w14:schemeClr w14:val="tx1"/>
                  </w14:solidFill>
                </w14:textFill>
              </w:rPr>
              <w:t>日～</w:t>
            </w:r>
            <w:r>
              <w:rPr>
                <w:rFonts w:hint="eastAsia" w:ascii="Times New Roman" w:hAnsi="Times New Roman" w:cs="Times New Roman"/>
                <w:color w:val="000000" w:themeColor="text1"/>
                <w:sz w:val="24"/>
                <w:highlight w:val="none"/>
                <w:lang w:val="en-US" w:eastAsia="zh-CN"/>
                <w14:textFill>
                  <w14:solidFill>
                    <w14:schemeClr w14:val="tx1"/>
                  </w14:solidFill>
                </w14:textFill>
              </w:rPr>
              <w:t>09</w:t>
            </w:r>
            <w:r>
              <w:rPr>
                <w:rFonts w:hint="eastAsia" w:ascii="Times New Roman" w:hAnsi="Times New Roman" w:cs="Times New Roman"/>
                <w:color w:val="000000" w:themeColor="text1"/>
                <w:sz w:val="24"/>
                <w:highlight w:val="none"/>
                <w14:textFill>
                  <w14:solidFill>
                    <w14:schemeClr w14:val="tx1"/>
                  </w14:solidFill>
                </w14:textFill>
              </w:rPr>
              <w:t>月</w:t>
            </w:r>
            <w:r>
              <w:rPr>
                <w:rFonts w:hint="eastAsia" w:ascii="Times New Roman" w:hAnsi="Times New Roman" w:cs="Times New Roman"/>
                <w:color w:val="000000" w:themeColor="text1"/>
                <w:sz w:val="24"/>
                <w:highlight w:val="none"/>
                <w:lang w:val="en-US" w:eastAsia="zh-CN"/>
                <w14:textFill>
                  <w14:solidFill>
                    <w14:schemeClr w14:val="tx1"/>
                  </w14:solidFill>
                </w14:textFill>
              </w:rPr>
              <w:t>26</w:t>
            </w:r>
            <w:r>
              <w:rPr>
                <w:rFonts w:ascii="Times New Roman" w:hAnsi="Times New Roman" w:cs="Times New Roman"/>
                <w:color w:val="000000" w:themeColor="text1"/>
                <w:sz w:val="24"/>
                <w:highlight w:val="none"/>
                <w14:textFill>
                  <w14:solidFill>
                    <w14:schemeClr w14:val="tx1"/>
                  </w14:solidFill>
                </w14:textFill>
              </w:rPr>
              <w:t>日，监测点位于本项目</w:t>
            </w:r>
            <w:r>
              <w:rPr>
                <w:rFonts w:hint="eastAsia" w:ascii="Times New Roman" w:hAnsi="Times New Roman" w:cs="Times New Roman"/>
                <w:color w:val="000000" w:themeColor="text1"/>
                <w:sz w:val="24"/>
                <w:highlight w:val="none"/>
                <w14:textFill>
                  <w14:solidFill>
                    <w14:schemeClr w14:val="tx1"/>
                  </w14:solidFill>
                </w14:textFill>
              </w:rPr>
              <w:t>南侧</w:t>
            </w:r>
            <w:r>
              <w:rPr>
                <w:rFonts w:ascii="Times New Roman" w:hAnsi="Times New Roman" w:cs="Times New Roman"/>
                <w:color w:val="000000" w:themeColor="text1"/>
                <w:sz w:val="24"/>
                <w:highlight w:val="none"/>
                <w14:textFill>
                  <w14:solidFill>
                    <w14:schemeClr w14:val="tx1"/>
                  </w14:solidFill>
                </w14:textFill>
              </w:rPr>
              <w:t>。具体情况如下：</w:t>
            </w:r>
          </w:p>
          <w:p w14:paraId="55E67E2E">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①监测方案</w:t>
            </w:r>
          </w:p>
          <w:p w14:paraId="068387DA">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监测地点：</w:t>
            </w:r>
            <w:r>
              <w:rPr>
                <w:rFonts w:hint="eastAsia" w:ascii="Times New Roman" w:hAnsi="Times New Roman" w:cs="Times New Roman"/>
                <w:color w:val="000000" w:themeColor="text1"/>
                <w:sz w:val="24"/>
                <w:highlight w:val="none"/>
                <w:lang w:eastAsia="zh-CN"/>
                <w14:textFill>
                  <w14:solidFill>
                    <w14:schemeClr w14:val="tx1"/>
                  </w14:solidFill>
                </w14:textFill>
              </w:rPr>
              <w:t>项目南侧</w:t>
            </w:r>
            <w:r>
              <w:rPr>
                <w:rFonts w:ascii="Times New Roman" w:hAnsi="Times New Roman" w:cs="Times New Roman"/>
                <w:color w:val="000000" w:themeColor="text1"/>
                <w:sz w:val="24"/>
                <w:highlight w:val="none"/>
                <w14:textFill>
                  <w14:solidFill>
                    <w14:schemeClr w14:val="tx1"/>
                  </w14:solidFill>
                </w14:textFill>
              </w:rPr>
              <w:t>；</w:t>
            </w:r>
          </w:p>
          <w:p w14:paraId="7EFF6133">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引用监测因子：非甲烷总烃；</w:t>
            </w:r>
          </w:p>
          <w:p w14:paraId="2640EBC6">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监测时间及频率：202</w:t>
            </w:r>
            <w:r>
              <w:rPr>
                <w:rFonts w:hint="eastAsia" w:ascii="Times New Roman" w:hAnsi="Times New Roman" w:cs="Times New Roman"/>
                <w:color w:val="000000" w:themeColor="text1"/>
                <w:sz w:val="24"/>
                <w:highlight w:val="none"/>
                <w:lang w:val="en-US" w:eastAsia="zh-CN"/>
                <w14:textFill>
                  <w14:solidFill>
                    <w14:schemeClr w14:val="tx1"/>
                  </w14:solidFill>
                </w14:textFill>
              </w:rPr>
              <w:t>5</w:t>
            </w:r>
            <w:r>
              <w:rPr>
                <w:rFonts w:ascii="Times New Roman" w:hAnsi="Times New Roman" w:cs="Times New Roman"/>
                <w:color w:val="000000" w:themeColor="text1"/>
                <w:sz w:val="24"/>
                <w:highlight w:val="none"/>
                <w14:textFill>
                  <w14:solidFill>
                    <w14:schemeClr w14:val="tx1"/>
                  </w14:solidFill>
                </w14:textFill>
              </w:rPr>
              <w:t>年</w:t>
            </w:r>
            <w:r>
              <w:rPr>
                <w:rFonts w:hint="eastAsia" w:ascii="Times New Roman" w:hAnsi="Times New Roman" w:cs="Times New Roman"/>
                <w:color w:val="000000" w:themeColor="text1"/>
                <w:sz w:val="24"/>
                <w:highlight w:val="none"/>
                <w:lang w:val="en-US" w:eastAsia="zh-CN"/>
                <w14:textFill>
                  <w14:solidFill>
                    <w14:schemeClr w14:val="tx1"/>
                  </w14:solidFill>
                </w14:textFill>
              </w:rPr>
              <w:t>9</w:t>
            </w:r>
            <w:r>
              <w:rPr>
                <w:rFonts w:ascii="Times New Roman" w:hAnsi="Times New Roman" w:cs="Times New Roman"/>
                <w:color w:val="000000" w:themeColor="text1"/>
                <w:sz w:val="24"/>
                <w:highlight w:val="none"/>
                <w14:textFill>
                  <w14:solidFill>
                    <w14:schemeClr w14:val="tx1"/>
                  </w14:solidFill>
                </w14:textFill>
              </w:rPr>
              <w:t>月</w:t>
            </w:r>
            <w:r>
              <w:rPr>
                <w:rFonts w:hint="eastAsia" w:ascii="Times New Roman" w:hAnsi="Times New Roman" w:cs="Times New Roman"/>
                <w:color w:val="000000" w:themeColor="text1"/>
                <w:sz w:val="24"/>
                <w:highlight w:val="none"/>
                <w:lang w:val="en-US" w:eastAsia="zh-CN"/>
                <w14:textFill>
                  <w14:solidFill>
                    <w14:schemeClr w14:val="tx1"/>
                  </w14:solidFill>
                </w14:textFill>
              </w:rPr>
              <w:t>24</w:t>
            </w:r>
            <w:r>
              <w:rPr>
                <w:rFonts w:ascii="Times New Roman" w:hAnsi="Times New Roman" w:cs="Times New Roman"/>
                <w:color w:val="000000" w:themeColor="text1"/>
                <w:sz w:val="24"/>
                <w:highlight w:val="none"/>
                <w14:textFill>
                  <w14:solidFill>
                    <w14:schemeClr w14:val="tx1"/>
                  </w14:solidFill>
                </w14:textFill>
              </w:rPr>
              <w:t>日～</w:t>
            </w:r>
            <w:r>
              <w:rPr>
                <w:rFonts w:hint="eastAsia" w:ascii="Times New Roman" w:hAnsi="Times New Roman" w:cs="Times New Roman"/>
                <w:color w:val="000000" w:themeColor="text1"/>
                <w:sz w:val="24"/>
                <w:highlight w:val="none"/>
                <w:lang w:val="en-US" w:eastAsia="zh-CN"/>
                <w14:textFill>
                  <w14:solidFill>
                    <w14:schemeClr w14:val="tx1"/>
                  </w14:solidFill>
                </w14:textFill>
              </w:rPr>
              <w:t>9</w:t>
            </w:r>
            <w:r>
              <w:rPr>
                <w:rFonts w:hint="eastAsia" w:ascii="Times New Roman" w:hAnsi="Times New Roman" w:cs="Times New Roman"/>
                <w:color w:val="000000" w:themeColor="text1"/>
                <w:sz w:val="24"/>
                <w:highlight w:val="none"/>
                <w14:textFill>
                  <w14:solidFill>
                    <w14:schemeClr w14:val="tx1"/>
                  </w14:solidFill>
                </w14:textFill>
              </w:rPr>
              <w:t>月</w:t>
            </w:r>
            <w:r>
              <w:rPr>
                <w:rFonts w:hint="eastAsia" w:ascii="Times New Roman" w:hAnsi="Times New Roman" w:cs="Times New Roman"/>
                <w:color w:val="000000" w:themeColor="text1"/>
                <w:sz w:val="24"/>
                <w:highlight w:val="none"/>
                <w:lang w:val="en-US" w:eastAsia="zh-CN"/>
                <w14:textFill>
                  <w14:solidFill>
                    <w14:schemeClr w14:val="tx1"/>
                  </w14:solidFill>
                </w14:textFill>
              </w:rPr>
              <w:t>26</w:t>
            </w:r>
            <w:r>
              <w:rPr>
                <w:rFonts w:ascii="Times New Roman" w:hAnsi="Times New Roman" w:cs="Times New Roman"/>
                <w:color w:val="000000" w:themeColor="text1"/>
                <w:sz w:val="24"/>
                <w:highlight w:val="none"/>
                <w14:textFill>
                  <w14:solidFill>
                    <w14:schemeClr w14:val="tx1"/>
                  </w14:solidFill>
                </w14:textFill>
              </w:rPr>
              <w:t>日，连续监测</w:t>
            </w:r>
            <w:r>
              <w:rPr>
                <w:rFonts w:hint="eastAsia" w:ascii="Times New Roman" w:hAnsi="Times New Roman" w:cs="Times New Roman"/>
                <w:color w:val="000000" w:themeColor="text1"/>
                <w:sz w:val="24"/>
                <w:highlight w:val="none"/>
                <w:lang w:val="en-US" w:eastAsia="zh-CN"/>
                <w14:textFill>
                  <w14:solidFill>
                    <w14:schemeClr w14:val="tx1"/>
                  </w14:solidFill>
                </w14:textFill>
              </w:rPr>
              <w:t>3</w:t>
            </w:r>
            <w:r>
              <w:rPr>
                <w:rFonts w:ascii="Times New Roman" w:hAnsi="Times New Roman" w:cs="Times New Roman"/>
                <w:color w:val="000000" w:themeColor="text1"/>
                <w:sz w:val="24"/>
                <w:highlight w:val="none"/>
                <w14:textFill>
                  <w14:solidFill>
                    <w14:schemeClr w14:val="tx1"/>
                  </w14:solidFill>
                </w14:textFill>
              </w:rPr>
              <w:t>天，每天监测4次小时浓度。</w:t>
            </w:r>
          </w:p>
          <w:p w14:paraId="23A1C35A">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②评价方法</w:t>
            </w:r>
          </w:p>
          <w:p w14:paraId="0FD024EC">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根据《环境影响评价技术导则 大气环境》（HJ2.2-2018），采用占标率对项目所在区域环境空气质量进行评价。计算公式如下：</w:t>
            </w:r>
          </w:p>
          <w:p w14:paraId="3F252150">
            <w:pPr>
              <w:pStyle w:val="43"/>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419860" cy="497840"/>
                  <wp:effectExtent l="0" t="0" r="1270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srcRect t="9636" b="6424"/>
                          <a:stretch>
                            <a:fillRect/>
                          </a:stretch>
                        </pic:blipFill>
                        <pic:spPr>
                          <a:xfrm>
                            <a:off x="0" y="0"/>
                            <a:ext cx="1419860" cy="497840"/>
                          </a:xfrm>
                          <a:prstGeom prst="rect">
                            <a:avLst/>
                          </a:prstGeom>
                          <a:noFill/>
                          <a:ln>
                            <a:noFill/>
                          </a:ln>
                        </pic:spPr>
                      </pic:pic>
                    </a:graphicData>
                  </a:graphic>
                </wp:inline>
              </w:drawing>
            </w:r>
          </w:p>
          <w:p w14:paraId="0E7BE104">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式中：P</w:t>
            </w:r>
            <w:r>
              <w:rPr>
                <w:rFonts w:ascii="Times New Roman" w:hAnsi="Times New Roman" w:cs="Times New Roman"/>
                <w:color w:val="000000" w:themeColor="text1"/>
                <w:sz w:val="24"/>
                <w:highlight w:val="none"/>
                <w:vertAlign w:val="subscript"/>
                <w14:textFill>
                  <w14:solidFill>
                    <w14:schemeClr w14:val="tx1"/>
                  </w14:solidFill>
                </w14:textFill>
              </w:rPr>
              <w:t>i</w:t>
            </w:r>
            <w:r>
              <w:rPr>
                <w:rFonts w:ascii="Times New Roman" w:hAnsi="Times New Roman" w:cs="Times New Roman"/>
                <w:color w:val="000000" w:themeColor="text1"/>
                <w:sz w:val="24"/>
                <w:highlight w:val="none"/>
                <w14:textFill>
                  <w14:solidFill>
                    <w14:schemeClr w14:val="tx1"/>
                  </w14:solidFill>
                </w14:textFill>
              </w:rPr>
              <w:t>——第i个污染物监测最大浓度占相应标准浓度限值的百分比，%；</w:t>
            </w:r>
          </w:p>
          <w:p w14:paraId="41741FF5">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C</w:t>
            </w:r>
            <w:r>
              <w:rPr>
                <w:rFonts w:ascii="Times New Roman" w:hAnsi="Times New Roman" w:cs="Times New Roman"/>
                <w:color w:val="000000" w:themeColor="text1"/>
                <w:sz w:val="24"/>
                <w:highlight w:val="none"/>
                <w:vertAlign w:val="subscript"/>
                <w14:textFill>
                  <w14:solidFill>
                    <w14:schemeClr w14:val="tx1"/>
                  </w14:solidFill>
                </w14:textFill>
              </w:rPr>
              <w:t>i</w:t>
            </w:r>
            <w:r>
              <w:rPr>
                <w:rFonts w:ascii="Times New Roman" w:hAnsi="Times New Roman" w:cs="Times New Roman"/>
                <w:color w:val="000000" w:themeColor="text1"/>
                <w:sz w:val="24"/>
                <w:highlight w:val="none"/>
                <w14:textFill>
                  <w14:solidFill>
                    <w14:schemeClr w14:val="tx1"/>
                  </w14:solidFill>
                </w14:textFill>
              </w:rPr>
              <w:t>——第i个污染物的监测浓度值，mg/m</w:t>
            </w:r>
            <w:r>
              <w:rPr>
                <w:rFonts w:ascii="Times New Roman" w:hAnsi="Times New Roman" w:cs="Times New Roman"/>
                <w:color w:val="000000" w:themeColor="text1"/>
                <w:sz w:val="24"/>
                <w:highlight w:val="none"/>
                <w:vertAlign w:val="superscript"/>
                <w14:textFill>
                  <w14:solidFill>
                    <w14:schemeClr w14:val="tx1"/>
                  </w14:solidFill>
                </w14:textFill>
              </w:rPr>
              <w:t>3</w:t>
            </w:r>
            <w:r>
              <w:rPr>
                <w:rFonts w:ascii="Times New Roman" w:hAnsi="Times New Roman" w:cs="Times New Roman"/>
                <w:color w:val="000000" w:themeColor="text1"/>
                <w:sz w:val="24"/>
                <w:highlight w:val="none"/>
                <w14:textFill>
                  <w14:solidFill>
                    <w14:schemeClr w14:val="tx1"/>
                  </w14:solidFill>
                </w14:textFill>
              </w:rPr>
              <w:t>；</w:t>
            </w:r>
          </w:p>
          <w:p w14:paraId="1EFADB1D">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C</w:t>
            </w:r>
            <w:r>
              <w:rPr>
                <w:rFonts w:ascii="Times New Roman" w:hAnsi="Times New Roman" w:cs="Times New Roman"/>
                <w:color w:val="000000" w:themeColor="text1"/>
                <w:sz w:val="24"/>
                <w:highlight w:val="none"/>
                <w:vertAlign w:val="subscript"/>
                <w14:textFill>
                  <w14:solidFill>
                    <w14:schemeClr w14:val="tx1"/>
                  </w14:solidFill>
                </w14:textFill>
              </w:rPr>
              <w:t>0i</w:t>
            </w:r>
            <w:r>
              <w:rPr>
                <w:rFonts w:ascii="Times New Roman" w:hAnsi="Times New Roman" w:cs="Times New Roman"/>
                <w:color w:val="000000" w:themeColor="text1"/>
                <w:sz w:val="24"/>
                <w:highlight w:val="none"/>
                <w14:textFill>
                  <w14:solidFill>
                    <w14:schemeClr w14:val="tx1"/>
                  </w14:solidFill>
                </w14:textFill>
              </w:rPr>
              <w:t>——第i个污染物的环境空气质量标准，mg/m</w:t>
            </w:r>
            <w:r>
              <w:rPr>
                <w:rFonts w:ascii="Times New Roman" w:hAnsi="Times New Roman" w:cs="Times New Roman"/>
                <w:color w:val="000000" w:themeColor="text1"/>
                <w:sz w:val="24"/>
                <w:highlight w:val="none"/>
                <w:vertAlign w:val="superscript"/>
                <w14:textFill>
                  <w14:solidFill>
                    <w14:schemeClr w14:val="tx1"/>
                  </w14:solidFill>
                </w14:textFill>
              </w:rPr>
              <w:t>3</w:t>
            </w:r>
            <w:r>
              <w:rPr>
                <w:rFonts w:ascii="Times New Roman" w:hAnsi="Times New Roman" w:cs="Times New Roman"/>
                <w:color w:val="000000" w:themeColor="text1"/>
                <w:sz w:val="24"/>
                <w:highlight w:val="none"/>
                <w14:textFill>
                  <w14:solidFill>
                    <w14:schemeClr w14:val="tx1"/>
                  </w14:solidFill>
                </w14:textFill>
              </w:rPr>
              <w:t>。</w:t>
            </w:r>
          </w:p>
          <w:p w14:paraId="18B4AA99">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③监测结果及分析</w:t>
            </w:r>
          </w:p>
          <w:p w14:paraId="660178DC">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监测点环境空气质量现状监测结果统计见</w:t>
            </w:r>
            <w:r>
              <w:rPr>
                <w:rFonts w:ascii="Times New Roman" w:hAnsi="Times New Roman" w:cs="Times New Roman"/>
                <w:color w:val="000000" w:themeColor="text1"/>
                <w:sz w:val="24"/>
                <w:highlight w:val="none"/>
                <w14:textFill>
                  <w14:solidFill>
                    <w14:schemeClr w14:val="tx1"/>
                  </w14:solidFill>
                </w14:textFill>
              </w:rPr>
              <w:fldChar w:fldCharType="begin"/>
            </w:r>
            <w:r>
              <w:rPr>
                <w:rFonts w:ascii="Times New Roman" w:hAnsi="Times New Roman" w:cs="Times New Roman"/>
                <w:color w:val="000000" w:themeColor="text1"/>
                <w:sz w:val="24"/>
                <w:highlight w:val="none"/>
                <w14:textFill>
                  <w14:solidFill>
                    <w14:schemeClr w14:val="tx1"/>
                  </w14:solidFill>
                </w14:textFill>
              </w:rPr>
              <w:instrText xml:space="preserve"> REF _Ref20055 \h </w:instrText>
            </w:r>
            <w:r>
              <w:rPr>
                <w:rFonts w:ascii="Times New Roman" w:hAnsi="Times New Roman" w:cs="Times New Roman"/>
                <w:color w:val="000000" w:themeColor="text1"/>
                <w:sz w:val="24"/>
                <w:highlight w:val="none"/>
                <w14:textFill>
                  <w14:solidFill>
                    <w14:schemeClr w14:val="tx1"/>
                  </w14:solidFill>
                </w14:textFill>
              </w:rPr>
              <w:fldChar w:fldCharType="separate"/>
            </w:r>
            <w:r>
              <w:rPr>
                <w:rFonts w:ascii="Times New Roman" w:hAnsi="Times New Roman" w:cs="Times New Roman"/>
                <w:color w:val="000000" w:themeColor="text1"/>
                <w:sz w:val="24"/>
                <w:highlight w:val="none"/>
                <w14:textFill>
                  <w14:solidFill>
                    <w14:schemeClr w14:val="tx1"/>
                  </w14:solidFill>
                </w14:textFill>
              </w:rPr>
              <w:t>表3-2</w:t>
            </w:r>
            <w:r>
              <w:rPr>
                <w:rFonts w:ascii="Times New Roman" w:hAnsi="Times New Roman" w:cs="Times New Roman"/>
                <w:color w:val="000000" w:themeColor="text1"/>
                <w:sz w:val="24"/>
                <w:highlight w:val="none"/>
                <w14:textFill>
                  <w14:solidFill>
                    <w14:schemeClr w14:val="tx1"/>
                  </w14:solidFill>
                </w14:textFill>
              </w:rPr>
              <w:fldChar w:fldCharType="end"/>
            </w:r>
            <w:r>
              <w:rPr>
                <w:rFonts w:ascii="Times New Roman" w:hAnsi="Times New Roman" w:cs="Times New Roman"/>
                <w:color w:val="000000" w:themeColor="text1"/>
                <w:sz w:val="24"/>
                <w:highlight w:val="none"/>
                <w14:textFill>
                  <w14:solidFill>
                    <w14:schemeClr w14:val="tx1"/>
                  </w14:solidFill>
                </w14:textFill>
              </w:rPr>
              <w:t>。</w:t>
            </w:r>
          </w:p>
          <w:p w14:paraId="6186827C">
            <w:pPr>
              <w:pStyle w:val="44"/>
              <w:spacing w:beforeLines="0" w:line="360" w:lineRule="auto"/>
              <w:rPr>
                <w:rFonts w:ascii="Times New Roman" w:hAnsi="Times New Roman" w:eastAsia="宋体"/>
                <w:color w:val="000000" w:themeColor="text1"/>
                <w:sz w:val="24"/>
                <w:highlight w:val="none"/>
                <w14:textFill>
                  <w14:solidFill>
                    <w14:schemeClr w14:val="tx1"/>
                  </w14:solidFill>
                </w14:textFill>
              </w:rPr>
            </w:pPr>
            <w:bookmarkStart w:id="9" w:name="_Ref20055"/>
            <w:r>
              <w:rPr>
                <w:rFonts w:ascii="Times New Roman" w:hAnsi="Times New Roman" w:eastAsia="宋体"/>
                <w:color w:val="000000" w:themeColor="text1"/>
                <w:sz w:val="24"/>
                <w:highlight w:val="none"/>
                <w14:textFill>
                  <w14:solidFill>
                    <w14:schemeClr w14:val="tx1"/>
                  </w14:solidFill>
                </w14:textFill>
              </w:rPr>
              <w:t>表</w:t>
            </w:r>
            <w:bookmarkEnd w:id="9"/>
            <w:r>
              <w:rPr>
                <w:rFonts w:hint="eastAsia" w:ascii="Times New Roman" w:hAnsi="Times New Roman" w:eastAsia="宋体"/>
                <w:color w:val="000000" w:themeColor="text1"/>
                <w:sz w:val="24"/>
                <w:highlight w:val="none"/>
                <w14:textFill>
                  <w14:solidFill>
                    <w14:schemeClr w14:val="tx1"/>
                  </w14:solidFill>
                </w14:textFill>
              </w:rPr>
              <w:t>3-2</w:t>
            </w:r>
            <w:r>
              <w:rPr>
                <w:rFonts w:ascii="Times New Roman" w:hAnsi="Times New Roman" w:eastAsia="宋体"/>
                <w:color w:val="000000" w:themeColor="text1"/>
                <w:sz w:val="24"/>
                <w:highlight w:val="none"/>
                <w14:textFill>
                  <w14:solidFill>
                    <w14:schemeClr w14:val="tx1"/>
                  </w14:solidFill>
                </w14:textFill>
              </w:rPr>
              <w:t xml:space="preserve"> 其他污染物环境质量现状表</w:t>
            </w:r>
          </w:p>
          <w:tbl>
            <w:tblPr>
              <w:tblStyle w:val="26"/>
              <w:tblW w:w="87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339"/>
              <w:gridCol w:w="990"/>
              <w:gridCol w:w="1139"/>
              <w:gridCol w:w="873"/>
              <w:gridCol w:w="1274"/>
              <w:gridCol w:w="1470"/>
              <w:gridCol w:w="903"/>
            </w:tblGrid>
            <w:tr w14:paraId="5E8C3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tblHeader/>
                <w:jc w:val="center"/>
              </w:trPr>
              <w:tc>
                <w:tcPr>
                  <w:tcW w:w="776" w:type="dxa"/>
                  <w:tcBorders>
                    <w:tl2br w:val="nil"/>
                    <w:tr2bl w:val="nil"/>
                  </w:tcBorders>
                  <w:vAlign w:val="center"/>
                </w:tcPr>
                <w:p w14:paraId="0048C4D7">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点位名称</w:t>
                  </w:r>
                </w:p>
              </w:tc>
              <w:tc>
                <w:tcPr>
                  <w:tcW w:w="1339" w:type="dxa"/>
                  <w:tcBorders>
                    <w:tl2br w:val="nil"/>
                    <w:tr2bl w:val="nil"/>
                  </w:tcBorders>
                  <w:vAlign w:val="center"/>
                </w:tcPr>
                <w:p w14:paraId="02B40DE7">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污染物</w:t>
                  </w:r>
                </w:p>
              </w:tc>
              <w:tc>
                <w:tcPr>
                  <w:tcW w:w="990" w:type="dxa"/>
                  <w:tcBorders>
                    <w:tl2br w:val="nil"/>
                    <w:tr2bl w:val="nil"/>
                  </w:tcBorders>
                  <w:vAlign w:val="center"/>
                </w:tcPr>
                <w:p w14:paraId="50860753">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单位</w:t>
                  </w:r>
                </w:p>
              </w:tc>
              <w:tc>
                <w:tcPr>
                  <w:tcW w:w="1139" w:type="dxa"/>
                  <w:tcBorders>
                    <w:tl2br w:val="nil"/>
                    <w:tr2bl w:val="nil"/>
                  </w:tcBorders>
                  <w:vAlign w:val="center"/>
                </w:tcPr>
                <w:p w14:paraId="40D3CA0A">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平均</w:t>
                  </w:r>
                </w:p>
                <w:p w14:paraId="17FAC5D1">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时间</w:t>
                  </w:r>
                </w:p>
              </w:tc>
              <w:tc>
                <w:tcPr>
                  <w:tcW w:w="873" w:type="dxa"/>
                  <w:tcBorders>
                    <w:tl2br w:val="nil"/>
                    <w:tr2bl w:val="nil"/>
                  </w:tcBorders>
                  <w:vAlign w:val="center"/>
                </w:tcPr>
                <w:p w14:paraId="0A8390C9">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评价标准</w:t>
                  </w:r>
                </w:p>
              </w:tc>
              <w:tc>
                <w:tcPr>
                  <w:tcW w:w="1274" w:type="dxa"/>
                  <w:tcBorders>
                    <w:tl2br w:val="nil"/>
                    <w:tr2bl w:val="nil"/>
                  </w:tcBorders>
                  <w:vAlign w:val="center"/>
                </w:tcPr>
                <w:p w14:paraId="745628C9">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现状浓度</w:t>
                  </w:r>
                </w:p>
              </w:tc>
              <w:tc>
                <w:tcPr>
                  <w:tcW w:w="1470" w:type="dxa"/>
                  <w:tcBorders>
                    <w:tl2br w:val="nil"/>
                    <w:tr2bl w:val="nil"/>
                  </w:tcBorders>
                  <w:vAlign w:val="center"/>
                </w:tcPr>
                <w:p w14:paraId="2867A8F2">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最大浓度占标率</w:t>
                  </w:r>
                </w:p>
              </w:tc>
              <w:tc>
                <w:tcPr>
                  <w:tcW w:w="903" w:type="dxa"/>
                  <w:tcBorders>
                    <w:tl2br w:val="nil"/>
                    <w:tr2bl w:val="nil"/>
                  </w:tcBorders>
                  <w:vAlign w:val="center"/>
                </w:tcPr>
                <w:p w14:paraId="2BC9248E">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达标情况</w:t>
                  </w:r>
                </w:p>
              </w:tc>
            </w:tr>
            <w:tr w14:paraId="2F5C6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433B1029">
                  <w:pPr>
                    <w:adjustRightInd w:val="0"/>
                    <w:snapToGrid w:val="0"/>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项目南侧</w:t>
                  </w:r>
                </w:p>
              </w:tc>
              <w:tc>
                <w:tcPr>
                  <w:tcW w:w="1339" w:type="dxa"/>
                  <w:tcBorders>
                    <w:tl2br w:val="nil"/>
                    <w:tr2bl w:val="nil"/>
                  </w:tcBorders>
                  <w:vAlign w:val="center"/>
                </w:tcPr>
                <w:p w14:paraId="4BE7BD20">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非甲烷总烃</w:t>
                  </w:r>
                </w:p>
              </w:tc>
              <w:tc>
                <w:tcPr>
                  <w:tcW w:w="990" w:type="dxa"/>
                  <w:tcBorders>
                    <w:tl2br w:val="nil"/>
                    <w:tr2bl w:val="nil"/>
                  </w:tcBorders>
                  <w:vAlign w:val="center"/>
                </w:tcPr>
                <w:p w14:paraId="144F525D">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mg/m</w:t>
                  </w:r>
                  <w:r>
                    <w:rPr>
                      <w:rFonts w:ascii="Times New Roman" w:hAnsi="Times New Roman" w:cs="Times New Roman"/>
                      <w:color w:val="000000" w:themeColor="text1"/>
                      <w:szCs w:val="21"/>
                      <w:highlight w:val="none"/>
                      <w:vertAlign w:val="superscript"/>
                      <w14:textFill>
                        <w14:solidFill>
                          <w14:schemeClr w14:val="tx1"/>
                        </w14:solidFill>
                      </w14:textFill>
                    </w:rPr>
                    <w:t>3</w:t>
                  </w:r>
                </w:p>
              </w:tc>
              <w:tc>
                <w:tcPr>
                  <w:tcW w:w="1139" w:type="dxa"/>
                  <w:tcBorders>
                    <w:tl2br w:val="nil"/>
                    <w:tr2bl w:val="nil"/>
                  </w:tcBorders>
                  <w:vAlign w:val="center"/>
                </w:tcPr>
                <w:p w14:paraId="4217762D">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1h平均</w:t>
                  </w:r>
                </w:p>
              </w:tc>
              <w:tc>
                <w:tcPr>
                  <w:tcW w:w="873" w:type="dxa"/>
                  <w:tcBorders>
                    <w:tl2br w:val="nil"/>
                    <w:tr2bl w:val="nil"/>
                  </w:tcBorders>
                  <w:vAlign w:val="center"/>
                </w:tcPr>
                <w:p w14:paraId="191D85A0">
                  <w:pPr>
                    <w:adjustRightInd w:val="0"/>
                    <w:snapToGrid w:val="0"/>
                    <w:jc w:val="center"/>
                    <w:rPr>
                      <w:rFonts w:ascii="Times New Roman" w:hAnsi="Times New Roman" w:cs="Times New Roman"/>
                      <w:color w:val="000000" w:themeColor="text1"/>
                      <w:kern w:val="0"/>
                      <w:szCs w:val="21"/>
                      <w:highlight w:val="none"/>
                      <w14:textFill>
                        <w14:solidFill>
                          <w14:schemeClr w14:val="tx1"/>
                        </w14:solidFill>
                      </w14:textFill>
                    </w:rPr>
                  </w:pPr>
                  <w:r>
                    <w:rPr>
                      <w:rFonts w:ascii="Times New Roman" w:hAnsi="Times New Roman" w:cs="Times New Roman"/>
                      <w:color w:val="000000" w:themeColor="text1"/>
                      <w:kern w:val="0"/>
                      <w:szCs w:val="21"/>
                      <w:highlight w:val="none"/>
                      <w14:textFill>
                        <w14:solidFill>
                          <w14:schemeClr w14:val="tx1"/>
                        </w14:solidFill>
                      </w14:textFill>
                    </w:rPr>
                    <w:t>2.0</w:t>
                  </w:r>
                </w:p>
              </w:tc>
              <w:tc>
                <w:tcPr>
                  <w:tcW w:w="1274" w:type="dxa"/>
                  <w:tcBorders>
                    <w:tl2br w:val="nil"/>
                    <w:tr2bl w:val="nil"/>
                  </w:tcBorders>
                  <w:vAlign w:val="center"/>
                </w:tcPr>
                <w:p w14:paraId="1C9C0678">
                  <w:pPr>
                    <w:adjustRightInd w:val="0"/>
                    <w:snapToGrid w:val="0"/>
                    <w:jc w:val="center"/>
                    <w:rPr>
                      <w:rFonts w:hint="default" w:ascii="Times New Roman" w:hAnsi="Times New Roman" w:cs="Times New Roman" w:eastAsiaTheme="minorEastAsia"/>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0.21</w:t>
                  </w:r>
                  <w:r>
                    <w:rPr>
                      <w:rFonts w:ascii="Times New Roman" w:hAnsi="Times New Roman" w:cs="Times New Roman"/>
                      <w:color w:val="000000" w:themeColor="text1"/>
                      <w:kern w:val="0"/>
                      <w:szCs w:val="21"/>
                      <w:highlight w:val="none"/>
                      <w14:textFill>
                        <w14:solidFill>
                          <w14:schemeClr w14:val="tx1"/>
                        </w14:solidFill>
                      </w14:textFill>
                    </w:rPr>
                    <w:t>~</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0.28</w:t>
                  </w:r>
                </w:p>
              </w:tc>
              <w:tc>
                <w:tcPr>
                  <w:tcW w:w="1470" w:type="dxa"/>
                  <w:tcBorders>
                    <w:tl2br w:val="nil"/>
                    <w:tr2bl w:val="nil"/>
                  </w:tcBorders>
                  <w:vAlign w:val="center"/>
                </w:tcPr>
                <w:p w14:paraId="28B0FE0A">
                  <w:pPr>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14</w:t>
                  </w:r>
                  <w:r>
                    <w:rPr>
                      <w:rFonts w:ascii="Times New Roman" w:hAnsi="Times New Roman" w:cs="Times New Roman"/>
                      <w:color w:val="000000" w:themeColor="text1"/>
                      <w:szCs w:val="21"/>
                      <w:highlight w:val="none"/>
                      <w14:textFill>
                        <w14:solidFill>
                          <w14:schemeClr w14:val="tx1"/>
                        </w14:solidFill>
                      </w14:textFill>
                    </w:rPr>
                    <w:t>%</w:t>
                  </w:r>
                </w:p>
              </w:tc>
              <w:tc>
                <w:tcPr>
                  <w:tcW w:w="903" w:type="dxa"/>
                  <w:tcBorders>
                    <w:tl2br w:val="nil"/>
                    <w:tr2bl w:val="nil"/>
                  </w:tcBorders>
                  <w:vAlign w:val="center"/>
                </w:tcPr>
                <w:p w14:paraId="290E944F">
                  <w:pPr>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达标</w:t>
                  </w:r>
                </w:p>
              </w:tc>
            </w:tr>
          </w:tbl>
          <w:p w14:paraId="0757762C">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根据表3-2，项目所在区域项目特征污染物非甲烷总烃满足《环境空气质量 非甲烷总烃限值》（DB 13/1577-2012）中二级标准限值要求。项目所在区域环境空气质量现状较好。</w:t>
            </w:r>
          </w:p>
          <w:p w14:paraId="415D32C0">
            <w:pPr>
              <w:pStyle w:val="21"/>
              <w:spacing w:before="31" w:beforeLines="10" w:beforeAutospacing="0" w:after="31" w:afterLines="10" w:afterAutospacing="0" w:line="360" w:lineRule="auto"/>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3.2、地表水环境质量现状</w:t>
            </w:r>
          </w:p>
          <w:p w14:paraId="2F70D581">
            <w:pPr>
              <w:pStyle w:val="21"/>
              <w:spacing w:before="0" w:beforeAutospacing="0" w:after="0" w:afterAutospacing="0" w:line="370"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本项目运营期排放废水主要为生活污水，依托坤坤已建生化池预处理达《污水综合排放标准》（GB 8978-1996）三级标准，经市政污水管网进入西彭园区污水处理厂深度处理后经桥头河汇入长江。</w:t>
            </w:r>
          </w:p>
          <w:p w14:paraId="16BB82F8">
            <w:pPr>
              <w:spacing w:line="360" w:lineRule="auto"/>
              <w:ind w:firstLine="480" w:firstLineChars="200"/>
              <w:rPr>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根据《重庆西彭工业园区规划环境影响报告书》，项目所在区域</w:t>
            </w:r>
            <w:r>
              <w:rPr>
                <w:rFonts w:hint="eastAsia" w:ascii="Times New Roman" w:hAnsi="Times New Roman" w:cs="Times New Roman"/>
                <w:color w:val="000000" w:themeColor="text1"/>
                <w:sz w:val="24"/>
                <w:highlight w:val="none"/>
                <w14:textFill>
                  <w14:solidFill>
                    <w14:schemeClr w14:val="tx1"/>
                  </w14:solidFill>
                </w14:textFill>
              </w:rPr>
              <w:t>受纳水体</w:t>
            </w:r>
            <w:r>
              <w:rPr>
                <w:rFonts w:ascii="Times New Roman" w:hAnsi="Times New Roman" w:cs="Times New Roman"/>
                <w:color w:val="000000" w:themeColor="text1"/>
                <w:sz w:val="24"/>
                <w:highlight w:val="none"/>
                <w14:textFill>
                  <w14:solidFill>
                    <w14:schemeClr w14:val="tx1"/>
                  </w14:solidFill>
                </w14:textFill>
              </w:rPr>
              <w:t>桥头河未划分水域功能，长江江津区和艾桥至新瓦房河段（水质控制断面：黄磏断面）适用类别为</w:t>
            </w:r>
            <w:r>
              <w:rPr>
                <w:rFonts w:hint="eastAsia" w:ascii="Times New Roman" w:hAnsi="Times New Roman" w:cs="Times New Roman"/>
                <w:color w:val="000000" w:themeColor="text1"/>
                <w:sz w:val="24"/>
                <w:highlight w:val="none"/>
                <w14:textFill>
                  <w14:solidFill>
                    <w14:schemeClr w14:val="tx1"/>
                  </w14:solidFill>
                </w14:textFill>
              </w:rPr>
              <w:t>Ⅲ</w:t>
            </w:r>
            <w:r>
              <w:rPr>
                <w:rFonts w:ascii="Times New Roman" w:hAnsi="Times New Roman" w:cs="Times New Roman"/>
                <w:color w:val="000000" w:themeColor="text1"/>
                <w:sz w:val="24"/>
                <w:highlight w:val="none"/>
                <w14:textFill>
                  <w14:solidFill>
                    <w14:schemeClr w14:val="tx1"/>
                  </w14:solidFill>
                </w14:textFill>
              </w:rPr>
              <w:t>类</w:t>
            </w:r>
            <w:r>
              <w:rPr>
                <w:rFonts w:hint="eastAsia" w:ascii="Times New Roman" w:hAnsi="Times New Roman" w:cs="Times New Roman"/>
                <w:color w:val="000000" w:themeColor="text1"/>
                <w:sz w:val="24"/>
                <w:highlight w:val="none"/>
                <w14:textFill>
                  <w14:solidFill>
                    <w14:schemeClr w14:val="tx1"/>
                  </w14:solidFill>
                </w14:textFill>
              </w:rPr>
              <w:t>，</w:t>
            </w:r>
            <w:r>
              <w:rPr>
                <w:rFonts w:ascii="Times New Roman" w:hAnsi="Times New Roman" w:cs="Times New Roman"/>
                <w:color w:val="000000" w:themeColor="text1"/>
                <w:sz w:val="24"/>
                <w:highlight w:val="none"/>
                <w14:textFill>
                  <w14:solidFill>
                    <w14:schemeClr w14:val="tx1"/>
                  </w14:solidFill>
                </w14:textFill>
              </w:rPr>
              <w:t>长江新瓦房-大溪河口段水域范围属Ⅱ类水域。桥头河汇入长江口上游500m至大溪河口长江段属于Ⅱ类水域，执行《地表水环境质量标准》（GB3838-2002）Ⅱ类标准要求。</w:t>
            </w:r>
          </w:p>
          <w:p w14:paraId="329C140D">
            <w:pPr>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建设项目环境影响报告表编制技术指南（污染影响类）》（试行）中地表水环境质量现状调查要求，可引用与建设项目距离近的有效数据，包括近3年的规划环境影响评价的监测数据，所在流域控制单元内国家、地方控制断面监测数据，生态环境主管部门发布的水环境质量数据或地表水达标情况的结论。由</w:t>
            </w:r>
            <w:r>
              <w:rPr>
                <w:rFonts w:ascii="Times New Roman" w:hAnsi="Times New Roman" w:cs="Times New Roman"/>
                <w:bCs/>
                <w:color w:val="000000" w:themeColor="text1"/>
                <w:sz w:val="24"/>
                <w:highlight w:val="none"/>
                <w14:textFill>
                  <w14:solidFill>
                    <w14:schemeClr w14:val="tx1"/>
                  </w14:solidFill>
                </w14:textFill>
              </w:rPr>
              <w:t>《202</w:t>
            </w:r>
            <w:r>
              <w:rPr>
                <w:rFonts w:hint="eastAsia" w:ascii="Times New Roman" w:hAnsi="Times New Roman" w:cs="Times New Roman"/>
                <w:bCs/>
                <w:color w:val="000000" w:themeColor="text1"/>
                <w:sz w:val="24"/>
                <w:highlight w:val="none"/>
                <w14:textFill>
                  <w14:solidFill>
                    <w14:schemeClr w14:val="tx1"/>
                  </w14:solidFill>
                </w14:textFill>
              </w:rPr>
              <w:t>4</w:t>
            </w:r>
            <w:r>
              <w:rPr>
                <w:rFonts w:ascii="Times New Roman" w:hAnsi="Times New Roman" w:cs="Times New Roman"/>
                <w:bCs/>
                <w:color w:val="000000" w:themeColor="text1"/>
                <w:sz w:val="24"/>
                <w:highlight w:val="none"/>
                <w14:textFill>
                  <w14:solidFill>
                    <w14:schemeClr w14:val="tx1"/>
                  </w14:solidFill>
                </w14:textFill>
              </w:rPr>
              <w:t>年重庆市生态环境状况公报》可知，</w:t>
            </w:r>
            <w:r>
              <w:rPr>
                <w:rFonts w:ascii="Times New Roman" w:hAnsi="Times New Roman" w:cs="Times New Roman"/>
                <w:color w:val="000000" w:themeColor="text1"/>
                <w:sz w:val="24"/>
                <w:highlight w:val="none"/>
                <w14:textFill>
                  <w14:solidFill>
                    <w14:schemeClr w14:val="tx1"/>
                  </w14:solidFill>
                </w14:textFill>
              </w:rPr>
              <w:t>长江干流重庆段水质为优，20个监测断面水质均为Ⅱ类。</w:t>
            </w:r>
          </w:p>
          <w:p w14:paraId="28B9F3CA">
            <w:pPr>
              <w:pStyle w:val="21"/>
              <w:spacing w:before="0" w:beforeAutospacing="0" w:after="0" w:afterAutospacing="0" w:line="370" w:lineRule="auto"/>
              <w:ind w:firstLine="480" w:firstLineChars="200"/>
              <w:jc w:val="both"/>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根据</w:t>
            </w:r>
            <w:r>
              <w:rPr>
                <w:rFonts w:ascii="Times New Roman" w:hAnsi="Times New Roman" w:cs="Times New Roman"/>
                <w:bCs/>
                <w:color w:val="000000" w:themeColor="text1"/>
                <w:highlight w:val="none"/>
                <w14:textFill>
                  <w14:solidFill>
                    <w14:schemeClr w14:val="tx1"/>
                  </w14:solidFill>
                </w14:textFill>
              </w:rPr>
              <w:t>重庆市生态环境局公布的地表水达标情况结论，区域地表水满足</w:t>
            </w:r>
            <w:r>
              <w:rPr>
                <w:rFonts w:ascii="Times New Roman" w:hAnsi="Times New Roman" w:cs="Times New Roman"/>
                <w:color w:val="000000" w:themeColor="text1"/>
                <w:highlight w:val="none"/>
                <w14:textFill>
                  <w14:solidFill>
                    <w14:schemeClr w14:val="tx1"/>
                  </w14:solidFill>
                </w14:textFill>
              </w:rPr>
              <w:t>《地表水环境质量标准》（GB3838-2002）Ⅱ类水域水质标准。</w:t>
            </w:r>
          </w:p>
          <w:p w14:paraId="00CA67A6">
            <w:pPr>
              <w:pStyle w:val="21"/>
              <w:spacing w:before="31" w:beforeLines="10" w:beforeAutospacing="0" w:after="31" w:afterLines="10" w:afterAutospacing="0" w:line="360" w:lineRule="auto"/>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3.3、声环境质量现状</w:t>
            </w:r>
          </w:p>
          <w:p w14:paraId="6FF707EB">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位于重庆市西彭镇西彭工业园区，根据《重庆市中心城区声环境功能区划方案》（2023年），项目所在区域声功能区划为3类，声环境质量执行《声环境质量标准》（GB3096-2008）3类标准。声功能区划图详见附图9。</w:t>
            </w:r>
          </w:p>
          <w:p w14:paraId="72F7C08C">
            <w:pPr>
              <w:pStyle w:val="43"/>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建设项目环境影响报告表编制技术指南（污染影响类）（试行）》可知，声环境质量现状应监测项目厂界外周边50米范围内的声环境保护目标，根据现场调查，项目厂界外周边50米范围内无声环境保护目标，因此本次评价不对声环境质量现状进行监测。</w:t>
            </w:r>
          </w:p>
          <w:p w14:paraId="25A2C21B">
            <w:pPr>
              <w:pStyle w:val="21"/>
              <w:spacing w:before="31" w:beforeLines="10" w:beforeAutospacing="0" w:after="31" w:afterLines="10" w:afterAutospacing="0" w:line="372" w:lineRule="auto"/>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3.</w:t>
            </w:r>
            <w:r>
              <w:rPr>
                <w:rFonts w:ascii="Times New Roman" w:hAnsi="Times New Roman" w:cs="宋体"/>
                <w:b/>
                <w:bCs/>
                <w:color w:val="000000" w:themeColor="text1"/>
                <w:szCs w:val="24"/>
                <w:highlight w:val="none"/>
                <w14:textFill>
                  <w14:solidFill>
                    <w14:schemeClr w14:val="tx1"/>
                  </w14:solidFill>
                </w14:textFill>
              </w:rPr>
              <w:t>4</w:t>
            </w:r>
            <w:r>
              <w:rPr>
                <w:rFonts w:hint="eastAsia" w:ascii="Times New Roman" w:hAnsi="Times New Roman" w:cs="宋体"/>
                <w:b/>
                <w:bCs/>
                <w:color w:val="000000" w:themeColor="text1"/>
                <w:szCs w:val="24"/>
                <w:highlight w:val="none"/>
                <w14:textFill>
                  <w14:solidFill>
                    <w14:schemeClr w14:val="tx1"/>
                  </w14:solidFill>
                </w14:textFill>
              </w:rPr>
              <w:t>、土壤及地下水环境现状</w:t>
            </w:r>
          </w:p>
          <w:p w14:paraId="6FFD5A66">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项目位于西彭工业园区内，周边无地下水保护目标。各类堆场均在封闭建筑内，项目按照国家有关标准和规范的要求，设计、建设和安装有关防泄漏、防渗设施；建设项目危废贮存点地面均进行防渗处理，危废间废油液盛装容器下方均设置防漏托盘液体原料盛装容器下方均设防漏托盘，正常情况下不存在土壤、地下水环境污染途径。</w:t>
            </w:r>
          </w:p>
          <w:p w14:paraId="6581FE07">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故根据《建设项目环境影响报告表编制技术指南</w:t>
            </w:r>
            <w:r>
              <w:rPr>
                <w:rFonts w:ascii="Times New Roman" w:hAnsi="Times New Roman" w:cs="宋体"/>
                <w:color w:val="000000" w:themeColor="text1"/>
                <w:szCs w:val="24"/>
                <w:highlight w:val="none"/>
                <w14:textFill>
                  <w14:solidFill>
                    <w14:schemeClr w14:val="tx1"/>
                  </w14:solidFill>
                </w14:textFill>
              </w:rPr>
              <w:t>（污染影响类）</w:t>
            </w:r>
            <w:r>
              <w:rPr>
                <w:rFonts w:hint="eastAsia" w:ascii="Times New Roman" w:hAnsi="Times New Roman" w:cs="宋体"/>
                <w:color w:val="000000" w:themeColor="text1"/>
                <w:szCs w:val="24"/>
                <w:highlight w:val="none"/>
                <w14:textFill>
                  <w14:solidFill>
                    <w14:schemeClr w14:val="tx1"/>
                  </w14:solidFill>
                </w14:textFill>
              </w:rPr>
              <w:t>》，原则上不开展土壤及地下水环境质量现状调查。</w:t>
            </w:r>
          </w:p>
          <w:p w14:paraId="46FB3FDD">
            <w:pPr>
              <w:pStyle w:val="21"/>
              <w:spacing w:before="31" w:beforeLines="10" w:beforeAutospacing="0" w:after="31" w:afterLines="10" w:afterAutospacing="0" w:line="372" w:lineRule="auto"/>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3.5、生态环境</w:t>
            </w:r>
          </w:p>
          <w:p w14:paraId="2FCDDBA6">
            <w:pPr>
              <w:spacing w:line="377" w:lineRule="auto"/>
              <w:ind w:firstLine="48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s="宋体"/>
                <w:color w:val="000000" w:themeColor="text1"/>
                <w:kern w:val="0"/>
                <w:sz w:val="24"/>
                <w:highlight w:val="none"/>
                <w14:textFill>
                  <w14:solidFill>
                    <w14:schemeClr w14:val="tx1"/>
                  </w14:solidFill>
                </w14:textFill>
              </w:rPr>
              <w:t>本项目所在场地周围生态结构较为简单，未发现珍稀野生动植物。场界内无重点文物保护单位，无名胜古迹和珍贵野生动植物等分布，周边无需要特殊保护的环境敏感目标。</w:t>
            </w:r>
          </w:p>
        </w:tc>
      </w:tr>
      <w:tr w14:paraId="71CB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758" w:hRule="atLeast"/>
        </w:trPr>
        <w:tc>
          <w:tcPr>
            <w:tcW w:w="365" w:type="pct"/>
            <w:vAlign w:val="center"/>
          </w:tcPr>
          <w:p w14:paraId="7A091E3B">
            <w:pPr>
              <w:spacing w:line="360" w:lineRule="auto"/>
              <w:jc w:val="center"/>
              <w:rPr>
                <w:rFonts w:ascii="Times New Roman" w:hAnsi="Times New Roman" w:cs="宋体"/>
                <w:b/>
                <w:bCs/>
                <w:color w:val="000000" w:themeColor="text1"/>
                <w:kern w:val="0"/>
                <w:sz w:val="24"/>
                <w:highlight w:val="none"/>
                <w14:textFill>
                  <w14:solidFill>
                    <w14:schemeClr w14:val="tx1"/>
                  </w14:solidFill>
                </w14:textFill>
              </w:rPr>
            </w:pPr>
            <w:r>
              <w:rPr>
                <w:rFonts w:hint="eastAsia" w:ascii="Times New Roman" w:hAnsi="Times New Roman" w:cs="宋体"/>
                <w:b/>
                <w:bCs/>
                <w:color w:val="000000" w:themeColor="text1"/>
                <w:kern w:val="0"/>
                <w:sz w:val="24"/>
                <w:highlight w:val="none"/>
                <w14:textFill>
                  <w14:solidFill>
                    <w14:schemeClr w14:val="tx1"/>
                  </w14:solidFill>
                </w14:textFill>
              </w:rPr>
              <w:t>环境保护目标</w:t>
            </w:r>
          </w:p>
        </w:tc>
        <w:tc>
          <w:tcPr>
            <w:tcW w:w="4634" w:type="pct"/>
          </w:tcPr>
          <w:p w14:paraId="4AD9B4A5">
            <w:pPr>
              <w:pStyle w:val="21"/>
              <w:spacing w:before="31" w:beforeLines="10" w:beforeAutospacing="0" w:after="31" w:afterLines="10" w:afterAutospacing="0" w:line="372" w:lineRule="auto"/>
              <w:ind w:firstLine="482" w:firstLineChars="200"/>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（1）、项目与周边关系</w:t>
            </w:r>
          </w:p>
          <w:p w14:paraId="1CF3F77C">
            <w:pPr>
              <w:pStyle w:val="21"/>
              <w:spacing w:before="0" w:beforeAutospacing="0" w:after="0" w:afterAutospacing="0" w:line="375"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本项目位于重庆市西彭工业园，租用坤坤农业公司现有厂房进行布置实施，项目与周边关系如下表：</w:t>
            </w:r>
          </w:p>
          <w:p w14:paraId="566A05D8">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表3-4  项目</w:t>
            </w:r>
            <w:r>
              <w:rPr>
                <w:rFonts w:hint="eastAsia" w:ascii="Times New Roman" w:hAnsi="Times New Roman" w:eastAsia="宋体" w:cs="Times New Roman"/>
                <w:color w:val="000000" w:themeColor="text1"/>
                <w:szCs w:val="24"/>
                <w:highlight w:val="none"/>
                <w14:textFill>
                  <w14:solidFill>
                    <w14:schemeClr w14:val="tx1"/>
                  </w14:solidFill>
                </w14:textFill>
              </w:rPr>
              <w:t>与</w:t>
            </w:r>
            <w:r>
              <w:rPr>
                <w:rFonts w:ascii="Times New Roman" w:hAnsi="Times New Roman" w:eastAsia="宋体" w:cs="Times New Roman"/>
                <w:color w:val="000000" w:themeColor="text1"/>
                <w:szCs w:val="24"/>
                <w:highlight w:val="none"/>
                <w14:textFill>
                  <w14:solidFill>
                    <w14:schemeClr w14:val="tx1"/>
                  </w14:solidFill>
                </w14:textFill>
              </w:rPr>
              <w:t>周边关系一览表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58"/>
              <w:gridCol w:w="3365"/>
              <w:gridCol w:w="1541"/>
              <w:gridCol w:w="1541"/>
              <w:gridCol w:w="1287"/>
            </w:tblGrid>
            <w:tr w14:paraId="43314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3C6F1958">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序号</w:t>
                  </w:r>
                </w:p>
              </w:tc>
              <w:tc>
                <w:tcPr>
                  <w:tcW w:w="1935" w:type="pct"/>
                  <w:tcBorders>
                    <w:tl2br w:val="nil"/>
                    <w:tr2bl w:val="nil"/>
                  </w:tcBorders>
                  <w:vAlign w:val="center"/>
                </w:tcPr>
                <w:p w14:paraId="0D2C11B3">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名称</w:t>
                  </w:r>
                </w:p>
              </w:tc>
              <w:tc>
                <w:tcPr>
                  <w:tcW w:w="886" w:type="pct"/>
                  <w:tcBorders>
                    <w:tl2br w:val="nil"/>
                    <w:tr2bl w:val="nil"/>
                  </w:tcBorders>
                  <w:vAlign w:val="center"/>
                </w:tcPr>
                <w:p w14:paraId="6EAFB380">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相对厂址方位</w:t>
                  </w:r>
                </w:p>
              </w:tc>
              <w:tc>
                <w:tcPr>
                  <w:tcW w:w="886" w:type="pct"/>
                  <w:tcBorders>
                    <w:tl2br w:val="nil"/>
                    <w:tr2bl w:val="nil"/>
                  </w:tcBorders>
                  <w:vAlign w:val="center"/>
                </w:tcPr>
                <w:p w14:paraId="65862D88">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相对厂界距离</w:t>
                  </w:r>
                </w:p>
              </w:tc>
              <w:tc>
                <w:tcPr>
                  <w:tcW w:w="740" w:type="pct"/>
                  <w:tcBorders>
                    <w:tl2br w:val="nil"/>
                    <w:tr2bl w:val="nil"/>
                  </w:tcBorders>
                  <w:vAlign w:val="center"/>
                </w:tcPr>
                <w:p w14:paraId="678DBA4F">
                  <w:pPr>
                    <w:pStyle w:val="21"/>
                    <w:spacing w:before="78" w:beforeLines="25" w:beforeAutospacing="0" w:after="78" w:afterLines="25" w:afterAutospacing="0" w:line="303" w:lineRule="auto"/>
                    <w:jc w:val="center"/>
                    <w:rPr>
                      <w:rFonts w:ascii="Times New Roman" w:hAnsi="Times New Roman" w:eastAsia="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备注</w:t>
                  </w:r>
                </w:p>
              </w:tc>
            </w:tr>
            <w:tr w14:paraId="32E7E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542B95CB">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w:t>
                  </w:r>
                </w:p>
              </w:tc>
              <w:tc>
                <w:tcPr>
                  <w:tcW w:w="1935" w:type="pct"/>
                  <w:tcBorders>
                    <w:tl2br w:val="nil"/>
                    <w:tr2bl w:val="nil"/>
                  </w:tcBorders>
                  <w:vAlign w:val="center"/>
                </w:tcPr>
                <w:p w14:paraId="271E7FD6">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重庆坤嘉机械制造有限公司</w:t>
                  </w:r>
                </w:p>
              </w:tc>
              <w:tc>
                <w:tcPr>
                  <w:tcW w:w="886" w:type="pct"/>
                  <w:tcBorders>
                    <w:tl2br w:val="nil"/>
                    <w:tr2bl w:val="nil"/>
                  </w:tcBorders>
                  <w:vAlign w:val="center"/>
                </w:tcPr>
                <w:p w14:paraId="581B0E94">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W</w:t>
                  </w:r>
                </w:p>
              </w:tc>
              <w:tc>
                <w:tcPr>
                  <w:tcW w:w="886" w:type="pct"/>
                  <w:tcBorders>
                    <w:tl2br w:val="nil"/>
                    <w:tr2bl w:val="nil"/>
                  </w:tcBorders>
                  <w:vAlign w:val="center"/>
                </w:tcPr>
                <w:p w14:paraId="210B3BCE">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紧邻</w:t>
                  </w:r>
                </w:p>
              </w:tc>
              <w:tc>
                <w:tcPr>
                  <w:tcW w:w="740" w:type="pct"/>
                  <w:tcBorders>
                    <w:tl2br w:val="nil"/>
                    <w:tr2bl w:val="nil"/>
                  </w:tcBorders>
                  <w:vAlign w:val="center"/>
                </w:tcPr>
                <w:p w14:paraId="470200DD">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工业企业</w:t>
                  </w:r>
                </w:p>
              </w:tc>
            </w:tr>
            <w:tr w14:paraId="0123E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06692959">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w:t>
                  </w:r>
                </w:p>
              </w:tc>
              <w:tc>
                <w:tcPr>
                  <w:tcW w:w="1935" w:type="pct"/>
                  <w:tcBorders>
                    <w:tl2br w:val="nil"/>
                    <w:tr2bl w:val="nil"/>
                  </w:tcBorders>
                  <w:vAlign w:val="center"/>
                </w:tcPr>
                <w:p w14:paraId="0B63E0F3">
                  <w:pPr>
                    <w:widowControl/>
                    <w:spacing w:before="78" w:beforeLines="25" w:after="78" w:afterLines="25" w:line="303"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重庆能烁环保科技有限公司</w:t>
                  </w:r>
                </w:p>
              </w:tc>
              <w:tc>
                <w:tcPr>
                  <w:tcW w:w="886" w:type="pct"/>
                  <w:tcBorders>
                    <w:tl2br w:val="nil"/>
                    <w:tr2bl w:val="nil"/>
                  </w:tcBorders>
                  <w:vAlign w:val="center"/>
                </w:tcPr>
                <w:p w14:paraId="11B984CD">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N</w:t>
                  </w:r>
                </w:p>
              </w:tc>
              <w:tc>
                <w:tcPr>
                  <w:tcW w:w="886" w:type="pct"/>
                  <w:tcBorders>
                    <w:tl2br w:val="nil"/>
                    <w:tr2bl w:val="nil"/>
                  </w:tcBorders>
                  <w:vAlign w:val="center"/>
                </w:tcPr>
                <w:p w14:paraId="15285AA2">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紧邻</w:t>
                  </w:r>
                </w:p>
              </w:tc>
              <w:tc>
                <w:tcPr>
                  <w:tcW w:w="740" w:type="pct"/>
                  <w:tcBorders>
                    <w:tl2br w:val="nil"/>
                    <w:tr2bl w:val="nil"/>
                  </w:tcBorders>
                  <w:vAlign w:val="center"/>
                </w:tcPr>
                <w:p w14:paraId="4829A822">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工业企业</w:t>
                  </w:r>
                </w:p>
              </w:tc>
            </w:tr>
            <w:tr w14:paraId="4CBA3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50" w:hRule="atLeast"/>
                <w:jc w:val="center"/>
              </w:trPr>
              <w:tc>
                <w:tcPr>
                  <w:tcW w:w="551" w:type="pct"/>
                  <w:tcBorders>
                    <w:tl2br w:val="nil"/>
                    <w:tr2bl w:val="nil"/>
                  </w:tcBorders>
                  <w:vAlign w:val="center"/>
                </w:tcPr>
                <w:p w14:paraId="5A0BB4F3">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w:t>
                  </w:r>
                </w:p>
              </w:tc>
              <w:tc>
                <w:tcPr>
                  <w:tcW w:w="1935" w:type="pct"/>
                  <w:tcBorders>
                    <w:tl2br w:val="nil"/>
                    <w:tr2bl w:val="nil"/>
                  </w:tcBorders>
                  <w:vAlign w:val="center"/>
                </w:tcPr>
                <w:p w14:paraId="0E29ADE4">
                  <w:pPr>
                    <w:widowControl/>
                    <w:spacing w:before="78" w:beforeLines="25" w:after="78" w:afterLines="25" w:line="303"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重庆碧隆机械有限公司</w:t>
                  </w:r>
                </w:p>
              </w:tc>
              <w:tc>
                <w:tcPr>
                  <w:tcW w:w="886" w:type="pct"/>
                  <w:tcBorders>
                    <w:tl2br w:val="nil"/>
                    <w:tr2bl w:val="nil"/>
                  </w:tcBorders>
                  <w:vAlign w:val="center"/>
                </w:tcPr>
                <w:p w14:paraId="7000BA13">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E</w:t>
                  </w:r>
                </w:p>
              </w:tc>
              <w:tc>
                <w:tcPr>
                  <w:tcW w:w="886" w:type="pct"/>
                  <w:tcBorders>
                    <w:tl2br w:val="nil"/>
                    <w:tr2bl w:val="nil"/>
                  </w:tcBorders>
                  <w:vAlign w:val="center"/>
                </w:tcPr>
                <w:p w14:paraId="66EF5838">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15</w:t>
                  </w:r>
                  <w:r>
                    <w:rPr>
                      <w:rFonts w:hint="eastAsia" w:ascii="Times New Roman" w:hAnsi="Times New Roman" w:eastAsia="宋体"/>
                      <w:color w:val="000000" w:themeColor="text1"/>
                      <w:sz w:val="21"/>
                      <w:szCs w:val="21"/>
                      <w:highlight w:val="none"/>
                      <w14:textFill>
                        <w14:solidFill>
                          <w14:schemeClr w14:val="tx1"/>
                        </w14:solidFill>
                      </w14:textFill>
                    </w:rPr>
                    <w:t>m</w:t>
                  </w:r>
                </w:p>
              </w:tc>
              <w:tc>
                <w:tcPr>
                  <w:tcW w:w="740" w:type="pct"/>
                  <w:tcBorders>
                    <w:tl2br w:val="nil"/>
                    <w:tr2bl w:val="nil"/>
                  </w:tcBorders>
                  <w:vAlign w:val="center"/>
                </w:tcPr>
                <w:p w14:paraId="07185D26">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工业企业</w:t>
                  </w:r>
                </w:p>
              </w:tc>
            </w:tr>
            <w:tr w14:paraId="6C42C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551" w:type="pct"/>
                  <w:tcBorders>
                    <w:tl2br w:val="nil"/>
                    <w:tr2bl w:val="nil"/>
                  </w:tcBorders>
                  <w:vAlign w:val="center"/>
                </w:tcPr>
                <w:p w14:paraId="1EEFE1EC">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4</w:t>
                  </w:r>
                </w:p>
              </w:tc>
              <w:tc>
                <w:tcPr>
                  <w:tcW w:w="1935" w:type="pct"/>
                  <w:tcBorders>
                    <w:tl2br w:val="nil"/>
                    <w:tr2bl w:val="nil"/>
                  </w:tcBorders>
                  <w:vAlign w:val="center"/>
                </w:tcPr>
                <w:p w14:paraId="73BAEBF4">
                  <w:pPr>
                    <w:widowControl/>
                    <w:spacing w:before="78" w:beforeLines="25" w:after="78" w:afterLines="25" w:line="303"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重庆鼎采建材有限公司</w:t>
                  </w:r>
                </w:p>
              </w:tc>
              <w:tc>
                <w:tcPr>
                  <w:tcW w:w="886" w:type="pct"/>
                  <w:tcBorders>
                    <w:tl2br w:val="nil"/>
                    <w:tr2bl w:val="nil"/>
                  </w:tcBorders>
                  <w:vAlign w:val="center"/>
                </w:tcPr>
                <w:p w14:paraId="64FAEBF2">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N</w:t>
                  </w:r>
                </w:p>
              </w:tc>
              <w:tc>
                <w:tcPr>
                  <w:tcW w:w="886" w:type="pct"/>
                  <w:tcBorders>
                    <w:tl2br w:val="nil"/>
                    <w:tr2bl w:val="nil"/>
                  </w:tcBorders>
                  <w:vAlign w:val="center"/>
                </w:tcPr>
                <w:p w14:paraId="093A89F2">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20</w:t>
                  </w:r>
                  <w:r>
                    <w:rPr>
                      <w:rFonts w:hint="eastAsia" w:ascii="Times New Roman" w:hAnsi="Times New Roman" w:eastAsia="宋体"/>
                      <w:color w:val="000000" w:themeColor="text1"/>
                      <w:sz w:val="21"/>
                      <w:szCs w:val="21"/>
                      <w:highlight w:val="none"/>
                      <w14:textFill>
                        <w14:solidFill>
                          <w14:schemeClr w14:val="tx1"/>
                        </w14:solidFill>
                      </w14:textFill>
                    </w:rPr>
                    <w:t>m</w:t>
                  </w:r>
                </w:p>
              </w:tc>
              <w:tc>
                <w:tcPr>
                  <w:tcW w:w="740" w:type="pct"/>
                  <w:tcBorders>
                    <w:tl2br w:val="nil"/>
                    <w:tr2bl w:val="nil"/>
                  </w:tcBorders>
                  <w:vAlign w:val="center"/>
                </w:tcPr>
                <w:p w14:paraId="25CAB307">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工业企业</w:t>
                  </w:r>
                </w:p>
              </w:tc>
            </w:tr>
            <w:tr w14:paraId="130FE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5952970E">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w:t>
                  </w:r>
                </w:p>
              </w:tc>
              <w:tc>
                <w:tcPr>
                  <w:tcW w:w="1935" w:type="pct"/>
                  <w:tcBorders>
                    <w:tl2br w:val="nil"/>
                    <w:tr2bl w:val="nil"/>
                  </w:tcBorders>
                  <w:vAlign w:val="center"/>
                </w:tcPr>
                <w:p w14:paraId="5079E035">
                  <w:pPr>
                    <w:widowControl/>
                    <w:spacing w:before="78" w:beforeLines="25" w:after="78" w:afterLines="25" w:line="303"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重庆太岳新材料科技有限公司</w:t>
                  </w:r>
                </w:p>
              </w:tc>
              <w:tc>
                <w:tcPr>
                  <w:tcW w:w="886" w:type="pct"/>
                  <w:tcBorders>
                    <w:tl2br w:val="nil"/>
                    <w:tr2bl w:val="nil"/>
                  </w:tcBorders>
                  <w:vAlign w:val="center"/>
                </w:tcPr>
                <w:p w14:paraId="6E9B2F36">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S</w:t>
                  </w:r>
                </w:p>
              </w:tc>
              <w:tc>
                <w:tcPr>
                  <w:tcW w:w="886" w:type="pct"/>
                  <w:tcBorders>
                    <w:tl2br w:val="nil"/>
                    <w:tr2bl w:val="nil"/>
                  </w:tcBorders>
                  <w:vAlign w:val="center"/>
                </w:tcPr>
                <w:p w14:paraId="526F2247">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15</w:t>
                  </w:r>
                  <w:r>
                    <w:rPr>
                      <w:rFonts w:hint="eastAsia" w:ascii="Times New Roman" w:hAnsi="Times New Roman" w:eastAsia="宋体"/>
                      <w:color w:val="000000" w:themeColor="text1"/>
                      <w:sz w:val="21"/>
                      <w:szCs w:val="21"/>
                      <w:highlight w:val="none"/>
                      <w14:textFill>
                        <w14:solidFill>
                          <w14:schemeClr w14:val="tx1"/>
                        </w14:solidFill>
                      </w14:textFill>
                    </w:rPr>
                    <w:t>m</w:t>
                  </w:r>
                </w:p>
              </w:tc>
              <w:tc>
                <w:tcPr>
                  <w:tcW w:w="740" w:type="pct"/>
                  <w:tcBorders>
                    <w:tl2br w:val="nil"/>
                    <w:tr2bl w:val="nil"/>
                  </w:tcBorders>
                  <w:vAlign w:val="center"/>
                </w:tcPr>
                <w:p w14:paraId="0C82DAC8">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工业企业</w:t>
                  </w:r>
                </w:p>
              </w:tc>
            </w:tr>
            <w:tr w14:paraId="54C93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51" w:type="pct"/>
                  <w:tcBorders>
                    <w:tl2br w:val="nil"/>
                    <w:tr2bl w:val="nil"/>
                  </w:tcBorders>
                  <w:vAlign w:val="center"/>
                </w:tcPr>
                <w:p w14:paraId="652DD47A">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6</w:t>
                  </w:r>
                </w:p>
              </w:tc>
              <w:tc>
                <w:tcPr>
                  <w:tcW w:w="1935" w:type="pct"/>
                  <w:tcBorders>
                    <w:tl2br w:val="nil"/>
                    <w:tr2bl w:val="nil"/>
                  </w:tcBorders>
                  <w:vAlign w:val="center"/>
                </w:tcPr>
                <w:p w14:paraId="2A3D2A48">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重庆渝隆远达住宅工业有限公司</w:t>
                  </w:r>
                </w:p>
              </w:tc>
              <w:tc>
                <w:tcPr>
                  <w:tcW w:w="886" w:type="pct"/>
                  <w:tcBorders>
                    <w:tl2br w:val="nil"/>
                    <w:tr2bl w:val="nil"/>
                  </w:tcBorders>
                  <w:vAlign w:val="center"/>
                </w:tcPr>
                <w:p w14:paraId="078BDD75">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W</w:t>
                  </w:r>
                </w:p>
              </w:tc>
              <w:tc>
                <w:tcPr>
                  <w:tcW w:w="886" w:type="pct"/>
                  <w:tcBorders>
                    <w:tl2br w:val="nil"/>
                    <w:tr2bl w:val="nil"/>
                  </w:tcBorders>
                  <w:vAlign w:val="center"/>
                </w:tcPr>
                <w:p w14:paraId="1BBB880E">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100</w:t>
                  </w:r>
                  <w:r>
                    <w:rPr>
                      <w:rFonts w:hint="eastAsia" w:ascii="Times New Roman" w:hAnsi="Times New Roman" w:eastAsia="宋体"/>
                      <w:color w:val="000000" w:themeColor="text1"/>
                      <w:sz w:val="21"/>
                      <w:szCs w:val="21"/>
                      <w:highlight w:val="none"/>
                      <w14:textFill>
                        <w14:solidFill>
                          <w14:schemeClr w14:val="tx1"/>
                        </w14:solidFill>
                      </w14:textFill>
                    </w:rPr>
                    <w:t>m</w:t>
                  </w:r>
                </w:p>
              </w:tc>
              <w:tc>
                <w:tcPr>
                  <w:tcW w:w="740" w:type="pct"/>
                  <w:tcBorders>
                    <w:tl2br w:val="nil"/>
                    <w:tr2bl w:val="nil"/>
                  </w:tcBorders>
                  <w:vAlign w:val="center"/>
                </w:tcPr>
                <w:p w14:paraId="045F3D8F">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空地</w:t>
                  </w:r>
                </w:p>
              </w:tc>
            </w:tr>
          </w:tbl>
          <w:p w14:paraId="46D4C4D1">
            <w:pPr>
              <w:pStyle w:val="21"/>
              <w:spacing w:before="31" w:beforeLines="10" w:beforeAutospacing="0" w:after="31" w:afterLines="10" w:afterAutospacing="0" w:line="372" w:lineRule="auto"/>
              <w:ind w:firstLine="482" w:firstLineChars="200"/>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（2）、大气环境保护目标</w:t>
            </w:r>
          </w:p>
          <w:p w14:paraId="6B8F5ABE">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结合区域规划图，项目厂界外500米范围内无自然保护区、风景名胜区、文化区和人群较集中区域等保护目标。项目大气评价范围内有少量村庄居民，主要大气环境保护目标如下表：</w:t>
            </w:r>
          </w:p>
          <w:p w14:paraId="75991C89">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表3-</w:t>
            </w:r>
            <w:r>
              <w:rPr>
                <w:rFonts w:hint="eastAsia" w:ascii="Times New Roman" w:hAnsi="Times New Roman" w:eastAsia="宋体" w:cs="Times New Roman"/>
                <w:color w:val="000000" w:themeColor="text1"/>
                <w:szCs w:val="24"/>
                <w:highlight w:val="none"/>
                <w14:textFill>
                  <w14:solidFill>
                    <w14:schemeClr w14:val="tx1"/>
                  </w14:solidFill>
                </w14:textFill>
              </w:rPr>
              <w:t>5</w:t>
            </w:r>
            <w:r>
              <w:rPr>
                <w:rFonts w:ascii="Times New Roman" w:hAnsi="Times New Roman" w:eastAsia="宋体" w:cs="Times New Roman"/>
                <w:color w:val="000000" w:themeColor="text1"/>
                <w:szCs w:val="24"/>
                <w:highlight w:val="none"/>
                <w14:textFill>
                  <w14:solidFill>
                    <w14:schemeClr w14:val="tx1"/>
                  </w14:solidFill>
                </w14:textFill>
              </w:rPr>
              <w:t xml:space="preserve">  大气环境保护目标一览表</w:t>
            </w:r>
          </w:p>
          <w:tbl>
            <w:tblPr>
              <w:tblStyle w:val="27"/>
              <w:tblW w:w="492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916"/>
              <w:gridCol w:w="981"/>
              <w:gridCol w:w="931"/>
              <w:gridCol w:w="837"/>
              <w:gridCol w:w="1543"/>
              <w:gridCol w:w="1341"/>
              <w:gridCol w:w="1023"/>
            </w:tblGrid>
            <w:tr w14:paraId="19FB4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118" w:type="pct"/>
                  <w:vMerge w:val="restart"/>
                  <w:tcBorders>
                    <w:tl2br w:val="nil"/>
                    <w:tr2bl w:val="nil"/>
                  </w:tcBorders>
                  <w:vAlign w:val="center"/>
                </w:tcPr>
                <w:p w14:paraId="0DE8BB2B">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保护目标名称</w:t>
                  </w:r>
                </w:p>
              </w:tc>
              <w:tc>
                <w:tcPr>
                  <w:tcW w:w="1115" w:type="pct"/>
                  <w:gridSpan w:val="2"/>
                  <w:tcBorders>
                    <w:tl2br w:val="nil"/>
                    <w:tr2bl w:val="nil"/>
                  </w:tcBorders>
                  <w:vAlign w:val="center"/>
                </w:tcPr>
                <w:p w14:paraId="34611CCA">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坐标（m）</w:t>
                  </w:r>
                </w:p>
              </w:tc>
              <w:tc>
                <w:tcPr>
                  <w:tcW w:w="488" w:type="pct"/>
                  <w:vMerge w:val="restart"/>
                  <w:tcBorders>
                    <w:tl2br w:val="nil"/>
                    <w:tr2bl w:val="nil"/>
                  </w:tcBorders>
                  <w:vAlign w:val="center"/>
                </w:tcPr>
                <w:p w14:paraId="0C9A45C1">
                  <w:pPr>
                    <w:pStyle w:val="21"/>
                    <w:spacing w:before="0" w:beforeAutospacing="0" w:after="0"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保护</w:t>
                  </w:r>
                </w:p>
                <w:p w14:paraId="1572C4D3">
                  <w:pPr>
                    <w:pStyle w:val="21"/>
                    <w:spacing w:before="0" w:beforeAutospacing="0" w:after="0"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对象</w:t>
                  </w:r>
                </w:p>
              </w:tc>
              <w:tc>
                <w:tcPr>
                  <w:tcW w:w="900" w:type="pct"/>
                  <w:vMerge w:val="restart"/>
                  <w:tcBorders>
                    <w:tl2br w:val="nil"/>
                    <w:tr2bl w:val="nil"/>
                  </w:tcBorders>
                  <w:vAlign w:val="center"/>
                </w:tcPr>
                <w:p w14:paraId="6EF57F9B">
                  <w:pPr>
                    <w:pStyle w:val="21"/>
                    <w:spacing w:before="0" w:beforeAutospacing="0" w:after="0"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保护内容</w:t>
                  </w:r>
                </w:p>
              </w:tc>
              <w:tc>
                <w:tcPr>
                  <w:tcW w:w="782" w:type="pct"/>
                  <w:vMerge w:val="restart"/>
                  <w:tcBorders>
                    <w:tl2br w:val="nil"/>
                    <w:tr2bl w:val="nil"/>
                  </w:tcBorders>
                  <w:vAlign w:val="center"/>
                </w:tcPr>
                <w:p w14:paraId="5B2D5CE9">
                  <w:pPr>
                    <w:pStyle w:val="21"/>
                    <w:spacing w:before="0" w:beforeAutospacing="0" w:after="0"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相对厂址方位/距离m</w:t>
                  </w:r>
                </w:p>
              </w:tc>
              <w:tc>
                <w:tcPr>
                  <w:tcW w:w="594" w:type="pct"/>
                  <w:vMerge w:val="restart"/>
                  <w:tcBorders>
                    <w:tl2br w:val="nil"/>
                    <w:tr2bl w:val="nil"/>
                  </w:tcBorders>
                  <w:vAlign w:val="center"/>
                </w:tcPr>
                <w:p w14:paraId="76523D5E">
                  <w:pPr>
                    <w:pStyle w:val="21"/>
                    <w:spacing w:before="0" w:beforeAutospacing="0" w:after="0"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环境</w:t>
                  </w:r>
                </w:p>
                <w:p w14:paraId="4C094079">
                  <w:pPr>
                    <w:pStyle w:val="21"/>
                    <w:spacing w:before="0" w:beforeAutospacing="0" w:after="0"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功能区</w:t>
                  </w:r>
                </w:p>
              </w:tc>
            </w:tr>
            <w:tr w14:paraId="5D387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118" w:type="pct"/>
                  <w:vMerge w:val="continue"/>
                  <w:tcBorders>
                    <w:tl2br w:val="nil"/>
                    <w:tr2bl w:val="nil"/>
                  </w:tcBorders>
                  <w:vAlign w:val="center"/>
                </w:tcPr>
                <w:p w14:paraId="5928B0A3">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c>
                <w:tcPr>
                  <w:tcW w:w="572" w:type="pct"/>
                  <w:tcBorders>
                    <w:tl2br w:val="nil"/>
                    <w:tr2bl w:val="nil"/>
                  </w:tcBorders>
                  <w:vAlign w:val="center"/>
                </w:tcPr>
                <w:p w14:paraId="090D4F2F">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X</w:t>
                  </w:r>
                </w:p>
              </w:tc>
              <w:tc>
                <w:tcPr>
                  <w:tcW w:w="543" w:type="pct"/>
                  <w:tcBorders>
                    <w:tl2br w:val="nil"/>
                    <w:tr2bl w:val="nil"/>
                  </w:tcBorders>
                  <w:vAlign w:val="center"/>
                </w:tcPr>
                <w:p w14:paraId="5EA37C1D">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Y</w:t>
                  </w:r>
                </w:p>
              </w:tc>
              <w:tc>
                <w:tcPr>
                  <w:tcW w:w="488" w:type="pct"/>
                  <w:vMerge w:val="continue"/>
                  <w:tcBorders>
                    <w:tl2br w:val="nil"/>
                    <w:tr2bl w:val="nil"/>
                  </w:tcBorders>
                  <w:vAlign w:val="center"/>
                </w:tcPr>
                <w:p w14:paraId="40DD4DA9">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c>
                <w:tcPr>
                  <w:tcW w:w="900" w:type="pct"/>
                  <w:vMerge w:val="continue"/>
                  <w:tcBorders>
                    <w:tl2br w:val="nil"/>
                    <w:tr2bl w:val="nil"/>
                  </w:tcBorders>
                  <w:vAlign w:val="center"/>
                </w:tcPr>
                <w:p w14:paraId="04F9202B">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c>
                <w:tcPr>
                  <w:tcW w:w="782" w:type="pct"/>
                  <w:vMerge w:val="continue"/>
                  <w:tcBorders>
                    <w:tl2br w:val="nil"/>
                    <w:tr2bl w:val="nil"/>
                  </w:tcBorders>
                  <w:vAlign w:val="center"/>
                </w:tcPr>
                <w:p w14:paraId="6453C7F1">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c>
                <w:tcPr>
                  <w:tcW w:w="594" w:type="pct"/>
                  <w:vMerge w:val="continue"/>
                  <w:tcBorders>
                    <w:tl2br w:val="nil"/>
                    <w:tr2bl w:val="nil"/>
                  </w:tcBorders>
                  <w:vAlign w:val="center"/>
                </w:tcPr>
                <w:p w14:paraId="7D2A5CD6">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r>
            <w:tr w14:paraId="099CC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118" w:type="pct"/>
                  <w:tcBorders>
                    <w:tl2br w:val="nil"/>
                    <w:tr2bl w:val="nil"/>
                  </w:tcBorders>
                  <w:vAlign w:val="center"/>
                </w:tcPr>
                <w:p w14:paraId="5ABA84DE">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真武宫村居民1</w:t>
                  </w:r>
                </w:p>
              </w:tc>
              <w:tc>
                <w:tcPr>
                  <w:tcW w:w="572" w:type="pct"/>
                  <w:tcBorders>
                    <w:tl2br w:val="nil"/>
                    <w:tr2bl w:val="nil"/>
                  </w:tcBorders>
                  <w:vAlign w:val="center"/>
                </w:tcPr>
                <w:p w14:paraId="40881F00">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w:t>
                  </w:r>
                </w:p>
              </w:tc>
              <w:tc>
                <w:tcPr>
                  <w:tcW w:w="543" w:type="pct"/>
                  <w:tcBorders>
                    <w:tl2br w:val="nil"/>
                    <w:tr2bl w:val="nil"/>
                  </w:tcBorders>
                  <w:vAlign w:val="center"/>
                </w:tcPr>
                <w:p w14:paraId="411A217C">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300</w:t>
                  </w:r>
                </w:p>
              </w:tc>
              <w:tc>
                <w:tcPr>
                  <w:tcW w:w="488" w:type="pct"/>
                  <w:tcBorders>
                    <w:tl2br w:val="nil"/>
                    <w:tr2bl w:val="nil"/>
                  </w:tcBorders>
                  <w:vAlign w:val="center"/>
                </w:tcPr>
                <w:p w14:paraId="22836DC3">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居民</w:t>
                  </w:r>
                </w:p>
              </w:tc>
              <w:tc>
                <w:tcPr>
                  <w:tcW w:w="900" w:type="pct"/>
                  <w:tcBorders>
                    <w:tl2br w:val="nil"/>
                    <w:tr2bl w:val="nil"/>
                  </w:tcBorders>
                  <w:vAlign w:val="center"/>
                </w:tcPr>
                <w:p w14:paraId="271691E8">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约8户，30人</w:t>
                  </w:r>
                </w:p>
              </w:tc>
              <w:tc>
                <w:tcPr>
                  <w:tcW w:w="782" w:type="pct"/>
                  <w:tcBorders>
                    <w:tl2br w:val="nil"/>
                    <w:tr2bl w:val="nil"/>
                  </w:tcBorders>
                  <w:vAlign w:val="center"/>
                </w:tcPr>
                <w:p w14:paraId="27E8305F">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N，300~40</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w:t>
                  </w:r>
                </w:p>
              </w:tc>
              <w:tc>
                <w:tcPr>
                  <w:tcW w:w="594" w:type="pct"/>
                  <w:vMerge w:val="restart"/>
                  <w:tcBorders>
                    <w:tl2br w:val="nil"/>
                    <w:tr2bl w:val="nil"/>
                  </w:tcBorders>
                  <w:vAlign w:val="center"/>
                </w:tcPr>
                <w:p w14:paraId="1194841B">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二类</w:t>
                  </w:r>
                </w:p>
              </w:tc>
            </w:tr>
            <w:tr w14:paraId="53056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118" w:type="pct"/>
                  <w:tcBorders>
                    <w:tl2br w:val="nil"/>
                    <w:tr2bl w:val="nil"/>
                  </w:tcBorders>
                  <w:vAlign w:val="center"/>
                </w:tcPr>
                <w:p w14:paraId="5D8812D1">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真武宫村居民2</w:t>
                  </w:r>
                </w:p>
              </w:tc>
              <w:tc>
                <w:tcPr>
                  <w:tcW w:w="572" w:type="pct"/>
                  <w:tcBorders>
                    <w:tl2br w:val="nil"/>
                    <w:tr2bl w:val="nil"/>
                  </w:tcBorders>
                  <w:vAlign w:val="center"/>
                </w:tcPr>
                <w:p w14:paraId="4846C546">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300</w:t>
                  </w:r>
                </w:p>
              </w:tc>
              <w:tc>
                <w:tcPr>
                  <w:tcW w:w="543" w:type="pct"/>
                  <w:tcBorders>
                    <w:tl2br w:val="nil"/>
                    <w:tr2bl w:val="nil"/>
                  </w:tcBorders>
                  <w:vAlign w:val="center"/>
                </w:tcPr>
                <w:p w14:paraId="5E0AF71A">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390</w:t>
                  </w:r>
                </w:p>
              </w:tc>
              <w:tc>
                <w:tcPr>
                  <w:tcW w:w="488" w:type="pct"/>
                  <w:tcBorders>
                    <w:tl2br w:val="nil"/>
                    <w:tr2bl w:val="nil"/>
                  </w:tcBorders>
                  <w:vAlign w:val="center"/>
                </w:tcPr>
                <w:p w14:paraId="65B69721">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居民</w:t>
                  </w:r>
                </w:p>
              </w:tc>
              <w:tc>
                <w:tcPr>
                  <w:tcW w:w="900" w:type="pct"/>
                  <w:tcBorders>
                    <w:tl2br w:val="nil"/>
                    <w:tr2bl w:val="nil"/>
                  </w:tcBorders>
                  <w:vAlign w:val="center"/>
                </w:tcPr>
                <w:p w14:paraId="28D0C267">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约20户，70人</w:t>
                  </w:r>
                </w:p>
              </w:tc>
              <w:tc>
                <w:tcPr>
                  <w:tcW w:w="782" w:type="pct"/>
                  <w:tcBorders>
                    <w:tl2br w:val="nil"/>
                    <w:tr2bl w:val="nil"/>
                  </w:tcBorders>
                  <w:vAlign w:val="center"/>
                </w:tcPr>
                <w:p w14:paraId="6BBEB518">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NE，500</w:t>
                  </w:r>
                </w:p>
              </w:tc>
              <w:tc>
                <w:tcPr>
                  <w:tcW w:w="594" w:type="pct"/>
                  <w:vMerge w:val="continue"/>
                  <w:tcBorders>
                    <w:tl2br w:val="nil"/>
                    <w:tr2bl w:val="nil"/>
                  </w:tcBorders>
                  <w:vAlign w:val="center"/>
                </w:tcPr>
                <w:p w14:paraId="0E364518">
                  <w:pPr>
                    <w:pStyle w:val="21"/>
                    <w:spacing w:before="78" w:beforeLines="25" w:beforeAutospacing="0" w:after="78" w:afterLines="25" w:afterAutospacing="0" w:line="303" w:lineRule="auto"/>
                    <w:jc w:val="center"/>
                    <w:rPr>
                      <w:rFonts w:ascii="Times New Roman" w:hAnsi="Times New Roman" w:eastAsia="宋体"/>
                      <w:color w:val="000000" w:themeColor="text1"/>
                      <w:sz w:val="21"/>
                      <w:szCs w:val="21"/>
                      <w:highlight w:val="none"/>
                      <w14:textFill>
                        <w14:solidFill>
                          <w14:schemeClr w14:val="tx1"/>
                        </w14:solidFill>
                      </w14:textFill>
                    </w:rPr>
                  </w:pPr>
                </w:p>
              </w:tc>
            </w:tr>
            <w:tr w14:paraId="65DD3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1118" w:type="pct"/>
                  <w:tcBorders>
                    <w:tl2br w:val="nil"/>
                    <w:tr2bl w:val="nil"/>
                  </w:tcBorders>
                  <w:vAlign w:val="center"/>
                </w:tcPr>
                <w:p w14:paraId="11844571">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真武宫村居民3</w:t>
                  </w:r>
                </w:p>
              </w:tc>
              <w:tc>
                <w:tcPr>
                  <w:tcW w:w="572" w:type="pct"/>
                  <w:tcBorders>
                    <w:tl2br w:val="nil"/>
                    <w:tr2bl w:val="nil"/>
                  </w:tcBorders>
                  <w:vAlign w:val="center"/>
                </w:tcPr>
                <w:p w14:paraId="1A68AEBC">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100</w:t>
                  </w:r>
                </w:p>
              </w:tc>
              <w:tc>
                <w:tcPr>
                  <w:tcW w:w="543" w:type="pct"/>
                  <w:tcBorders>
                    <w:tl2br w:val="nil"/>
                    <w:tr2bl w:val="nil"/>
                  </w:tcBorders>
                  <w:vAlign w:val="center"/>
                </w:tcPr>
                <w:p w14:paraId="3D041BFE">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300</w:t>
                  </w:r>
                </w:p>
              </w:tc>
              <w:tc>
                <w:tcPr>
                  <w:tcW w:w="488" w:type="pct"/>
                  <w:tcBorders>
                    <w:tl2br w:val="nil"/>
                    <w:tr2bl w:val="nil"/>
                  </w:tcBorders>
                  <w:vAlign w:val="center"/>
                </w:tcPr>
                <w:p w14:paraId="61B2B3DE">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居民</w:t>
                  </w:r>
                </w:p>
              </w:tc>
              <w:tc>
                <w:tcPr>
                  <w:tcW w:w="900" w:type="pct"/>
                  <w:tcBorders>
                    <w:tl2br w:val="nil"/>
                    <w:tr2bl w:val="nil"/>
                  </w:tcBorders>
                  <w:vAlign w:val="center"/>
                </w:tcPr>
                <w:p w14:paraId="1FAB2843">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约5户，16人</w:t>
                  </w:r>
                </w:p>
              </w:tc>
              <w:tc>
                <w:tcPr>
                  <w:tcW w:w="782" w:type="pct"/>
                  <w:tcBorders>
                    <w:tl2br w:val="nil"/>
                    <w:tr2bl w:val="nil"/>
                  </w:tcBorders>
                  <w:vAlign w:val="center"/>
                </w:tcPr>
                <w:p w14:paraId="0434594D">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NE，340~400</w:t>
                  </w:r>
                </w:p>
              </w:tc>
              <w:tc>
                <w:tcPr>
                  <w:tcW w:w="594" w:type="pct"/>
                  <w:vMerge w:val="continue"/>
                  <w:tcBorders>
                    <w:tl2br w:val="nil"/>
                    <w:tr2bl w:val="nil"/>
                  </w:tcBorders>
                  <w:vAlign w:val="center"/>
                </w:tcPr>
                <w:p w14:paraId="675292F9">
                  <w:pPr>
                    <w:pStyle w:val="21"/>
                    <w:spacing w:before="78" w:beforeLines="25" w:beforeAutospacing="0" w:after="78" w:afterLines="25" w:afterAutospacing="0" w:line="303" w:lineRule="auto"/>
                    <w:jc w:val="center"/>
                    <w:rPr>
                      <w:rFonts w:ascii="Times New Roman" w:hAnsi="Times New Roman" w:eastAsia="宋体"/>
                      <w:color w:val="000000" w:themeColor="text1"/>
                      <w:sz w:val="21"/>
                      <w:szCs w:val="21"/>
                      <w:highlight w:val="none"/>
                      <w14:textFill>
                        <w14:solidFill>
                          <w14:schemeClr w14:val="tx1"/>
                        </w14:solidFill>
                      </w14:textFill>
                    </w:rPr>
                  </w:pPr>
                </w:p>
              </w:tc>
            </w:tr>
            <w:tr w14:paraId="0D132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000" w:type="pct"/>
                  <w:gridSpan w:val="7"/>
                  <w:tcBorders>
                    <w:tl2br w:val="nil"/>
                    <w:tr2bl w:val="nil"/>
                  </w:tcBorders>
                  <w:vAlign w:val="center"/>
                </w:tcPr>
                <w:p w14:paraId="72825566">
                  <w:pPr>
                    <w:pStyle w:val="21"/>
                    <w:spacing w:before="78" w:beforeLines="25" w:beforeAutospacing="0" w:after="78" w:afterLines="25" w:afterAutospacing="0" w:line="303" w:lineRule="auto"/>
                    <w:ind w:firstLine="422" w:firstLineChars="200"/>
                    <w:jc w:val="both"/>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注</w:t>
                  </w:r>
                  <w:r>
                    <w:rPr>
                      <w:rFonts w:hint="eastAsia" w:ascii="Times New Roman" w:hAnsi="Times New Roman" w:eastAsia="宋体"/>
                      <w:color w:val="000000" w:themeColor="text1"/>
                      <w:sz w:val="21"/>
                      <w:szCs w:val="21"/>
                      <w:highlight w:val="none"/>
                      <w14:textFill>
                        <w14:solidFill>
                          <w14:schemeClr w14:val="tx1"/>
                        </w14:solidFill>
                      </w14:textFill>
                    </w:rPr>
                    <w:t>：采用相对坐标，</w:t>
                  </w:r>
                  <w:r>
                    <w:rPr>
                      <w:rFonts w:ascii="Times New Roman" w:hAnsi="Times New Roman" w:eastAsia="宋体"/>
                      <w:color w:val="000000" w:themeColor="text1"/>
                      <w:sz w:val="21"/>
                      <w:szCs w:val="21"/>
                      <w:highlight w:val="none"/>
                      <w14:textFill>
                        <w14:solidFill>
                          <w14:schemeClr w14:val="tx1"/>
                        </w14:solidFill>
                      </w14:textFill>
                    </w:rPr>
                    <w:t>坐标原点为</w:t>
                  </w:r>
                  <w:r>
                    <w:rPr>
                      <w:rFonts w:hint="eastAsia" w:ascii="Times New Roman" w:hAnsi="Times New Roman" w:eastAsia="宋体"/>
                      <w:color w:val="000000" w:themeColor="text1"/>
                      <w:sz w:val="21"/>
                      <w:szCs w:val="21"/>
                      <w:highlight w:val="none"/>
                      <w14:textFill>
                        <w14:solidFill>
                          <w14:schemeClr w14:val="tx1"/>
                        </w14:solidFill>
                      </w14:textFill>
                    </w:rPr>
                    <w:t>项目租用厂房北厂界。</w:t>
                  </w:r>
                </w:p>
              </w:tc>
            </w:tr>
          </w:tbl>
          <w:p w14:paraId="31F0073E">
            <w:pPr>
              <w:pStyle w:val="21"/>
              <w:spacing w:before="31" w:beforeLines="10" w:beforeAutospacing="0" w:after="31" w:afterLines="10" w:afterAutospacing="0" w:line="372" w:lineRule="auto"/>
              <w:ind w:firstLine="482" w:firstLineChars="200"/>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（3）、声环境保护目标</w:t>
            </w:r>
          </w:p>
          <w:p w14:paraId="6052B1AF">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项目厂界外50米范围内无声环境保护目标。</w:t>
            </w:r>
          </w:p>
          <w:p w14:paraId="5F777072">
            <w:pPr>
              <w:pStyle w:val="21"/>
              <w:spacing w:before="31" w:beforeLines="10" w:beforeAutospacing="0" w:after="31" w:afterLines="10" w:afterAutospacing="0" w:line="372" w:lineRule="auto"/>
              <w:ind w:firstLine="482" w:firstLineChars="200"/>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（4）、地表水环境保护目标</w:t>
            </w:r>
          </w:p>
          <w:p w14:paraId="0421B882">
            <w:pPr>
              <w:pStyle w:val="21"/>
              <w:widowControl w:val="0"/>
              <w:spacing w:before="0" w:beforeAutospacing="0" w:after="0" w:afterAutospacing="0" w:line="375"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项目地表水环境保护目标见下表：</w:t>
            </w:r>
          </w:p>
          <w:p w14:paraId="1CB006B4">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表3-</w:t>
            </w:r>
            <w:r>
              <w:rPr>
                <w:rFonts w:hint="eastAsia" w:ascii="Times New Roman" w:hAnsi="Times New Roman" w:eastAsia="宋体" w:cs="Times New Roman"/>
                <w:color w:val="000000" w:themeColor="text1"/>
                <w:szCs w:val="24"/>
                <w:highlight w:val="none"/>
                <w14:textFill>
                  <w14:solidFill>
                    <w14:schemeClr w14:val="tx1"/>
                  </w14:solidFill>
                </w14:textFill>
              </w:rPr>
              <w:t>6</w:t>
            </w:r>
            <w:r>
              <w:rPr>
                <w:rFonts w:ascii="Times New Roman" w:hAnsi="Times New Roman" w:eastAsia="宋体" w:cs="Times New Roman"/>
                <w:color w:val="000000" w:themeColor="text1"/>
                <w:szCs w:val="24"/>
                <w:highlight w:val="none"/>
                <w14:textFill>
                  <w14:solidFill>
                    <w14:schemeClr w14:val="tx1"/>
                  </w14:solidFill>
                </w14:textFill>
              </w:rPr>
              <w:t xml:space="preserve">  地表水环境保护目标一览表</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439"/>
              <w:gridCol w:w="1446"/>
              <w:gridCol w:w="1448"/>
              <w:gridCol w:w="1000"/>
              <w:gridCol w:w="1326"/>
              <w:gridCol w:w="2033"/>
            </w:tblGrid>
            <w:tr w14:paraId="69F9E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28" w:type="pct"/>
                  <w:vMerge w:val="restart"/>
                  <w:tcBorders>
                    <w:tl2br w:val="nil"/>
                    <w:tr2bl w:val="nil"/>
                  </w:tcBorders>
                  <w:vAlign w:val="center"/>
                </w:tcPr>
                <w:p w14:paraId="27FDF910">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保护目标名称</w:t>
                  </w:r>
                </w:p>
              </w:tc>
              <w:tc>
                <w:tcPr>
                  <w:tcW w:w="1665" w:type="pct"/>
                  <w:gridSpan w:val="2"/>
                  <w:tcBorders>
                    <w:tl2br w:val="nil"/>
                    <w:tr2bl w:val="nil"/>
                  </w:tcBorders>
                  <w:vAlign w:val="center"/>
                </w:tcPr>
                <w:p w14:paraId="5548B433">
                  <w:pPr>
                    <w:pStyle w:val="21"/>
                    <w:spacing w:before="71" w:beforeLines="23" w:beforeAutospacing="0" w:after="71" w:afterLines="23"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坐标</w:t>
                  </w:r>
                </w:p>
              </w:tc>
              <w:tc>
                <w:tcPr>
                  <w:tcW w:w="575" w:type="pct"/>
                  <w:vMerge w:val="restart"/>
                  <w:tcBorders>
                    <w:tl2br w:val="nil"/>
                    <w:tr2bl w:val="nil"/>
                  </w:tcBorders>
                  <w:vAlign w:val="center"/>
                </w:tcPr>
                <w:p w14:paraId="6135FD1D">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方位</w:t>
                  </w:r>
                </w:p>
              </w:tc>
              <w:tc>
                <w:tcPr>
                  <w:tcW w:w="763" w:type="pct"/>
                  <w:vMerge w:val="restart"/>
                  <w:tcBorders>
                    <w:tl2br w:val="nil"/>
                    <w:tr2bl w:val="nil"/>
                  </w:tcBorders>
                  <w:vAlign w:val="center"/>
                </w:tcPr>
                <w:p w14:paraId="6F3C33A6">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距厂界最近距离/m</w:t>
                  </w:r>
                </w:p>
              </w:tc>
              <w:tc>
                <w:tcPr>
                  <w:tcW w:w="1167" w:type="pct"/>
                  <w:vMerge w:val="restart"/>
                  <w:tcBorders>
                    <w:tl2br w:val="nil"/>
                    <w:tr2bl w:val="nil"/>
                  </w:tcBorders>
                  <w:vAlign w:val="center"/>
                </w:tcPr>
                <w:p w14:paraId="739659A4">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特征</w:t>
                  </w:r>
                </w:p>
              </w:tc>
            </w:tr>
            <w:tr w14:paraId="3A87E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28" w:type="pct"/>
                  <w:vMerge w:val="continue"/>
                  <w:tcBorders>
                    <w:tl2br w:val="nil"/>
                    <w:tr2bl w:val="nil"/>
                  </w:tcBorders>
                  <w:vAlign w:val="center"/>
                </w:tcPr>
                <w:p w14:paraId="347805FD">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c>
                <w:tcPr>
                  <w:tcW w:w="832" w:type="pct"/>
                  <w:tcBorders>
                    <w:tl2br w:val="nil"/>
                    <w:tr2bl w:val="nil"/>
                  </w:tcBorders>
                  <w:vAlign w:val="center"/>
                </w:tcPr>
                <w:p w14:paraId="7B8A8F47">
                  <w:pPr>
                    <w:pStyle w:val="21"/>
                    <w:spacing w:before="71" w:beforeLines="23" w:beforeAutospacing="0" w:after="71" w:afterLines="23"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X</w:t>
                  </w:r>
                </w:p>
              </w:tc>
              <w:tc>
                <w:tcPr>
                  <w:tcW w:w="833" w:type="pct"/>
                  <w:tcBorders>
                    <w:tl2br w:val="nil"/>
                    <w:tr2bl w:val="nil"/>
                  </w:tcBorders>
                  <w:vAlign w:val="center"/>
                </w:tcPr>
                <w:p w14:paraId="0DA784DE">
                  <w:pPr>
                    <w:pStyle w:val="21"/>
                    <w:spacing w:before="71" w:beforeLines="23" w:beforeAutospacing="0" w:after="71" w:afterLines="23"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Y</w:t>
                  </w:r>
                </w:p>
              </w:tc>
              <w:tc>
                <w:tcPr>
                  <w:tcW w:w="575" w:type="pct"/>
                  <w:vMerge w:val="continue"/>
                  <w:tcBorders>
                    <w:tl2br w:val="nil"/>
                    <w:tr2bl w:val="nil"/>
                  </w:tcBorders>
                  <w:vAlign w:val="center"/>
                </w:tcPr>
                <w:p w14:paraId="6EA0E5AE">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c>
                <w:tcPr>
                  <w:tcW w:w="763" w:type="pct"/>
                  <w:vMerge w:val="continue"/>
                  <w:tcBorders>
                    <w:tl2br w:val="nil"/>
                    <w:tr2bl w:val="nil"/>
                  </w:tcBorders>
                  <w:vAlign w:val="center"/>
                </w:tcPr>
                <w:p w14:paraId="2D98246C">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c>
                <w:tcPr>
                  <w:tcW w:w="1167" w:type="pct"/>
                  <w:vMerge w:val="continue"/>
                  <w:tcBorders>
                    <w:tl2br w:val="nil"/>
                    <w:tr2bl w:val="nil"/>
                  </w:tcBorders>
                  <w:vAlign w:val="center"/>
                </w:tcPr>
                <w:p w14:paraId="40B9FF67">
                  <w:pPr>
                    <w:pStyle w:val="21"/>
                    <w:spacing w:before="78" w:beforeLines="25" w:beforeAutospacing="0" w:after="78" w:afterLines="25" w:afterAutospacing="0" w:line="303"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r>
            <w:tr w14:paraId="64869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828" w:type="pct"/>
                  <w:tcBorders>
                    <w:tl2br w:val="nil"/>
                    <w:tr2bl w:val="nil"/>
                  </w:tcBorders>
                  <w:vAlign w:val="center"/>
                </w:tcPr>
                <w:p w14:paraId="0AAD9B18">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长江</w:t>
                  </w:r>
                </w:p>
              </w:tc>
              <w:tc>
                <w:tcPr>
                  <w:tcW w:w="832" w:type="pct"/>
                  <w:tcBorders>
                    <w:tl2br w:val="nil"/>
                    <w:tr2bl w:val="nil"/>
                  </w:tcBorders>
                  <w:vAlign w:val="center"/>
                </w:tcPr>
                <w:p w14:paraId="412394AD">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-3550</w:t>
                  </w:r>
                </w:p>
              </w:tc>
              <w:tc>
                <w:tcPr>
                  <w:tcW w:w="833" w:type="pct"/>
                  <w:tcBorders>
                    <w:tl2br w:val="nil"/>
                    <w:tr2bl w:val="nil"/>
                  </w:tcBorders>
                  <w:vAlign w:val="center"/>
                </w:tcPr>
                <w:p w14:paraId="0D0B8A17">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-4000</w:t>
                  </w:r>
                </w:p>
              </w:tc>
              <w:tc>
                <w:tcPr>
                  <w:tcW w:w="575" w:type="pct"/>
                  <w:tcBorders>
                    <w:tl2br w:val="nil"/>
                    <w:tr2bl w:val="nil"/>
                  </w:tcBorders>
                  <w:vAlign w:val="center"/>
                </w:tcPr>
                <w:p w14:paraId="0EBD54A6">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SW</w:t>
                  </w:r>
                </w:p>
              </w:tc>
              <w:tc>
                <w:tcPr>
                  <w:tcW w:w="763" w:type="pct"/>
                  <w:tcBorders>
                    <w:tl2br w:val="nil"/>
                    <w:tr2bl w:val="nil"/>
                  </w:tcBorders>
                  <w:vAlign w:val="center"/>
                </w:tcPr>
                <w:p w14:paraId="106511F0">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5300</w:t>
                  </w:r>
                </w:p>
              </w:tc>
              <w:tc>
                <w:tcPr>
                  <w:tcW w:w="1167" w:type="pct"/>
                  <w:tcBorders>
                    <w:tl2br w:val="nil"/>
                    <w:tr2bl w:val="nil"/>
                  </w:tcBorders>
                  <w:vAlign w:val="center"/>
                </w:tcPr>
                <w:p w14:paraId="106DEF6B">
                  <w:pPr>
                    <w:pStyle w:val="21"/>
                    <w:spacing w:before="78" w:beforeLines="25" w:beforeAutospacing="0" w:after="78" w:afterLines="25" w:afterAutospacing="0" w:line="303"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Ⅲ</w:t>
                  </w:r>
                  <w:r>
                    <w:rPr>
                      <w:rFonts w:ascii="Times New Roman" w:hAnsi="Times New Roman" w:eastAsia="宋体"/>
                      <w:color w:val="000000" w:themeColor="text1"/>
                      <w:sz w:val="21"/>
                      <w:szCs w:val="21"/>
                      <w:highlight w:val="none"/>
                      <w14:textFill>
                        <w14:solidFill>
                          <w14:schemeClr w14:val="tx1"/>
                        </w14:solidFill>
                      </w14:textFill>
                    </w:rPr>
                    <w:t>类水域功能</w:t>
                  </w:r>
                </w:p>
              </w:tc>
            </w:tr>
            <w:tr w14:paraId="476C9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5000" w:type="pct"/>
                  <w:gridSpan w:val="6"/>
                  <w:tcBorders>
                    <w:tl2br w:val="nil"/>
                    <w:tr2bl w:val="nil"/>
                  </w:tcBorders>
                  <w:vAlign w:val="center"/>
                </w:tcPr>
                <w:p w14:paraId="1B5282B1">
                  <w:pPr>
                    <w:pStyle w:val="21"/>
                    <w:spacing w:before="78" w:beforeLines="25" w:beforeAutospacing="0" w:after="78" w:afterLines="25" w:afterAutospacing="0" w:line="303" w:lineRule="auto"/>
                    <w:ind w:firstLine="422" w:firstLineChars="200"/>
                    <w:jc w:val="both"/>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注</w:t>
                  </w:r>
                  <w:r>
                    <w:rPr>
                      <w:rFonts w:hint="eastAsia" w:ascii="Times New Roman" w:hAnsi="Times New Roman" w:eastAsia="宋体"/>
                      <w:color w:val="000000" w:themeColor="text1"/>
                      <w:sz w:val="21"/>
                      <w:szCs w:val="21"/>
                      <w:highlight w:val="none"/>
                      <w14:textFill>
                        <w14:solidFill>
                          <w14:schemeClr w14:val="tx1"/>
                        </w14:solidFill>
                      </w14:textFill>
                    </w:rPr>
                    <w:t>：采用相对坐标，</w:t>
                  </w:r>
                  <w:r>
                    <w:rPr>
                      <w:rFonts w:ascii="Times New Roman" w:hAnsi="Times New Roman" w:eastAsia="宋体"/>
                      <w:color w:val="000000" w:themeColor="text1"/>
                      <w:sz w:val="21"/>
                      <w:szCs w:val="21"/>
                      <w:highlight w:val="none"/>
                      <w14:textFill>
                        <w14:solidFill>
                          <w14:schemeClr w14:val="tx1"/>
                        </w14:solidFill>
                      </w14:textFill>
                    </w:rPr>
                    <w:t>坐标原点为厂区中心</w:t>
                  </w:r>
                  <w:r>
                    <w:rPr>
                      <w:rFonts w:hint="eastAsia" w:ascii="Times New Roman" w:hAnsi="Times New Roman" w:eastAsia="宋体"/>
                      <w:color w:val="000000" w:themeColor="text1"/>
                      <w:sz w:val="21"/>
                      <w:szCs w:val="21"/>
                      <w:highlight w:val="none"/>
                      <w14:textFill>
                        <w14:solidFill>
                          <w14:schemeClr w14:val="tx1"/>
                        </w14:solidFill>
                      </w14:textFill>
                    </w:rPr>
                    <w:t>。</w:t>
                  </w:r>
                </w:p>
              </w:tc>
            </w:tr>
          </w:tbl>
          <w:p w14:paraId="2B317676">
            <w:pPr>
              <w:pStyle w:val="21"/>
              <w:spacing w:before="31" w:beforeLines="10" w:beforeAutospacing="0" w:after="31" w:afterLines="10" w:afterAutospacing="0" w:line="372" w:lineRule="auto"/>
              <w:ind w:firstLine="482" w:firstLineChars="200"/>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（5）、地下水环境保护目标</w:t>
            </w:r>
          </w:p>
          <w:p w14:paraId="239A4EBB">
            <w:pPr>
              <w:spacing w:line="368"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s="宋体"/>
                <w:color w:val="000000" w:themeColor="text1"/>
                <w:kern w:val="0"/>
                <w:sz w:val="24"/>
                <w:highlight w:val="none"/>
                <w14:textFill>
                  <w14:solidFill>
                    <w14:schemeClr w14:val="tx1"/>
                  </w14:solidFill>
                </w14:textFill>
              </w:rPr>
              <w:t>本项目厂界外500m范围内无地下水集中式饮用水水源和热水、矿泉水、温泉等特殊地下水资源。</w:t>
            </w:r>
          </w:p>
        </w:tc>
      </w:tr>
      <w:tr w14:paraId="0C19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312" w:hRule="atLeast"/>
        </w:trPr>
        <w:tc>
          <w:tcPr>
            <w:tcW w:w="365" w:type="pct"/>
            <w:vAlign w:val="center"/>
          </w:tcPr>
          <w:p w14:paraId="19E974FA">
            <w:pPr>
              <w:spacing w:line="360" w:lineRule="auto"/>
              <w:jc w:val="center"/>
              <w:rPr>
                <w:rFonts w:ascii="Times New Roman" w:hAnsi="Times New Roman" w:cs="宋体"/>
                <w:b/>
                <w:bCs/>
                <w:color w:val="000000" w:themeColor="text1"/>
                <w:kern w:val="0"/>
                <w:sz w:val="24"/>
                <w:highlight w:val="none"/>
                <w14:textFill>
                  <w14:solidFill>
                    <w14:schemeClr w14:val="tx1"/>
                  </w14:solidFill>
                </w14:textFill>
              </w:rPr>
            </w:pPr>
            <w:r>
              <w:rPr>
                <w:rFonts w:hint="eastAsia" w:ascii="Times New Roman" w:hAnsi="Times New Roman" w:cs="宋体"/>
                <w:b/>
                <w:bCs/>
                <w:color w:val="000000" w:themeColor="text1"/>
                <w:kern w:val="0"/>
                <w:sz w:val="24"/>
                <w:highlight w:val="none"/>
                <w14:textFill>
                  <w14:solidFill>
                    <w14:schemeClr w14:val="tx1"/>
                  </w14:solidFill>
                </w14:textFill>
              </w:rPr>
              <w:t>污染物排放控制标准</w:t>
            </w:r>
          </w:p>
        </w:tc>
        <w:tc>
          <w:tcPr>
            <w:tcW w:w="4634" w:type="pct"/>
          </w:tcPr>
          <w:p w14:paraId="2C396454">
            <w:pPr>
              <w:pStyle w:val="21"/>
              <w:spacing w:before="31" w:beforeLines="10" w:beforeAutospacing="0" w:after="31" w:afterLines="10" w:afterAutospacing="0" w:line="360" w:lineRule="auto"/>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（1）、大气污染物排放标准</w:t>
            </w:r>
          </w:p>
          <w:p w14:paraId="30CAA543">
            <w:pPr>
              <w:spacing w:line="375"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1）废气有组织排放标准</w:t>
            </w:r>
          </w:p>
          <w:p w14:paraId="1B1CB1C4">
            <w:pPr>
              <w:spacing w:line="375" w:lineRule="auto"/>
              <w:ind w:firstLine="480" w:firstLineChars="200"/>
              <w:rPr>
                <w:rFonts w:hint="eastAsia" w:ascii="Times New Roman" w:hAnsi="Times New Roman" w:cs="宋体"/>
                <w:color w:val="000000" w:themeColor="text1"/>
                <w:sz w:val="24"/>
                <w:highlight w:val="none"/>
                <w:lang w:val="en-US" w:eastAsia="zh-CN"/>
                <w14:textFill>
                  <w14:solidFill>
                    <w14:schemeClr w14:val="tx1"/>
                  </w14:solidFill>
                </w14:textFill>
              </w:rPr>
            </w:pPr>
            <w:r>
              <w:rPr>
                <w:rFonts w:hint="eastAsia" w:ascii="Times New Roman" w:hAnsi="Times New Roman" w:cs="宋体"/>
                <w:color w:val="000000" w:themeColor="text1"/>
                <w:sz w:val="24"/>
                <w:highlight w:val="none"/>
                <w:lang w:eastAsia="zh-CN"/>
                <w14:textFill>
                  <w14:solidFill>
                    <w14:schemeClr w14:val="tx1"/>
                  </w14:solidFill>
                </w14:textFill>
              </w:rPr>
              <w:t>根据建设单位提供塑粉</w:t>
            </w:r>
            <w:r>
              <w:rPr>
                <w:rFonts w:hint="eastAsia" w:ascii="Times New Roman" w:hAnsi="Times New Roman" w:cs="宋体"/>
                <w:color w:val="000000" w:themeColor="text1"/>
                <w:sz w:val="24"/>
                <w:highlight w:val="none"/>
                <w:lang w:val="en-US" w:eastAsia="zh-CN"/>
                <w14:textFill>
                  <w14:solidFill>
                    <w14:schemeClr w14:val="tx1"/>
                  </w14:solidFill>
                </w14:textFill>
              </w:rPr>
              <w:t>MSDS，其主要成分为环氧树脂。根据《合成树脂工业污染物排放标准》（GB31572-2015（含2014年修改单））适用范围，“本标准适用于现有合成树脂工业企业或生产设施的水污染物和大气污染物排放管理，以及合成树脂工业建设项目的环境影响评价、环境保护设施设计、竣工环境保护验收及其投产后的水污染物和大气污染物排放管理。塑料制品工业企业及其生产设施参照执行。”本项目属于“金属表面处理及热处理加工”、“摩托车零部件及配件制造”行业，不适用于该标准。</w:t>
            </w:r>
          </w:p>
          <w:p w14:paraId="55D18430">
            <w:pPr>
              <w:spacing w:line="375" w:lineRule="auto"/>
              <w:ind w:firstLine="480" w:firstLineChars="200"/>
              <w:rPr>
                <w:rFonts w:hint="default" w:ascii="Times New Roman" w:hAnsi="Times New Roman" w:cs="宋体"/>
                <w:color w:val="000000" w:themeColor="text1"/>
                <w:sz w:val="24"/>
                <w:highlight w:val="none"/>
                <w:lang w:val="en-US" w:eastAsia="zh-CN"/>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项目位于九龙坡区西彭园区D标准分区，属于重庆市地方标准《大气污染物综合排放标准》（DB 50/418-2016）中划分的</w:t>
            </w:r>
            <w:r>
              <w:rPr>
                <w:rFonts w:hint="eastAsia" w:ascii="Times New Roman" w:hAnsi="Times New Roman" w:cs="宋体"/>
                <w:b/>
                <w:bCs/>
                <w:color w:val="000000" w:themeColor="text1"/>
                <w:sz w:val="24"/>
                <w:highlight w:val="none"/>
                <w:u w:val="single"/>
                <w14:textFill>
                  <w14:solidFill>
                    <w14:schemeClr w14:val="tx1"/>
                  </w14:solidFill>
                </w14:textFill>
              </w:rPr>
              <w:t>主城区</w:t>
            </w:r>
            <w:r>
              <w:rPr>
                <w:rFonts w:hint="eastAsia" w:ascii="Times New Roman" w:hAnsi="Times New Roman" w:cs="宋体"/>
                <w:color w:val="000000" w:themeColor="text1"/>
                <w:sz w:val="24"/>
                <w:highlight w:val="none"/>
                <w14:textFill>
                  <w14:solidFill>
                    <w14:schemeClr w14:val="tx1"/>
                  </w14:solidFill>
                </w14:textFill>
              </w:rPr>
              <w:t>。</w:t>
            </w:r>
          </w:p>
          <w:p w14:paraId="5ABF3EB2">
            <w:pPr>
              <w:pStyle w:val="21"/>
              <w:spacing w:before="0" w:beforeAutospacing="0" w:after="0" w:afterAutospacing="0" w:line="375" w:lineRule="auto"/>
              <w:ind w:firstLine="480" w:firstLineChars="200"/>
              <w:jc w:val="both"/>
              <w:rPr>
                <w:rFonts w:hint="eastAsia" w:ascii="Times New Roman" w:hAnsi="Times New Roman" w:cs="宋体" w:eastAsiaTheme="minorEastAsia"/>
                <w:color w:val="000000" w:themeColor="text1"/>
                <w:szCs w:val="24"/>
                <w:highlight w:val="none"/>
                <w:lang w:eastAsia="zh-CN"/>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项目抛丸工序、喷粉工序产生的颗粒物执行重庆市地方标准《大气污染物综合排放标准》（DB50/418-2016）表1排放限值要求。</w:t>
            </w:r>
            <w:r>
              <w:rPr>
                <w:rFonts w:hint="eastAsia" w:ascii="Times New Roman" w:hAnsi="Times New Roman" w:cs="宋体"/>
                <w:color w:val="000000" w:themeColor="text1"/>
                <w:szCs w:val="24"/>
                <w:highlight w:val="none"/>
                <w:lang w:eastAsia="zh-CN"/>
                <w14:textFill>
                  <w14:solidFill>
                    <w14:schemeClr w14:val="tx1"/>
                  </w14:solidFill>
                </w14:textFill>
              </w:rPr>
              <w:t>固化</w:t>
            </w:r>
            <w:r>
              <w:rPr>
                <w:rFonts w:hint="eastAsia" w:ascii="Times New Roman" w:hAnsi="Times New Roman" w:cs="宋体"/>
                <w:color w:val="000000" w:themeColor="text1"/>
                <w:szCs w:val="24"/>
                <w:highlight w:val="none"/>
                <w14:textFill>
                  <w14:solidFill>
                    <w14:schemeClr w14:val="tx1"/>
                  </w14:solidFill>
                </w14:textFill>
              </w:rPr>
              <w:t>产生的</w:t>
            </w:r>
            <w:r>
              <w:rPr>
                <w:rFonts w:hint="eastAsia" w:ascii="Times New Roman" w:hAnsi="Times New Roman" w:cs="宋体"/>
                <w:color w:val="000000" w:themeColor="text1"/>
                <w:szCs w:val="24"/>
                <w:highlight w:val="none"/>
                <w:lang w:eastAsia="zh-CN"/>
                <w14:textFill>
                  <w14:solidFill>
                    <w14:schemeClr w14:val="tx1"/>
                  </w14:solidFill>
                </w14:textFill>
              </w:rPr>
              <w:t>废气</w:t>
            </w:r>
            <w:r>
              <w:rPr>
                <w:rFonts w:hint="eastAsia" w:ascii="Times New Roman" w:hAnsi="Times New Roman" w:cs="宋体"/>
                <w:color w:val="000000" w:themeColor="text1"/>
                <w:szCs w:val="24"/>
                <w:highlight w:val="none"/>
                <w14:textFill>
                  <w14:solidFill>
                    <w14:schemeClr w14:val="tx1"/>
                  </w14:solidFill>
                </w14:textFill>
              </w:rPr>
              <w:t>执行</w:t>
            </w:r>
            <w:r>
              <w:rPr>
                <w:rFonts w:hint="eastAsia"/>
                <w:color w:val="000000" w:themeColor="text1"/>
                <w:highlight w:val="none"/>
                <w14:textFill>
                  <w14:solidFill>
                    <w14:schemeClr w14:val="tx1"/>
                  </w14:solidFill>
                </w14:textFill>
              </w:rPr>
              <w:t>《</w:t>
            </w:r>
            <w:r>
              <w:rPr>
                <w:rFonts w:hint="eastAsia" w:ascii="Times New Roman" w:hAnsi="Times New Roman" w:cs="宋体"/>
                <w:color w:val="000000" w:themeColor="text1"/>
                <w:szCs w:val="24"/>
                <w:highlight w:val="none"/>
                <w14:textFill>
                  <w14:solidFill>
                    <w14:schemeClr w14:val="tx1"/>
                  </w14:solidFill>
                </w14:textFill>
              </w:rPr>
              <w:t>摩托车及汽车配件制造表面涂装大气污染物排放标准》（DB50/660-2016）</w:t>
            </w:r>
            <w:r>
              <w:rPr>
                <w:rFonts w:ascii="Times New Roman" w:hAnsi="Times New Roman" w:cs="Times New Roman"/>
                <w:bCs/>
                <w:color w:val="000000" w:themeColor="text1"/>
                <w:szCs w:val="24"/>
                <w:highlight w:val="none"/>
                <w14:textFill>
                  <w14:solidFill>
                    <w14:schemeClr w14:val="tx1"/>
                  </w14:solidFill>
                </w14:textFill>
              </w:rPr>
              <w:t>表2中主城区相应污染物排放限值</w:t>
            </w:r>
            <w:r>
              <w:rPr>
                <w:rFonts w:hint="eastAsia" w:ascii="Times New Roman" w:hAnsi="Times New Roman" w:cs="Times New Roman"/>
                <w:bCs/>
                <w:color w:val="000000" w:themeColor="text1"/>
                <w:szCs w:val="24"/>
                <w:highlight w:val="none"/>
                <w14:textFill>
                  <w14:solidFill>
                    <w14:schemeClr w14:val="tx1"/>
                  </w14:solidFill>
                </w14:textFill>
              </w:rPr>
              <w:t>，但标准中</w:t>
            </w:r>
            <w:r>
              <w:rPr>
                <w:rFonts w:hint="eastAsia" w:ascii="Times New Roman" w:hAnsi="Times New Roman" w:cs="Times New Roman"/>
                <w:bCs/>
                <w:color w:val="000000" w:themeColor="text1"/>
                <w:szCs w:val="24"/>
                <w:highlight w:val="none"/>
                <w:lang w:eastAsia="zh-CN"/>
                <w14:textFill>
                  <w14:solidFill>
                    <w14:schemeClr w14:val="tx1"/>
                  </w14:solidFill>
                </w14:textFill>
              </w:rPr>
              <w:t>颗粒物仅适用于喷漆室，</w:t>
            </w:r>
            <w:r>
              <w:rPr>
                <w:rFonts w:hint="eastAsia" w:ascii="Times New Roman" w:hAnsi="Times New Roman" w:cs="Times New Roman"/>
                <w:bCs/>
                <w:color w:val="000000" w:themeColor="text1"/>
                <w:szCs w:val="24"/>
                <w:highlight w:val="none"/>
                <w14:textFill>
                  <w14:solidFill>
                    <w14:schemeClr w14:val="tx1"/>
                  </w14:solidFill>
                </w14:textFill>
              </w:rPr>
              <w:t>SO</w:t>
            </w:r>
            <w:r>
              <w:rPr>
                <w:rFonts w:hint="eastAsia" w:ascii="Times New Roman" w:hAnsi="Times New Roman" w:cs="Times New Roman"/>
                <w:bCs/>
                <w:color w:val="000000" w:themeColor="text1"/>
                <w:szCs w:val="24"/>
                <w:highlight w:val="none"/>
                <w:vertAlign w:val="subscript"/>
                <w14:textFill>
                  <w14:solidFill>
                    <w14:schemeClr w14:val="tx1"/>
                  </w14:solidFill>
                </w14:textFill>
              </w:rPr>
              <w:t>2</w:t>
            </w:r>
            <w:r>
              <w:rPr>
                <w:rFonts w:hint="eastAsia" w:ascii="Times New Roman" w:hAnsi="Times New Roman" w:cs="Times New Roman"/>
                <w:bCs/>
                <w:color w:val="000000" w:themeColor="text1"/>
                <w:szCs w:val="24"/>
                <w:highlight w:val="none"/>
                <w14:textFill>
                  <w14:solidFill>
                    <w14:schemeClr w14:val="tx1"/>
                  </w14:solidFill>
                </w14:textFill>
              </w:rPr>
              <w:t>、NO</w:t>
            </w:r>
            <w:r>
              <w:rPr>
                <w:rFonts w:hint="eastAsia" w:ascii="Times New Roman" w:hAnsi="Times New Roman" w:cs="Times New Roman"/>
                <w:bCs/>
                <w:color w:val="000000" w:themeColor="text1"/>
                <w:szCs w:val="24"/>
                <w:highlight w:val="none"/>
                <w:vertAlign w:val="subscript"/>
                <w14:textFill>
                  <w14:solidFill>
                    <w14:schemeClr w14:val="tx1"/>
                  </w14:solidFill>
                </w14:textFill>
              </w:rPr>
              <w:t>X</w:t>
            </w:r>
            <w:r>
              <w:rPr>
                <w:rFonts w:hint="eastAsia" w:ascii="Times New Roman" w:hAnsi="Times New Roman" w:cs="Times New Roman"/>
                <w:bCs/>
                <w:color w:val="000000" w:themeColor="text1"/>
                <w:szCs w:val="24"/>
                <w:highlight w:val="none"/>
                <w14:textFill>
                  <w14:solidFill>
                    <w14:schemeClr w14:val="tx1"/>
                  </w14:solidFill>
                </w14:textFill>
              </w:rPr>
              <w:t>排放限值</w:t>
            </w:r>
            <w:r>
              <w:rPr>
                <w:rFonts w:hint="eastAsia" w:ascii="Times New Roman" w:hAnsi="Times New Roman" w:cs="Times New Roman"/>
                <w:color w:val="000000" w:themeColor="text1"/>
                <w:szCs w:val="24"/>
                <w:highlight w:val="none"/>
                <w14:textFill>
                  <w14:solidFill>
                    <w14:schemeClr w14:val="tx1"/>
                  </w14:solidFill>
                </w14:textFill>
              </w:rPr>
              <w:t>仅适用于燃烧类处理设施，</w:t>
            </w:r>
            <w:r>
              <w:rPr>
                <w:rFonts w:hint="eastAsia" w:ascii="Times New Roman" w:hAnsi="Times New Roman" w:cs="Times New Roman"/>
                <w:color w:val="000000" w:themeColor="text1"/>
                <w:szCs w:val="24"/>
                <w:highlight w:val="none"/>
                <w:lang w:eastAsia="zh-CN"/>
                <w14:textFill>
                  <w14:solidFill>
                    <w14:schemeClr w14:val="tx1"/>
                  </w14:solidFill>
                </w14:textFill>
              </w:rPr>
              <w:t>故液体石蜡燃烧过程产生的颗粒物、</w:t>
            </w:r>
            <w:r>
              <w:rPr>
                <w:rFonts w:hint="eastAsia" w:ascii="Times New Roman" w:hAnsi="Times New Roman" w:cs="Times New Roman"/>
                <w:bCs/>
                <w:color w:val="000000" w:themeColor="text1"/>
                <w:szCs w:val="24"/>
                <w:highlight w:val="none"/>
                <w14:textFill>
                  <w14:solidFill>
                    <w14:schemeClr w14:val="tx1"/>
                  </w14:solidFill>
                </w14:textFill>
              </w:rPr>
              <w:t>SO</w:t>
            </w:r>
            <w:r>
              <w:rPr>
                <w:rFonts w:hint="eastAsia" w:ascii="Times New Roman" w:hAnsi="Times New Roman" w:cs="Times New Roman"/>
                <w:bCs/>
                <w:color w:val="000000" w:themeColor="text1"/>
                <w:szCs w:val="24"/>
                <w:highlight w:val="none"/>
                <w:vertAlign w:val="subscript"/>
                <w14:textFill>
                  <w14:solidFill>
                    <w14:schemeClr w14:val="tx1"/>
                  </w14:solidFill>
                </w14:textFill>
              </w:rPr>
              <w:t>2</w:t>
            </w:r>
            <w:r>
              <w:rPr>
                <w:rFonts w:hint="eastAsia" w:ascii="Times New Roman" w:hAnsi="Times New Roman" w:cs="Times New Roman"/>
                <w:bCs/>
                <w:color w:val="000000" w:themeColor="text1"/>
                <w:szCs w:val="24"/>
                <w:highlight w:val="none"/>
                <w14:textFill>
                  <w14:solidFill>
                    <w14:schemeClr w14:val="tx1"/>
                  </w14:solidFill>
                </w14:textFill>
              </w:rPr>
              <w:t>、NO</w:t>
            </w:r>
            <w:r>
              <w:rPr>
                <w:rFonts w:hint="eastAsia" w:ascii="Times New Roman" w:hAnsi="Times New Roman" w:cs="Times New Roman"/>
                <w:bCs/>
                <w:color w:val="000000" w:themeColor="text1"/>
                <w:szCs w:val="24"/>
                <w:highlight w:val="none"/>
                <w:vertAlign w:val="subscript"/>
                <w14:textFill>
                  <w14:solidFill>
                    <w14:schemeClr w14:val="tx1"/>
                  </w14:solidFill>
                </w14:textFill>
              </w:rPr>
              <w:t>X</w:t>
            </w:r>
            <w:r>
              <w:rPr>
                <w:rFonts w:hint="eastAsia" w:ascii="Times New Roman" w:hAnsi="Times New Roman" w:cs="Times New Roman"/>
                <w:bCs/>
                <w:color w:val="000000" w:themeColor="text1"/>
                <w:szCs w:val="24"/>
                <w:highlight w:val="none"/>
                <w:lang w:eastAsia="zh-CN"/>
                <w14:textFill>
                  <w14:solidFill>
                    <w14:schemeClr w14:val="tx1"/>
                  </w14:solidFill>
                </w14:textFill>
              </w:rPr>
              <w:t>不适用于该标准</w:t>
            </w:r>
            <w:r>
              <w:rPr>
                <w:rFonts w:hint="eastAsia" w:ascii="Times New Roman" w:hAnsi="Times New Roman" w:cs="宋体"/>
                <w:color w:val="000000" w:themeColor="text1"/>
                <w:szCs w:val="24"/>
                <w:highlight w:val="none"/>
                <w14:textFill>
                  <w14:solidFill>
                    <w14:schemeClr w14:val="tx1"/>
                  </w14:solidFill>
                </w14:textFill>
              </w:rPr>
              <w:t>。</w:t>
            </w:r>
          </w:p>
          <w:p w14:paraId="75D5253A">
            <w:pPr>
              <w:pStyle w:val="21"/>
              <w:spacing w:before="0" w:beforeAutospacing="0" w:after="0" w:afterAutospacing="0" w:line="375" w:lineRule="auto"/>
              <w:ind w:firstLine="480" w:firstLineChars="200"/>
              <w:jc w:val="both"/>
              <w:rPr>
                <w:rFonts w:hint="eastAsia"/>
                <w:color w:val="000000" w:themeColor="text1"/>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固化工序</w:t>
            </w:r>
            <w:r>
              <w:rPr>
                <w:rFonts w:hint="eastAsia" w:ascii="Times New Roman" w:hAnsi="Times New Roman" w:cs="宋体"/>
                <w:color w:val="000000" w:themeColor="text1"/>
                <w:szCs w:val="24"/>
                <w:highlight w:val="none"/>
                <w:lang w:eastAsia="zh-CN"/>
                <w14:textFill>
                  <w14:solidFill>
                    <w14:schemeClr w14:val="tx1"/>
                  </w14:solidFill>
                </w14:textFill>
              </w:rPr>
              <w:t>使用</w:t>
            </w:r>
            <w:r>
              <w:rPr>
                <w:rFonts w:hint="eastAsia" w:ascii="Times New Roman" w:hAnsi="Times New Roman" w:cs="Times New Roman"/>
                <w:color w:val="000000" w:themeColor="text1"/>
                <w:szCs w:val="24"/>
                <w:highlight w:val="none"/>
                <w:lang w:eastAsia="zh-CN"/>
                <w14:textFill>
                  <w14:solidFill>
                    <w14:schemeClr w14:val="tx1"/>
                  </w14:solidFill>
                </w14:textFill>
              </w:rPr>
              <w:t>液体石蜡</w:t>
            </w:r>
            <w:r>
              <w:rPr>
                <w:rFonts w:hint="eastAsia" w:ascii="Times New Roman" w:hAnsi="Times New Roman" w:cs="宋体"/>
                <w:color w:val="000000" w:themeColor="text1"/>
                <w:szCs w:val="24"/>
                <w:highlight w:val="none"/>
                <w:lang w:eastAsia="zh-CN"/>
                <w14:textFill>
                  <w14:solidFill>
                    <w14:schemeClr w14:val="tx1"/>
                  </w14:solidFill>
                </w14:textFill>
              </w:rPr>
              <w:t>燃烧升高空气温度通入烘道对工件进行直接加热</w:t>
            </w:r>
            <w:r>
              <w:rPr>
                <w:rFonts w:hint="eastAsia" w:ascii="Times New Roman" w:hAnsi="Times New Roman" w:cs="宋体"/>
                <w:color w:val="000000" w:themeColor="text1"/>
                <w:szCs w:val="24"/>
                <w:highlight w:val="none"/>
                <w14:textFill>
                  <w14:solidFill>
                    <w14:schemeClr w14:val="tx1"/>
                  </w14:solidFill>
                </w14:textFill>
              </w:rPr>
              <w:t>，</w:t>
            </w:r>
            <w:r>
              <w:rPr>
                <w:rFonts w:hint="eastAsia" w:ascii="Times New Roman" w:hAnsi="Times New Roman" w:cs="Times New Roman"/>
                <w:color w:val="000000" w:themeColor="text1"/>
                <w:szCs w:val="24"/>
                <w:highlight w:val="none"/>
                <w:lang w:eastAsia="zh-CN"/>
                <w14:textFill>
                  <w14:solidFill>
                    <w14:schemeClr w14:val="tx1"/>
                  </w14:solidFill>
                </w14:textFill>
              </w:rPr>
              <w:t>液体石蜡</w:t>
            </w:r>
            <w:r>
              <w:rPr>
                <w:rFonts w:hint="eastAsia" w:ascii="Times New Roman" w:hAnsi="Times New Roman" w:cs="宋体"/>
                <w:color w:val="000000" w:themeColor="text1"/>
                <w:szCs w:val="24"/>
                <w:highlight w:val="none"/>
                <w:lang w:eastAsia="zh-CN"/>
                <w14:textFill>
                  <w14:solidFill>
                    <w14:schemeClr w14:val="tx1"/>
                  </w14:solidFill>
                </w14:textFill>
              </w:rPr>
              <w:t>燃烧烟气与塑粉加热产生的废气混合。</w:t>
            </w:r>
            <w:r>
              <w:rPr>
                <w:rFonts w:hint="eastAsia" w:ascii="Times New Roman" w:hAnsi="Times New Roman" w:cs="宋体"/>
                <w:color w:val="000000" w:themeColor="text1"/>
                <w:szCs w:val="24"/>
                <w:highlight w:val="none"/>
                <w14:textFill>
                  <w14:solidFill>
                    <w14:schemeClr w14:val="tx1"/>
                  </w14:solidFill>
                </w14:textFill>
              </w:rPr>
              <w:t>产生的非甲烷总烃执行</w:t>
            </w:r>
            <w:r>
              <w:rPr>
                <w:rFonts w:hint="eastAsia"/>
                <w:color w:val="000000" w:themeColor="text1"/>
                <w:highlight w:val="none"/>
                <w14:textFill>
                  <w14:solidFill>
                    <w14:schemeClr w14:val="tx1"/>
                  </w14:solidFill>
                </w14:textFill>
              </w:rPr>
              <w:t>《</w:t>
            </w:r>
            <w:r>
              <w:rPr>
                <w:rFonts w:hint="eastAsia" w:ascii="Times New Roman" w:hAnsi="Times New Roman" w:cs="宋体"/>
                <w:color w:val="000000" w:themeColor="text1"/>
                <w:szCs w:val="24"/>
                <w:highlight w:val="none"/>
                <w14:textFill>
                  <w14:solidFill>
                    <w14:schemeClr w14:val="tx1"/>
                  </w14:solidFill>
                </w14:textFill>
              </w:rPr>
              <w:t>摩托车及汽车配件制造表面涂装大气污染物排放标准》（DB50/660-2016）</w:t>
            </w:r>
            <w:r>
              <w:rPr>
                <w:rFonts w:ascii="Times New Roman" w:hAnsi="Times New Roman" w:cs="Times New Roman"/>
                <w:bCs/>
                <w:color w:val="000000" w:themeColor="text1"/>
                <w:szCs w:val="24"/>
                <w:highlight w:val="none"/>
                <w14:textFill>
                  <w14:solidFill>
                    <w14:schemeClr w14:val="tx1"/>
                  </w14:solidFill>
                </w14:textFill>
              </w:rPr>
              <w:t>表2中主城区相应污染物排放限值</w:t>
            </w:r>
            <w:r>
              <w:rPr>
                <w:rFonts w:hint="eastAsia" w:ascii="Times New Roman" w:hAnsi="Times New Roman" w:cs="Times New Roman"/>
                <w:color w:val="000000" w:themeColor="text1"/>
                <w:szCs w:val="24"/>
                <w:highlight w:val="none"/>
                <w14:textFill>
                  <w14:solidFill>
                    <w14:schemeClr w14:val="tx1"/>
                  </w14:solidFill>
                </w14:textFill>
              </w:rPr>
              <w:t>，</w:t>
            </w:r>
            <w:r>
              <w:rPr>
                <w:rFonts w:hint="eastAsia" w:ascii="Times New Roman" w:hAnsi="Times New Roman" w:cs="Times New Roman"/>
                <w:color w:val="000000" w:themeColor="text1"/>
                <w:szCs w:val="24"/>
                <w:highlight w:val="none"/>
                <w:lang w:eastAsia="zh-CN"/>
                <w14:textFill>
                  <w14:solidFill>
                    <w14:schemeClr w14:val="tx1"/>
                  </w14:solidFill>
                </w14:textFill>
              </w:rPr>
              <w:t>产生的颗粒物、</w:t>
            </w:r>
            <w:r>
              <w:rPr>
                <w:rFonts w:hint="eastAsia" w:ascii="Times New Roman" w:hAnsi="Times New Roman" w:cs="Times New Roman"/>
                <w:bCs/>
                <w:color w:val="000000" w:themeColor="text1"/>
                <w:szCs w:val="24"/>
                <w:highlight w:val="none"/>
                <w14:textFill>
                  <w14:solidFill>
                    <w14:schemeClr w14:val="tx1"/>
                  </w14:solidFill>
                </w14:textFill>
              </w:rPr>
              <w:t>SO</w:t>
            </w:r>
            <w:r>
              <w:rPr>
                <w:rFonts w:hint="eastAsia" w:ascii="Times New Roman" w:hAnsi="Times New Roman" w:cs="Times New Roman"/>
                <w:bCs/>
                <w:color w:val="000000" w:themeColor="text1"/>
                <w:szCs w:val="24"/>
                <w:highlight w:val="none"/>
                <w:vertAlign w:val="subscript"/>
                <w14:textFill>
                  <w14:solidFill>
                    <w14:schemeClr w14:val="tx1"/>
                  </w14:solidFill>
                </w14:textFill>
              </w:rPr>
              <w:t>2</w:t>
            </w:r>
            <w:r>
              <w:rPr>
                <w:rFonts w:hint="eastAsia" w:ascii="Times New Roman" w:hAnsi="Times New Roman" w:cs="Times New Roman"/>
                <w:bCs/>
                <w:color w:val="000000" w:themeColor="text1"/>
                <w:szCs w:val="24"/>
                <w:highlight w:val="none"/>
                <w14:textFill>
                  <w14:solidFill>
                    <w14:schemeClr w14:val="tx1"/>
                  </w14:solidFill>
                </w14:textFill>
              </w:rPr>
              <w:t>、NO</w:t>
            </w:r>
            <w:r>
              <w:rPr>
                <w:rFonts w:hint="eastAsia" w:ascii="Times New Roman" w:hAnsi="Times New Roman" w:cs="Times New Roman"/>
                <w:bCs/>
                <w:color w:val="000000" w:themeColor="text1"/>
                <w:szCs w:val="24"/>
                <w:highlight w:val="none"/>
                <w:vertAlign w:val="subscript"/>
                <w14:textFill>
                  <w14:solidFill>
                    <w14:schemeClr w14:val="tx1"/>
                  </w14:solidFill>
                </w14:textFill>
              </w:rPr>
              <w:t>X</w:t>
            </w:r>
            <w:r>
              <w:rPr>
                <w:rFonts w:hint="eastAsia" w:ascii="Times New Roman" w:hAnsi="Times New Roman" w:cs="Times New Roman"/>
                <w:bCs/>
                <w:color w:val="000000" w:themeColor="text1"/>
                <w:szCs w:val="24"/>
                <w:highlight w:val="none"/>
                <w14:textFill>
                  <w14:solidFill>
                    <w14:schemeClr w14:val="tx1"/>
                  </w14:solidFill>
                </w14:textFill>
              </w:rPr>
              <w:t>执行</w:t>
            </w:r>
            <w:r>
              <w:rPr>
                <w:rFonts w:ascii="Times New Roman" w:hAnsi="Times New Roman" w:cs="Times New Roman"/>
                <w:bCs/>
                <w:color w:val="000000" w:themeColor="text1"/>
                <w:szCs w:val="24"/>
                <w:highlight w:val="none"/>
                <w14:textFill>
                  <w14:solidFill>
                    <w14:schemeClr w14:val="tx1"/>
                  </w14:solidFill>
                </w14:textFill>
              </w:rPr>
              <w:t>《大气污染物综合排放标准》（DB50/418-2016）主城区排放限值</w:t>
            </w:r>
            <w:r>
              <w:rPr>
                <w:rFonts w:hint="eastAsia" w:ascii="Times New Roman" w:hAnsi="Times New Roman" w:cs="宋体"/>
                <w:color w:val="000000" w:themeColor="text1"/>
                <w:szCs w:val="24"/>
                <w:highlight w:val="none"/>
                <w14:textFill>
                  <w14:solidFill>
                    <w14:schemeClr w14:val="tx1"/>
                  </w14:solidFill>
                </w14:textFill>
              </w:rPr>
              <w:t>。</w:t>
            </w:r>
          </w:p>
          <w:p w14:paraId="0D0217DC">
            <w:pPr>
              <w:pStyle w:val="21"/>
              <w:spacing w:before="0" w:beforeAutospacing="0" w:after="0" w:afterAutospacing="0" w:line="375"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本项目废气排放标准详见表</w:t>
            </w:r>
            <w:r>
              <w:rPr>
                <w:rFonts w:hint="eastAsia" w:ascii="Times New Roman" w:hAnsi="Times New Roman" w:cs="宋体"/>
                <w:color w:val="000000" w:themeColor="text1"/>
                <w:szCs w:val="24"/>
                <w:highlight w:val="none"/>
                <w14:textFill>
                  <w14:solidFill>
                    <w14:schemeClr w14:val="tx1"/>
                  </w14:solidFill>
                </w14:textFill>
              </w:rPr>
              <w:t>3-7~表3-9。</w:t>
            </w:r>
          </w:p>
          <w:p w14:paraId="245A1B14">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表3-</w:t>
            </w:r>
            <w:r>
              <w:rPr>
                <w:rFonts w:hint="eastAsia" w:ascii="Times New Roman" w:hAnsi="Times New Roman" w:eastAsia="宋体" w:cs="Times New Roman"/>
                <w:color w:val="000000" w:themeColor="text1"/>
                <w:szCs w:val="24"/>
                <w:highlight w:val="none"/>
                <w14:textFill>
                  <w14:solidFill>
                    <w14:schemeClr w14:val="tx1"/>
                  </w14:solidFill>
                </w14:textFill>
              </w:rPr>
              <w:t>7</w:t>
            </w:r>
            <w:r>
              <w:rPr>
                <w:rFonts w:ascii="Times New Roman" w:hAnsi="Times New Roman" w:eastAsia="宋体" w:cs="Times New Roman"/>
                <w:color w:val="000000" w:themeColor="text1"/>
                <w:szCs w:val="24"/>
                <w:highlight w:val="none"/>
                <w14:textFill>
                  <w14:solidFill>
                    <w14:schemeClr w14:val="tx1"/>
                  </w14:solidFill>
                </w14:textFill>
              </w:rPr>
              <w:t xml:space="preserve">  《大气污染物综合排放标准》（DB 50/418-2016）</w:t>
            </w:r>
          </w:p>
          <w:tbl>
            <w:tblPr>
              <w:tblStyle w:val="27"/>
              <w:tblW w:w="48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802"/>
              <w:gridCol w:w="2285"/>
              <w:gridCol w:w="2910"/>
              <w:gridCol w:w="1481"/>
            </w:tblGrid>
            <w:tr w14:paraId="7D478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3" w:type="pct"/>
                  <w:vMerge w:val="restart"/>
                  <w:tcBorders>
                    <w:tl2br w:val="nil"/>
                    <w:tr2bl w:val="nil"/>
                  </w:tcBorders>
                  <w:vAlign w:val="center"/>
                </w:tcPr>
                <w:p w14:paraId="2FCDA509">
                  <w:pPr>
                    <w:pStyle w:val="21"/>
                    <w:spacing w:before="78" w:beforeLines="25" w:beforeAutospacing="0" w:after="78" w:afterLines="25" w:afterAutospacing="0" w:line="300" w:lineRule="auto"/>
                    <w:jc w:val="center"/>
                    <w:rPr>
                      <w:rFonts w:ascii="Times New Roman" w:hAnsi="Times New Roman" w:cs="宋体"/>
                      <w:b/>
                      <w:bCs/>
                      <w:color w:val="000000" w:themeColor="text1"/>
                      <w:sz w:val="21"/>
                      <w:szCs w:val="21"/>
                      <w:highlight w:val="none"/>
                      <w14:textFill>
                        <w14:solidFill>
                          <w14:schemeClr w14:val="tx1"/>
                        </w14:solidFill>
                      </w14:textFill>
                    </w:rPr>
                  </w:pPr>
                  <w:r>
                    <w:rPr>
                      <w:rFonts w:hint="eastAsia" w:ascii="Times New Roman" w:hAnsi="Times New Roman" w:cs="宋体"/>
                      <w:b/>
                      <w:bCs/>
                      <w:color w:val="000000" w:themeColor="text1"/>
                      <w:sz w:val="21"/>
                      <w:szCs w:val="21"/>
                      <w:highlight w:val="none"/>
                      <w14:textFill>
                        <w14:solidFill>
                          <w14:schemeClr w14:val="tx1"/>
                        </w14:solidFill>
                      </w14:textFill>
                    </w:rPr>
                    <w:t>污染物</w:t>
                  </w:r>
                </w:p>
              </w:tc>
              <w:tc>
                <w:tcPr>
                  <w:tcW w:w="3936" w:type="pct"/>
                  <w:gridSpan w:val="3"/>
                  <w:tcBorders>
                    <w:tl2br w:val="nil"/>
                    <w:tr2bl w:val="nil"/>
                  </w:tcBorders>
                  <w:vAlign w:val="center"/>
                </w:tcPr>
                <w:p w14:paraId="7F410AC7">
                  <w:pPr>
                    <w:pStyle w:val="21"/>
                    <w:spacing w:before="78" w:beforeLines="25" w:beforeAutospacing="0" w:after="78" w:afterLines="25" w:afterAutospacing="0" w:line="300" w:lineRule="auto"/>
                    <w:jc w:val="center"/>
                    <w:rPr>
                      <w:rFonts w:ascii="Times New Roman" w:hAnsi="Times New Roman" w:cs="宋体"/>
                      <w:b/>
                      <w:bCs/>
                      <w:color w:val="000000" w:themeColor="text1"/>
                      <w:sz w:val="21"/>
                      <w:szCs w:val="21"/>
                      <w:highlight w:val="none"/>
                      <w14:textFill>
                        <w14:solidFill>
                          <w14:schemeClr w14:val="tx1"/>
                        </w14:solidFill>
                      </w14:textFill>
                    </w:rPr>
                  </w:pPr>
                  <w:r>
                    <w:rPr>
                      <w:rFonts w:hint="eastAsia" w:ascii="Times New Roman" w:hAnsi="Times New Roman" w:cs="宋体"/>
                      <w:b/>
                      <w:bCs/>
                      <w:color w:val="000000" w:themeColor="text1"/>
                      <w:sz w:val="21"/>
                      <w:szCs w:val="21"/>
                      <w:highlight w:val="none"/>
                      <w14:textFill>
                        <w14:solidFill>
                          <w14:schemeClr w14:val="tx1"/>
                        </w14:solidFill>
                      </w14:textFill>
                    </w:rPr>
                    <w:t>有组织排放</w:t>
                  </w:r>
                </w:p>
              </w:tc>
            </w:tr>
            <w:tr w14:paraId="36E82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3" w:type="pct"/>
                  <w:vMerge w:val="continue"/>
                  <w:tcBorders>
                    <w:tl2br w:val="nil"/>
                    <w:tr2bl w:val="nil"/>
                  </w:tcBorders>
                  <w:vAlign w:val="center"/>
                </w:tcPr>
                <w:p w14:paraId="3B8EC3D1">
                  <w:pPr>
                    <w:pStyle w:val="21"/>
                    <w:spacing w:before="78" w:beforeLines="25" w:beforeAutospacing="0" w:after="78" w:afterLines="25" w:afterAutospacing="0" w:line="300" w:lineRule="auto"/>
                    <w:jc w:val="center"/>
                    <w:rPr>
                      <w:rFonts w:ascii="Times New Roman" w:hAnsi="Times New Roman" w:cs="宋体"/>
                      <w:b/>
                      <w:bCs/>
                      <w:color w:val="000000" w:themeColor="text1"/>
                      <w:sz w:val="21"/>
                      <w:szCs w:val="21"/>
                      <w:highlight w:val="none"/>
                      <w14:textFill>
                        <w14:solidFill>
                          <w14:schemeClr w14:val="tx1"/>
                        </w14:solidFill>
                      </w14:textFill>
                    </w:rPr>
                  </w:pPr>
                </w:p>
              </w:tc>
              <w:tc>
                <w:tcPr>
                  <w:tcW w:w="1347" w:type="pct"/>
                  <w:tcBorders>
                    <w:tl2br w:val="nil"/>
                    <w:tr2bl w:val="nil"/>
                  </w:tcBorders>
                  <w:vAlign w:val="center"/>
                </w:tcPr>
                <w:p w14:paraId="6EFAEBAF">
                  <w:pPr>
                    <w:pStyle w:val="21"/>
                    <w:spacing w:before="0" w:beforeAutospacing="0" w:after="0" w:afterAutospacing="0" w:line="300" w:lineRule="auto"/>
                    <w:jc w:val="center"/>
                    <w:rPr>
                      <w:rFonts w:ascii="Times New Roman" w:hAnsi="Times New Roman" w:cs="宋体"/>
                      <w:b/>
                      <w:bCs/>
                      <w:color w:val="000000" w:themeColor="text1"/>
                      <w:sz w:val="21"/>
                      <w:szCs w:val="21"/>
                      <w:highlight w:val="none"/>
                      <w14:textFill>
                        <w14:solidFill>
                          <w14:schemeClr w14:val="tx1"/>
                        </w14:solidFill>
                      </w14:textFill>
                    </w:rPr>
                  </w:pPr>
                  <w:r>
                    <w:rPr>
                      <w:rFonts w:hint="eastAsia" w:ascii="Times New Roman" w:hAnsi="Times New Roman" w:cs="宋体"/>
                      <w:b/>
                      <w:bCs/>
                      <w:color w:val="000000" w:themeColor="text1"/>
                      <w:sz w:val="21"/>
                      <w:szCs w:val="21"/>
                      <w:highlight w:val="none"/>
                      <w14:textFill>
                        <w14:solidFill>
                          <w14:schemeClr w14:val="tx1"/>
                        </w14:solidFill>
                      </w14:textFill>
                    </w:rPr>
                    <w:t>排放浓度限值（mg/m</w:t>
                  </w:r>
                  <w:r>
                    <w:rPr>
                      <w:rFonts w:hint="eastAsia" w:ascii="Times New Roman" w:hAnsi="Times New Roman" w:cs="宋体"/>
                      <w:b/>
                      <w:bCs/>
                      <w:color w:val="000000" w:themeColor="text1"/>
                      <w:sz w:val="21"/>
                      <w:szCs w:val="21"/>
                      <w:highlight w:val="none"/>
                      <w:vertAlign w:val="superscript"/>
                      <w14:textFill>
                        <w14:solidFill>
                          <w14:schemeClr w14:val="tx1"/>
                        </w14:solidFill>
                      </w14:textFill>
                    </w:rPr>
                    <w:t>3</w:t>
                  </w:r>
                  <w:r>
                    <w:rPr>
                      <w:rFonts w:hint="eastAsia" w:ascii="Times New Roman" w:hAnsi="Times New Roman" w:cs="宋体"/>
                      <w:b/>
                      <w:bCs/>
                      <w:color w:val="000000" w:themeColor="text1"/>
                      <w:sz w:val="21"/>
                      <w:szCs w:val="21"/>
                      <w:highlight w:val="none"/>
                      <w14:textFill>
                        <w14:solidFill>
                          <w14:schemeClr w14:val="tx1"/>
                        </w14:solidFill>
                      </w14:textFill>
                    </w:rPr>
                    <w:t>）</w:t>
                  </w:r>
                </w:p>
              </w:tc>
              <w:tc>
                <w:tcPr>
                  <w:tcW w:w="1716" w:type="pct"/>
                  <w:tcBorders>
                    <w:tl2br w:val="nil"/>
                    <w:tr2bl w:val="nil"/>
                  </w:tcBorders>
                  <w:vAlign w:val="center"/>
                </w:tcPr>
                <w:p w14:paraId="2B3092B5">
                  <w:pPr>
                    <w:pStyle w:val="21"/>
                    <w:spacing w:before="0" w:beforeAutospacing="0" w:after="0" w:afterAutospacing="0" w:line="300" w:lineRule="auto"/>
                    <w:jc w:val="center"/>
                    <w:rPr>
                      <w:rFonts w:ascii="Times New Roman" w:hAnsi="Times New Roman" w:cs="宋体"/>
                      <w:b/>
                      <w:bCs/>
                      <w:color w:val="000000" w:themeColor="text1"/>
                      <w:sz w:val="21"/>
                      <w:szCs w:val="21"/>
                      <w:highlight w:val="none"/>
                      <w14:textFill>
                        <w14:solidFill>
                          <w14:schemeClr w14:val="tx1"/>
                        </w14:solidFill>
                      </w14:textFill>
                    </w:rPr>
                  </w:pPr>
                  <w:r>
                    <w:rPr>
                      <w:rFonts w:hint="eastAsia" w:ascii="Times New Roman" w:hAnsi="Times New Roman" w:cs="宋体"/>
                      <w:b/>
                      <w:bCs/>
                      <w:color w:val="000000" w:themeColor="text1"/>
                      <w:sz w:val="21"/>
                      <w:szCs w:val="21"/>
                      <w:highlight w:val="none"/>
                      <w14:textFill>
                        <w14:solidFill>
                          <w14:schemeClr w14:val="tx1"/>
                        </w14:solidFill>
                      </w14:textFill>
                    </w:rPr>
                    <w:t>最高允许排放速率</w:t>
                  </w:r>
                </w:p>
                <w:p w14:paraId="01790698">
                  <w:pPr>
                    <w:pStyle w:val="21"/>
                    <w:spacing w:before="0" w:beforeAutospacing="0" w:after="0" w:afterAutospacing="0" w:line="300" w:lineRule="auto"/>
                    <w:jc w:val="center"/>
                    <w:rPr>
                      <w:rFonts w:ascii="Times New Roman" w:hAnsi="Times New Roman" w:cs="宋体"/>
                      <w:b/>
                      <w:bCs/>
                      <w:color w:val="000000" w:themeColor="text1"/>
                      <w:sz w:val="21"/>
                      <w:szCs w:val="21"/>
                      <w:highlight w:val="none"/>
                      <w14:textFill>
                        <w14:solidFill>
                          <w14:schemeClr w14:val="tx1"/>
                        </w14:solidFill>
                      </w14:textFill>
                    </w:rPr>
                  </w:pPr>
                  <w:r>
                    <w:rPr>
                      <w:rFonts w:hint="eastAsia" w:ascii="Times New Roman" w:hAnsi="Times New Roman" w:cs="宋体"/>
                      <w:b/>
                      <w:bCs/>
                      <w:color w:val="000000" w:themeColor="text1"/>
                      <w:sz w:val="21"/>
                      <w:szCs w:val="21"/>
                      <w:highlight w:val="none"/>
                      <w14:textFill>
                        <w14:solidFill>
                          <w14:schemeClr w14:val="tx1"/>
                        </w14:solidFill>
                      </w14:textFill>
                    </w:rPr>
                    <w:t>（kg/h）</w:t>
                  </w:r>
                </w:p>
              </w:tc>
              <w:tc>
                <w:tcPr>
                  <w:tcW w:w="872" w:type="pct"/>
                  <w:tcBorders>
                    <w:tl2br w:val="nil"/>
                    <w:tr2bl w:val="nil"/>
                  </w:tcBorders>
                  <w:vAlign w:val="center"/>
                </w:tcPr>
                <w:p w14:paraId="1AFEAAB8">
                  <w:pPr>
                    <w:pStyle w:val="21"/>
                    <w:spacing w:before="78" w:beforeLines="25" w:beforeAutospacing="0" w:after="78" w:afterLines="25" w:afterAutospacing="0" w:line="300" w:lineRule="auto"/>
                    <w:jc w:val="center"/>
                    <w:rPr>
                      <w:rFonts w:ascii="Times New Roman" w:hAnsi="Times New Roman" w:cs="宋体"/>
                      <w:b/>
                      <w:bCs/>
                      <w:color w:val="000000" w:themeColor="text1"/>
                      <w:sz w:val="21"/>
                      <w:szCs w:val="21"/>
                      <w:highlight w:val="none"/>
                      <w14:textFill>
                        <w14:solidFill>
                          <w14:schemeClr w14:val="tx1"/>
                        </w14:solidFill>
                      </w14:textFill>
                    </w:rPr>
                  </w:pPr>
                  <w:r>
                    <w:rPr>
                      <w:rFonts w:hint="eastAsia" w:ascii="Times New Roman" w:hAnsi="Times New Roman" w:cs="宋体"/>
                      <w:b/>
                      <w:bCs/>
                      <w:color w:val="000000" w:themeColor="text1"/>
                      <w:sz w:val="21"/>
                      <w:szCs w:val="21"/>
                      <w:highlight w:val="none"/>
                      <w14:textFill>
                        <w14:solidFill>
                          <w14:schemeClr w14:val="tx1"/>
                        </w14:solidFill>
                      </w14:textFill>
                    </w:rPr>
                    <w:t>排放高度（m）</w:t>
                  </w:r>
                </w:p>
              </w:tc>
            </w:tr>
            <w:tr w14:paraId="6AA9D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3" w:type="pct"/>
                  <w:tcBorders>
                    <w:tl2br w:val="nil"/>
                    <w:tr2bl w:val="nil"/>
                  </w:tcBorders>
                  <w:vAlign w:val="center"/>
                </w:tcPr>
                <w:p w14:paraId="028DA12F">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颗粒物</w:t>
                  </w:r>
                </w:p>
              </w:tc>
              <w:tc>
                <w:tcPr>
                  <w:tcW w:w="1347" w:type="pct"/>
                  <w:tcBorders>
                    <w:tl2br w:val="nil"/>
                    <w:tr2bl w:val="nil"/>
                  </w:tcBorders>
                  <w:vAlign w:val="center"/>
                </w:tcPr>
                <w:p w14:paraId="0E6D48AA">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50</w:t>
                  </w:r>
                </w:p>
              </w:tc>
              <w:tc>
                <w:tcPr>
                  <w:tcW w:w="1716" w:type="pct"/>
                  <w:tcBorders>
                    <w:tl2br w:val="nil"/>
                    <w:tr2bl w:val="nil"/>
                  </w:tcBorders>
                  <w:vAlign w:val="center"/>
                </w:tcPr>
                <w:p w14:paraId="11896B45">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0.8</w:t>
                  </w:r>
                </w:p>
              </w:tc>
              <w:tc>
                <w:tcPr>
                  <w:tcW w:w="872" w:type="pct"/>
                  <w:tcBorders>
                    <w:tl2br w:val="nil"/>
                    <w:tr2bl w:val="nil"/>
                  </w:tcBorders>
                  <w:vAlign w:val="center"/>
                </w:tcPr>
                <w:p w14:paraId="5FE4E173">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15</w:t>
                  </w:r>
                </w:p>
              </w:tc>
            </w:tr>
            <w:tr w14:paraId="3364B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3" w:type="pct"/>
                  <w:tcBorders>
                    <w:tl2br w:val="nil"/>
                    <w:tr2bl w:val="nil"/>
                  </w:tcBorders>
                  <w:vAlign w:val="center"/>
                </w:tcPr>
                <w:p w14:paraId="10FBDDD2">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二氧化硫</w:t>
                  </w:r>
                </w:p>
              </w:tc>
              <w:tc>
                <w:tcPr>
                  <w:tcW w:w="1347" w:type="pct"/>
                  <w:tcBorders>
                    <w:tl2br w:val="nil"/>
                    <w:tr2bl w:val="nil"/>
                  </w:tcBorders>
                  <w:vAlign w:val="center"/>
                </w:tcPr>
                <w:p w14:paraId="29798D6B">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200</w:t>
                  </w:r>
                </w:p>
              </w:tc>
              <w:tc>
                <w:tcPr>
                  <w:tcW w:w="1716" w:type="pct"/>
                  <w:tcBorders>
                    <w:tl2br w:val="nil"/>
                    <w:tr2bl w:val="nil"/>
                  </w:tcBorders>
                  <w:vAlign w:val="center"/>
                </w:tcPr>
                <w:p w14:paraId="37330A54">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0.7</w:t>
                  </w:r>
                </w:p>
              </w:tc>
              <w:tc>
                <w:tcPr>
                  <w:tcW w:w="872" w:type="pct"/>
                  <w:tcBorders>
                    <w:tl2br w:val="nil"/>
                    <w:tr2bl w:val="nil"/>
                  </w:tcBorders>
                  <w:vAlign w:val="center"/>
                </w:tcPr>
                <w:p w14:paraId="3C2004CB">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15</w:t>
                  </w:r>
                </w:p>
              </w:tc>
            </w:tr>
            <w:tr w14:paraId="2179E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063" w:type="pct"/>
                  <w:tcBorders>
                    <w:tl2br w:val="nil"/>
                    <w:tr2bl w:val="nil"/>
                  </w:tcBorders>
                  <w:vAlign w:val="center"/>
                </w:tcPr>
                <w:p w14:paraId="39AC471D">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氮氧化物</w:t>
                  </w:r>
                </w:p>
              </w:tc>
              <w:tc>
                <w:tcPr>
                  <w:tcW w:w="1347" w:type="pct"/>
                  <w:tcBorders>
                    <w:tl2br w:val="nil"/>
                    <w:tr2bl w:val="nil"/>
                  </w:tcBorders>
                  <w:vAlign w:val="center"/>
                </w:tcPr>
                <w:p w14:paraId="2130FAAE">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200</w:t>
                  </w:r>
                </w:p>
              </w:tc>
              <w:tc>
                <w:tcPr>
                  <w:tcW w:w="1716" w:type="pct"/>
                  <w:tcBorders>
                    <w:tl2br w:val="nil"/>
                    <w:tr2bl w:val="nil"/>
                  </w:tcBorders>
                  <w:vAlign w:val="center"/>
                </w:tcPr>
                <w:p w14:paraId="6F0DA233">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0.3</w:t>
                  </w:r>
                </w:p>
              </w:tc>
              <w:tc>
                <w:tcPr>
                  <w:tcW w:w="872" w:type="pct"/>
                  <w:tcBorders>
                    <w:tl2br w:val="nil"/>
                    <w:tr2bl w:val="nil"/>
                  </w:tcBorders>
                  <w:vAlign w:val="center"/>
                </w:tcPr>
                <w:p w14:paraId="7914792F">
                  <w:pPr>
                    <w:pStyle w:val="21"/>
                    <w:spacing w:before="78" w:beforeLines="25" w:beforeAutospacing="0" w:after="78" w:afterLines="25"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15</w:t>
                  </w:r>
                </w:p>
              </w:tc>
            </w:tr>
          </w:tbl>
          <w:p w14:paraId="5CA960BC">
            <w:pPr>
              <w:pStyle w:val="44"/>
              <w:spacing w:before="156"/>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表3-</w:t>
            </w:r>
            <w:r>
              <w:rPr>
                <w:rFonts w:hint="eastAsia" w:ascii="Times New Roman" w:hAnsi="Times New Roman" w:eastAsia="宋体"/>
                <w:color w:val="000000" w:themeColor="text1"/>
                <w:sz w:val="24"/>
                <w:highlight w:val="none"/>
                <w14:textFill>
                  <w14:solidFill>
                    <w14:schemeClr w14:val="tx1"/>
                  </w14:solidFill>
                </w14:textFill>
              </w:rPr>
              <w:t>8</w:t>
            </w:r>
            <w:r>
              <w:rPr>
                <w:rFonts w:ascii="Times New Roman" w:hAnsi="Times New Roman" w:eastAsia="宋体"/>
                <w:color w:val="000000" w:themeColor="text1"/>
                <w:sz w:val="24"/>
                <w:highlight w:val="none"/>
                <w14:textFill>
                  <w14:solidFill>
                    <w14:schemeClr w14:val="tx1"/>
                  </w14:solidFill>
                </w14:textFill>
              </w:rPr>
              <w:t xml:space="preserve"> 《摩托车及汽车配件制造表面涂装大气污染物排放标准》（DB50/660-2016）</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43"/>
              <w:gridCol w:w="3101"/>
              <w:gridCol w:w="2635"/>
              <w:gridCol w:w="1713"/>
            </w:tblGrid>
            <w:tr w14:paraId="7D330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715" w:type="pct"/>
                  <w:tcBorders>
                    <w:tl2br w:val="nil"/>
                    <w:tr2bl w:val="nil"/>
                  </w:tcBorders>
                  <w:vAlign w:val="center"/>
                </w:tcPr>
                <w:p w14:paraId="68F0E802">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污染物</w:t>
                  </w:r>
                </w:p>
              </w:tc>
              <w:tc>
                <w:tcPr>
                  <w:tcW w:w="1783" w:type="pct"/>
                  <w:tcBorders>
                    <w:tl2br w:val="nil"/>
                    <w:tr2bl w:val="nil"/>
                  </w:tcBorders>
                  <w:vAlign w:val="center"/>
                </w:tcPr>
                <w:p w14:paraId="7D017B26">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排放浓度限值（mg/m</w:t>
                  </w:r>
                  <w:r>
                    <w:rPr>
                      <w:rFonts w:ascii="Times New Roman" w:hAnsi="Times New Roman" w:eastAsia="宋体" w:cs="Times New Roman"/>
                      <w:b/>
                      <w:bCs/>
                      <w:color w:val="000000" w:themeColor="text1"/>
                      <w:highlight w:val="none"/>
                      <w:vertAlign w:val="superscript"/>
                      <w14:textFill>
                        <w14:solidFill>
                          <w14:schemeClr w14:val="tx1"/>
                        </w14:solidFill>
                      </w14:textFill>
                    </w:rPr>
                    <w:t>3</w:t>
                  </w:r>
                  <w:r>
                    <w:rPr>
                      <w:rFonts w:ascii="Times New Roman" w:hAnsi="Times New Roman" w:eastAsia="宋体" w:cs="Times New Roman"/>
                      <w:b/>
                      <w:bCs/>
                      <w:color w:val="000000" w:themeColor="text1"/>
                      <w:highlight w:val="none"/>
                      <w14:textFill>
                        <w14:solidFill>
                          <w14:schemeClr w14:val="tx1"/>
                        </w14:solidFill>
                      </w14:textFill>
                    </w:rPr>
                    <w:t>）主城区</w:t>
                  </w:r>
                </w:p>
              </w:tc>
              <w:tc>
                <w:tcPr>
                  <w:tcW w:w="1515" w:type="pct"/>
                  <w:tcBorders>
                    <w:tl2br w:val="nil"/>
                    <w:tr2bl w:val="nil"/>
                  </w:tcBorders>
                  <w:vAlign w:val="center"/>
                </w:tcPr>
                <w:p w14:paraId="3CDE6C9F">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最高允许排放速率（kg/h）</w:t>
                  </w:r>
                </w:p>
              </w:tc>
              <w:tc>
                <w:tcPr>
                  <w:tcW w:w="985" w:type="pct"/>
                  <w:tcBorders>
                    <w:tl2br w:val="nil"/>
                    <w:tr2bl w:val="nil"/>
                  </w:tcBorders>
                  <w:vAlign w:val="center"/>
                </w:tcPr>
                <w:p w14:paraId="3BF9E781">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排放高度（m）</w:t>
                  </w:r>
                  <w:r>
                    <w:rPr>
                      <w:rFonts w:ascii="Times New Roman" w:hAnsi="Times New Roman" w:eastAsia="宋体" w:cs="Times New Roman"/>
                      <w:b/>
                      <w:bCs/>
                      <w:color w:val="000000" w:themeColor="text1"/>
                      <w:highlight w:val="none"/>
                      <w:vertAlign w:val="superscript"/>
                      <w14:textFill>
                        <w14:solidFill>
                          <w14:schemeClr w14:val="tx1"/>
                        </w14:solidFill>
                      </w14:textFill>
                    </w:rPr>
                    <w:t>①</w:t>
                  </w:r>
                </w:p>
              </w:tc>
            </w:tr>
            <w:tr w14:paraId="37114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15" w:type="pct"/>
                  <w:tcBorders>
                    <w:tl2br w:val="nil"/>
                    <w:tr2bl w:val="nil"/>
                  </w:tcBorders>
                  <w:vAlign w:val="center"/>
                </w:tcPr>
                <w:p w14:paraId="2AB613DA">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非甲烷总烃</w:t>
                  </w:r>
                </w:p>
              </w:tc>
              <w:tc>
                <w:tcPr>
                  <w:tcW w:w="1783" w:type="pct"/>
                  <w:tcBorders>
                    <w:tl2br w:val="nil"/>
                    <w:tr2bl w:val="nil"/>
                  </w:tcBorders>
                  <w:vAlign w:val="center"/>
                </w:tcPr>
                <w:p w14:paraId="26245602">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50</w:t>
                  </w:r>
                </w:p>
              </w:tc>
              <w:tc>
                <w:tcPr>
                  <w:tcW w:w="1515" w:type="pct"/>
                  <w:tcBorders>
                    <w:tl2br w:val="nil"/>
                    <w:tr2bl w:val="nil"/>
                  </w:tcBorders>
                  <w:vAlign w:val="center"/>
                </w:tcPr>
                <w:p w14:paraId="5B044CF6">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3.1</w:t>
                  </w:r>
                </w:p>
              </w:tc>
              <w:tc>
                <w:tcPr>
                  <w:tcW w:w="985" w:type="pct"/>
                  <w:tcBorders>
                    <w:tl2br w:val="nil"/>
                    <w:tr2bl w:val="nil"/>
                  </w:tcBorders>
                  <w:vAlign w:val="center"/>
                </w:tcPr>
                <w:p w14:paraId="4F096916">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15</w:t>
                  </w:r>
                </w:p>
              </w:tc>
            </w:tr>
          </w:tbl>
          <w:p w14:paraId="2C70CA90">
            <w:pPr>
              <w:spacing w:line="375"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2）废气无组织排放标准</w:t>
            </w:r>
          </w:p>
          <w:p w14:paraId="7E17BED7">
            <w:pPr>
              <w:spacing w:line="375"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ascii="Times New Roman" w:hAnsi="Times New Roman" w:cs="宋体"/>
                <w:color w:val="000000" w:themeColor="text1"/>
                <w:sz w:val="24"/>
                <w:highlight w:val="none"/>
                <w14:textFill>
                  <w14:solidFill>
                    <w14:schemeClr w14:val="tx1"/>
                  </w14:solidFill>
                </w14:textFill>
              </w:rPr>
              <w:t>①</w:t>
            </w:r>
            <w:r>
              <w:rPr>
                <w:rFonts w:hint="eastAsia" w:ascii="Times New Roman" w:hAnsi="Times New Roman" w:cs="宋体"/>
                <w:color w:val="000000" w:themeColor="text1"/>
                <w:sz w:val="24"/>
                <w:highlight w:val="none"/>
                <w14:textFill>
                  <w14:solidFill>
                    <w14:schemeClr w14:val="tx1"/>
                  </w14:solidFill>
                </w14:textFill>
              </w:rPr>
              <w:t>厂房外。非甲烷总烃厂区内非甲烷总烃无组织排放应满足《挥发性有机物无组织排放控制标准》（GB 37822-2019）特别排放限值。</w:t>
            </w:r>
          </w:p>
          <w:p w14:paraId="700137B6">
            <w:pPr>
              <w:spacing w:line="375"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ascii="Times New Roman" w:hAnsi="Times New Roman" w:cs="宋体"/>
                <w:color w:val="000000" w:themeColor="text1"/>
                <w:sz w:val="24"/>
                <w:highlight w:val="none"/>
                <w14:textFill>
                  <w14:solidFill>
                    <w14:schemeClr w14:val="tx1"/>
                  </w14:solidFill>
                </w14:textFill>
              </w:rPr>
              <w:t>②</w:t>
            </w:r>
            <w:r>
              <w:rPr>
                <w:rFonts w:hint="eastAsia" w:ascii="Times New Roman" w:hAnsi="Times New Roman" w:cs="宋体"/>
                <w:color w:val="000000" w:themeColor="text1"/>
                <w:sz w:val="24"/>
                <w:highlight w:val="none"/>
                <w14:textFill>
                  <w14:solidFill>
                    <w14:schemeClr w14:val="tx1"/>
                  </w14:solidFill>
                </w14:textFill>
              </w:rPr>
              <w:t>厂界。颗粒物厂界无组织排放限值按《大气污染物综合排放标准》（DB50/418-2016）执行。非甲烷总烃厂界无组织排放执行《摩托车及汽车配件制造表面涂装大气污染物排放标准》（DB50/660-2016）限值。</w:t>
            </w:r>
          </w:p>
          <w:p w14:paraId="79C339D3">
            <w:pPr>
              <w:spacing w:line="360"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综上，项目废气无组织排放标准汇总如下：</w:t>
            </w:r>
          </w:p>
          <w:p w14:paraId="518E4578">
            <w:pPr>
              <w:pStyle w:val="44"/>
              <w:spacing w:beforeLines="0" w:line="360" w:lineRule="auto"/>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表3-</w:t>
            </w:r>
            <w:r>
              <w:rPr>
                <w:rFonts w:hint="eastAsia" w:ascii="Times New Roman" w:hAnsi="Times New Roman" w:eastAsia="宋体"/>
                <w:color w:val="000000" w:themeColor="text1"/>
                <w:sz w:val="24"/>
                <w:highlight w:val="none"/>
                <w14:textFill>
                  <w14:solidFill>
                    <w14:schemeClr w14:val="tx1"/>
                  </w14:solidFill>
                </w14:textFill>
              </w:rPr>
              <w:t>9  污染物无组织排放执行标准</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55"/>
              <w:gridCol w:w="1936"/>
              <w:gridCol w:w="1968"/>
              <w:gridCol w:w="3673"/>
            </w:tblGrid>
            <w:tr w14:paraId="377D1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755" w:type="dxa"/>
                  <w:tcBorders>
                    <w:tl2br w:val="nil"/>
                    <w:tr2bl w:val="nil"/>
                  </w:tcBorders>
                  <w:vAlign w:val="center"/>
                </w:tcPr>
                <w:p w14:paraId="5A0BE322">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监测点</w:t>
                  </w:r>
                </w:p>
              </w:tc>
              <w:tc>
                <w:tcPr>
                  <w:tcW w:w="1936" w:type="dxa"/>
                  <w:tcBorders>
                    <w:tl2br w:val="nil"/>
                    <w:tr2bl w:val="nil"/>
                  </w:tcBorders>
                  <w:vAlign w:val="center"/>
                </w:tcPr>
                <w:p w14:paraId="151587B0">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污染物</w:t>
                  </w:r>
                </w:p>
              </w:tc>
              <w:tc>
                <w:tcPr>
                  <w:tcW w:w="1968" w:type="dxa"/>
                  <w:tcBorders>
                    <w:tl2br w:val="nil"/>
                    <w:tr2bl w:val="nil"/>
                  </w:tcBorders>
                  <w:vAlign w:val="center"/>
                </w:tcPr>
                <w:p w14:paraId="760339D6">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无组织排放监控点浓度限值（mg/m</w:t>
                  </w:r>
                  <w:r>
                    <w:rPr>
                      <w:rFonts w:ascii="Times New Roman" w:hAnsi="Times New Roman" w:eastAsia="宋体" w:cs="Times New Roman"/>
                      <w:b/>
                      <w:bCs/>
                      <w:color w:val="000000" w:themeColor="text1"/>
                      <w:highlight w:val="none"/>
                      <w:vertAlign w:val="superscript"/>
                      <w14:textFill>
                        <w14:solidFill>
                          <w14:schemeClr w14:val="tx1"/>
                        </w14:solidFill>
                      </w14:textFill>
                    </w:rPr>
                    <w:t>3</w:t>
                  </w:r>
                  <w:r>
                    <w:rPr>
                      <w:rFonts w:ascii="Times New Roman" w:hAnsi="Times New Roman" w:eastAsia="宋体" w:cs="Times New Roman"/>
                      <w:b/>
                      <w:bCs/>
                      <w:color w:val="000000" w:themeColor="text1"/>
                      <w:highlight w:val="none"/>
                      <w14:textFill>
                        <w14:solidFill>
                          <w14:schemeClr w14:val="tx1"/>
                        </w14:solidFill>
                      </w14:textFill>
                    </w:rPr>
                    <w:t>）</w:t>
                  </w:r>
                </w:p>
              </w:tc>
              <w:tc>
                <w:tcPr>
                  <w:tcW w:w="3673" w:type="dxa"/>
                  <w:tcBorders>
                    <w:tl2br w:val="nil"/>
                    <w:tr2bl w:val="nil"/>
                  </w:tcBorders>
                  <w:vAlign w:val="center"/>
                </w:tcPr>
                <w:p w14:paraId="74CEAAD8">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执行标准</w:t>
                  </w:r>
                </w:p>
              </w:tc>
            </w:tr>
            <w:tr w14:paraId="049E7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7" w:hRule="atLeast"/>
                <w:jc w:val="center"/>
              </w:trPr>
              <w:tc>
                <w:tcPr>
                  <w:tcW w:w="755" w:type="dxa"/>
                  <w:vMerge w:val="restart"/>
                  <w:tcBorders>
                    <w:tl2br w:val="nil"/>
                    <w:tr2bl w:val="nil"/>
                  </w:tcBorders>
                  <w:vAlign w:val="center"/>
                </w:tcPr>
                <w:p w14:paraId="54784DF5">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厂房外</w:t>
                  </w:r>
                </w:p>
              </w:tc>
              <w:tc>
                <w:tcPr>
                  <w:tcW w:w="1936" w:type="dxa"/>
                  <w:vMerge w:val="restart"/>
                  <w:tcBorders>
                    <w:tl2br w:val="nil"/>
                    <w:tr2bl w:val="nil"/>
                  </w:tcBorders>
                  <w:vAlign w:val="center"/>
                </w:tcPr>
                <w:p w14:paraId="26539229">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非甲烷总烃</w:t>
                  </w:r>
                </w:p>
              </w:tc>
              <w:tc>
                <w:tcPr>
                  <w:tcW w:w="1968" w:type="dxa"/>
                  <w:tcBorders>
                    <w:tl2br w:val="nil"/>
                    <w:tr2bl w:val="nil"/>
                  </w:tcBorders>
                  <w:vAlign w:val="center"/>
                </w:tcPr>
                <w:p w14:paraId="6F1B06C8">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6（监控点处1h平均浓度值）</w:t>
                  </w:r>
                </w:p>
              </w:tc>
              <w:tc>
                <w:tcPr>
                  <w:tcW w:w="3673" w:type="dxa"/>
                  <w:vMerge w:val="restart"/>
                  <w:tcBorders>
                    <w:tl2br w:val="nil"/>
                    <w:tr2bl w:val="nil"/>
                  </w:tcBorders>
                  <w:vAlign w:val="center"/>
                </w:tcPr>
                <w:p w14:paraId="7AE02954">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《挥发性有机物无组织排放控制标准》（GB37822-2019）</w:t>
                  </w:r>
                </w:p>
              </w:tc>
            </w:tr>
            <w:tr w14:paraId="2FE33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7" w:hRule="atLeast"/>
                <w:jc w:val="center"/>
              </w:trPr>
              <w:tc>
                <w:tcPr>
                  <w:tcW w:w="755" w:type="dxa"/>
                  <w:vMerge w:val="continue"/>
                  <w:tcBorders>
                    <w:tl2br w:val="nil"/>
                    <w:tr2bl w:val="nil"/>
                  </w:tcBorders>
                  <w:vAlign w:val="center"/>
                </w:tcPr>
                <w:p w14:paraId="4DBB2213">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936" w:type="dxa"/>
                  <w:vMerge w:val="continue"/>
                  <w:tcBorders>
                    <w:tl2br w:val="nil"/>
                    <w:tr2bl w:val="nil"/>
                  </w:tcBorders>
                  <w:vAlign w:val="center"/>
                </w:tcPr>
                <w:p w14:paraId="1F171476">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968" w:type="dxa"/>
                  <w:tcBorders>
                    <w:tl2br w:val="nil"/>
                    <w:tr2bl w:val="nil"/>
                  </w:tcBorders>
                  <w:vAlign w:val="center"/>
                </w:tcPr>
                <w:p w14:paraId="5378B960">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20（监控点处任意一次浓度值）</w:t>
                  </w:r>
                </w:p>
              </w:tc>
              <w:tc>
                <w:tcPr>
                  <w:tcW w:w="3673" w:type="dxa"/>
                  <w:vMerge w:val="continue"/>
                  <w:tcBorders>
                    <w:tl2br w:val="nil"/>
                    <w:tr2bl w:val="nil"/>
                  </w:tcBorders>
                  <w:vAlign w:val="center"/>
                </w:tcPr>
                <w:p w14:paraId="596C6ECA">
                  <w:pPr>
                    <w:pStyle w:val="40"/>
                    <w:spacing w:before="31"/>
                    <w:rPr>
                      <w:rFonts w:ascii="Times New Roman" w:hAnsi="Times New Roman" w:eastAsia="宋体" w:cs="Times New Roman"/>
                      <w:color w:val="000000" w:themeColor="text1"/>
                      <w:highlight w:val="none"/>
                      <w14:textFill>
                        <w14:solidFill>
                          <w14:schemeClr w14:val="tx1"/>
                        </w14:solidFill>
                      </w14:textFill>
                    </w:rPr>
                  </w:pPr>
                </w:p>
              </w:tc>
            </w:tr>
            <w:tr w14:paraId="2BB88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5" w:type="dxa"/>
                  <w:vMerge w:val="restart"/>
                  <w:tcBorders>
                    <w:tl2br w:val="nil"/>
                    <w:tr2bl w:val="nil"/>
                  </w:tcBorders>
                  <w:vAlign w:val="center"/>
                </w:tcPr>
                <w:p w14:paraId="39BCCED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厂界</w:t>
                  </w:r>
                </w:p>
              </w:tc>
              <w:tc>
                <w:tcPr>
                  <w:tcW w:w="1936" w:type="dxa"/>
                  <w:tcBorders>
                    <w:tl2br w:val="nil"/>
                    <w:tr2bl w:val="nil"/>
                  </w:tcBorders>
                  <w:vAlign w:val="center"/>
                </w:tcPr>
                <w:p w14:paraId="1B573445">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w:t>
                  </w:r>
                </w:p>
              </w:tc>
              <w:tc>
                <w:tcPr>
                  <w:tcW w:w="1968" w:type="dxa"/>
                  <w:tcBorders>
                    <w:tl2br w:val="nil"/>
                    <w:tr2bl w:val="nil"/>
                  </w:tcBorders>
                  <w:vAlign w:val="center"/>
                </w:tcPr>
                <w:p w14:paraId="7B7CF6B5">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1.0</w:t>
                  </w:r>
                </w:p>
              </w:tc>
              <w:tc>
                <w:tcPr>
                  <w:tcW w:w="3673" w:type="dxa"/>
                  <w:tcBorders>
                    <w:tl2br w:val="nil"/>
                    <w:tr2bl w:val="nil"/>
                  </w:tcBorders>
                  <w:vAlign w:val="center"/>
                </w:tcPr>
                <w:p w14:paraId="04116E1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r w14:paraId="62C76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5" w:type="dxa"/>
                  <w:vMerge w:val="continue"/>
                  <w:tcBorders>
                    <w:tl2br w:val="nil"/>
                    <w:tr2bl w:val="nil"/>
                  </w:tcBorders>
                  <w:vAlign w:val="center"/>
                </w:tcPr>
                <w:p w14:paraId="04C08C10">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936" w:type="dxa"/>
                  <w:tcBorders>
                    <w:tl2br w:val="nil"/>
                    <w:tr2bl w:val="nil"/>
                  </w:tcBorders>
                  <w:vAlign w:val="center"/>
                </w:tcPr>
                <w:p w14:paraId="69C9E434">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非甲烷总烃</w:t>
                  </w:r>
                </w:p>
              </w:tc>
              <w:tc>
                <w:tcPr>
                  <w:tcW w:w="1968" w:type="dxa"/>
                  <w:tcBorders>
                    <w:tl2br w:val="nil"/>
                    <w:tr2bl w:val="nil"/>
                  </w:tcBorders>
                  <w:vAlign w:val="center"/>
                </w:tcPr>
                <w:p w14:paraId="0144870C">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2.0</w:t>
                  </w:r>
                </w:p>
              </w:tc>
              <w:tc>
                <w:tcPr>
                  <w:tcW w:w="3673" w:type="dxa"/>
                  <w:tcBorders>
                    <w:tl2br w:val="nil"/>
                    <w:tr2bl w:val="nil"/>
                  </w:tcBorders>
                  <w:vAlign w:val="center"/>
                </w:tcPr>
                <w:p w14:paraId="3CFD76E8">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《摩托车及汽车配件制造表面涂装大气污染物排放标准》（DB50/660-2016）</w:t>
                  </w:r>
                </w:p>
              </w:tc>
            </w:tr>
          </w:tbl>
          <w:p w14:paraId="16E69173">
            <w:pPr>
              <w:pStyle w:val="21"/>
              <w:spacing w:before="31" w:beforeLines="10" w:beforeAutospacing="0" w:after="31" w:afterLines="10" w:afterAutospacing="0" w:line="360" w:lineRule="auto"/>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2、水污染物排放标准</w:t>
            </w:r>
          </w:p>
          <w:p w14:paraId="2666980F">
            <w:pPr>
              <w:pStyle w:val="21"/>
              <w:spacing w:before="0" w:beforeAutospacing="0" w:after="0" w:afterAutospacing="0" w:line="368"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项目运营期无工艺废水排放，地面清洁采用清扫方式清洁，员工办公生活产生的污水坤坤农业现有生化池预处理达《污水综合排放标准》（</w:t>
            </w:r>
            <w:r>
              <w:rPr>
                <w:rFonts w:ascii="Times New Roman" w:hAnsi="Times New Roman" w:cs="宋体"/>
                <w:color w:val="000000" w:themeColor="text1"/>
                <w:szCs w:val="24"/>
                <w:highlight w:val="none"/>
                <w14:textFill>
                  <w14:solidFill>
                    <w14:schemeClr w14:val="tx1"/>
                  </w14:solidFill>
                </w14:textFill>
              </w:rPr>
              <w:t>GB8978-1996</w:t>
            </w:r>
            <w:r>
              <w:rPr>
                <w:rFonts w:hint="eastAsia" w:ascii="Times New Roman" w:hAnsi="Times New Roman" w:cs="宋体"/>
                <w:color w:val="000000" w:themeColor="text1"/>
                <w:szCs w:val="24"/>
                <w:highlight w:val="none"/>
                <w14:textFill>
                  <w14:solidFill>
                    <w14:schemeClr w14:val="tx1"/>
                  </w14:solidFill>
                </w14:textFill>
              </w:rPr>
              <w:t>）三级标准后，再经市政污水管网进入西彭园区污水处理厂处理达标后排入桥头河，再汇入长江。</w:t>
            </w:r>
          </w:p>
          <w:p w14:paraId="48E44287">
            <w:pPr>
              <w:pStyle w:val="21"/>
              <w:spacing w:before="0" w:beforeAutospacing="0" w:after="0" w:afterAutospacing="0" w:line="368"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西彭工业园区污水处理厂处理能力达到15000m</w:t>
            </w:r>
            <w:r>
              <w:rPr>
                <w:rFonts w:hint="eastAsia" w:ascii="Times New Roman" w:hAnsi="Times New Roman" w:cs="宋体"/>
                <w:color w:val="000000" w:themeColor="text1"/>
                <w:szCs w:val="24"/>
                <w:highlight w:val="none"/>
                <w:vertAlign w:val="superscript"/>
                <w14:textFill>
                  <w14:solidFill>
                    <w14:schemeClr w14:val="tx1"/>
                  </w14:solidFill>
                </w14:textFill>
              </w:rPr>
              <w:t>3</w:t>
            </w:r>
            <w:r>
              <w:rPr>
                <w:rFonts w:hint="eastAsia" w:ascii="Times New Roman" w:hAnsi="Times New Roman" w:cs="宋体"/>
                <w:color w:val="000000" w:themeColor="text1"/>
                <w:szCs w:val="24"/>
                <w:highlight w:val="none"/>
                <w14:textFill>
                  <w14:solidFill>
                    <w14:schemeClr w14:val="tx1"/>
                  </w14:solidFill>
                </w14:textFill>
              </w:rPr>
              <w:t>/d，排放标准提高到《城镇污水处理厂污染物排放标准》（GB18918-2002）一级A标准，其中COD、NH</w:t>
            </w:r>
            <w:r>
              <w:rPr>
                <w:rFonts w:hint="eastAsia" w:ascii="Times New Roman" w:hAnsi="Times New Roman" w:cs="宋体"/>
                <w:color w:val="000000" w:themeColor="text1"/>
                <w:szCs w:val="24"/>
                <w:highlight w:val="none"/>
                <w:vertAlign w:val="subscript"/>
                <w14:textFill>
                  <w14:solidFill>
                    <w14:schemeClr w14:val="tx1"/>
                  </w14:solidFill>
                </w14:textFill>
              </w:rPr>
              <w:t>3</w:t>
            </w:r>
            <w:r>
              <w:rPr>
                <w:rFonts w:hint="eastAsia" w:ascii="Times New Roman" w:hAnsi="Times New Roman" w:cs="宋体"/>
                <w:color w:val="000000" w:themeColor="text1"/>
                <w:szCs w:val="24"/>
                <w:highlight w:val="none"/>
                <w14:textFill>
                  <w14:solidFill>
                    <w14:schemeClr w14:val="tx1"/>
                  </w14:solidFill>
                </w14:textFill>
              </w:rPr>
              <w:t>-N提高到《地表水环境质量标准》（GB3838-2002）IV类标准。</w:t>
            </w:r>
          </w:p>
          <w:p w14:paraId="77D90F07">
            <w:pPr>
              <w:pStyle w:val="21"/>
              <w:spacing w:before="0" w:beforeAutospacing="0" w:after="0" w:afterAutospacing="0" w:line="368"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本项目排入水环境标准近期执行《污水综合排放标准》（GB8978-1996）一级标准，远期执行《城镇污水处理厂污染物排放标准》（GB18918-2002）一级A标准（其中COD、NH</w:t>
            </w:r>
            <w:r>
              <w:rPr>
                <w:rFonts w:hint="eastAsia" w:ascii="Times New Roman" w:hAnsi="Times New Roman" w:cs="宋体"/>
                <w:color w:val="000000" w:themeColor="text1"/>
                <w:szCs w:val="24"/>
                <w:highlight w:val="none"/>
                <w:vertAlign w:val="subscript"/>
                <w14:textFill>
                  <w14:solidFill>
                    <w14:schemeClr w14:val="tx1"/>
                  </w14:solidFill>
                </w14:textFill>
              </w:rPr>
              <w:t>3</w:t>
            </w:r>
            <w:r>
              <w:rPr>
                <w:rFonts w:hint="eastAsia" w:ascii="Times New Roman" w:hAnsi="Times New Roman" w:cs="宋体"/>
                <w:color w:val="000000" w:themeColor="text1"/>
                <w:szCs w:val="24"/>
                <w:highlight w:val="none"/>
                <w14:textFill>
                  <w14:solidFill>
                    <w14:schemeClr w14:val="tx1"/>
                  </w14:solidFill>
                </w14:textFill>
              </w:rPr>
              <w:t>-N执行《地表水环境质量标准》（GB3838-2002）IV类标准）。</w:t>
            </w:r>
          </w:p>
          <w:p w14:paraId="5D228583">
            <w:pPr>
              <w:pStyle w:val="21"/>
              <w:spacing w:before="0" w:beforeAutospacing="0" w:after="0" w:afterAutospacing="0" w:line="368"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执行标准限值详见表3-10。</w:t>
            </w:r>
          </w:p>
          <w:p w14:paraId="1068EA1B">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表3-1</w:t>
            </w:r>
            <w:r>
              <w:rPr>
                <w:rFonts w:hint="eastAsia" w:ascii="Times New Roman" w:hAnsi="Times New Roman" w:eastAsia="宋体" w:cs="Times New Roman"/>
                <w:color w:val="000000" w:themeColor="text1"/>
                <w:szCs w:val="24"/>
                <w:highlight w:val="none"/>
                <w14:textFill>
                  <w14:solidFill>
                    <w14:schemeClr w14:val="tx1"/>
                  </w14:solidFill>
                </w14:textFill>
              </w:rPr>
              <w:t>0</w:t>
            </w:r>
            <w:r>
              <w:rPr>
                <w:rFonts w:ascii="Times New Roman" w:hAnsi="Times New Roman" w:eastAsia="宋体" w:cs="Times New Roman"/>
                <w:color w:val="000000" w:themeColor="text1"/>
                <w:szCs w:val="24"/>
                <w:highlight w:val="none"/>
                <w14:textFill>
                  <w14:solidFill>
                    <w14:schemeClr w14:val="tx1"/>
                  </w14:solidFill>
                </w14:textFill>
              </w:rPr>
              <w:t xml:space="preserve">  项目污水排放标准限值 单位：mg/L</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944"/>
              <w:gridCol w:w="1005"/>
              <w:gridCol w:w="1179"/>
              <w:gridCol w:w="1179"/>
              <w:gridCol w:w="1179"/>
              <w:gridCol w:w="1206"/>
            </w:tblGrid>
            <w:tr w14:paraId="7ADE6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2" w:hRule="atLeast"/>
                <w:jc w:val="center"/>
              </w:trPr>
              <w:tc>
                <w:tcPr>
                  <w:tcW w:w="1694" w:type="pct"/>
                  <w:tcBorders>
                    <w:tl2br w:val="nil"/>
                    <w:tr2bl w:val="nil"/>
                  </w:tcBorders>
                  <w:vAlign w:val="center"/>
                </w:tcPr>
                <w:p w14:paraId="23E9B66C">
                  <w:pPr>
                    <w:widowControl/>
                    <w:spacing w:before="71" w:beforeLines="23" w:after="71" w:afterLines="23" w:line="300" w:lineRule="auto"/>
                    <w:jc w:val="center"/>
                    <w:rPr>
                      <w:rFonts w:ascii="Times New Roman" w:hAnsi="Times New Roman" w:eastAsia="宋体" w:cs="宋体"/>
                      <w:b/>
                      <w:bCs/>
                      <w:color w:val="000000" w:themeColor="text1"/>
                      <w:kern w:val="0"/>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Cs w:val="21"/>
                      <w:highlight w:val="none"/>
                      <w:lang w:bidi="ar"/>
                      <w14:textFill>
                        <w14:solidFill>
                          <w14:schemeClr w14:val="tx1"/>
                        </w14:solidFill>
                      </w14:textFill>
                    </w:rPr>
                    <w:t>污染物名称</w:t>
                  </w:r>
                </w:p>
              </w:tc>
              <w:tc>
                <w:tcPr>
                  <w:tcW w:w="578" w:type="pct"/>
                  <w:tcBorders>
                    <w:tl2br w:val="nil"/>
                    <w:tr2bl w:val="nil"/>
                  </w:tcBorders>
                  <w:vAlign w:val="center"/>
                </w:tcPr>
                <w:p w14:paraId="580811F1">
                  <w:pPr>
                    <w:widowControl/>
                    <w:spacing w:before="71" w:beforeLines="23" w:after="71" w:afterLines="23" w:line="300" w:lineRule="auto"/>
                    <w:jc w:val="center"/>
                    <w:rPr>
                      <w:rFonts w:ascii="Times New Roman" w:hAnsi="Times New Roman" w:eastAsia="宋体" w:cs="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szCs w:val="21"/>
                      <w:highlight w:val="none"/>
                      <w14:textFill>
                        <w14:solidFill>
                          <w14:schemeClr w14:val="tx1"/>
                        </w14:solidFill>
                      </w14:textFill>
                    </w:rPr>
                    <w:t>pH</w:t>
                  </w:r>
                </w:p>
              </w:tc>
              <w:tc>
                <w:tcPr>
                  <w:tcW w:w="678" w:type="pct"/>
                  <w:tcBorders>
                    <w:tl2br w:val="nil"/>
                    <w:tr2bl w:val="nil"/>
                  </w:tcBorders>
                  <w:vAlign w:val="center"/>
                </w:tcPr>
                <w:p w14:paraId="48A53A0B">
                  <w:pPr>
                    <w:widowControl/>
                    <w:spacing w:before="71" w:beforeLines="23" w:after="71" w:afterLines="23" w:line="300" w:lineRule="auto"/>
                    <w:jc w:val="center"/>
                    <w:rPr>
                      <w:rFonts w:ascii="Times New Roman" w:hAnsi="Times New Roman" w:eastAsia="宋体" w:cs="宋体"/>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kern w:val="0"/>
                      <w:szCs w:val="21"/>
                      <w:highlight w:val="none"/>
                      <w:lang w:bidi="ar"/>
                      <w14:textFill>
                        <w14:solidFill>
                          <w14:schemeClr w14:val="tx1"/>
                        </w14:solidFill>
                      </w14:textFill>
                    </w:rPr>
                    <w:t>COD</w:t>
                  </w:r>
                </w:p>
              </w:tc>
              <w:tc>
                <w:tcPr>
                  <w:tcW w:w="678" w:type="pct"/>
                  <w:tcBorders>
                    <w:tl2br w:val="nil"/>
                    <w:tr2bl w:val="nil"/>
                  </w:tcBorders>
                  <w:vAlign w:val="center"/>
                </w:tcPr>
                <w:p w14:paraId="05B09CA1">
                  <w:pPr>
                    <w:widowControl/>
                    <w:spacing w:before="71" w:beforeLines="23" w:after="71" w:afterLines="23" w:line="300" w:lineRule="auto"/>
                    <w:jc w:val="center"/>
                    <w:rPr>
                      <w:rFonts w:ascii="Times New Roman" w:hAnsi="Times New Roman" w:eastAsia="宋体" w:cs="宋体"/>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kern w:val="0"/>
                      <w:szCs w:val="21"/>
                      <w:highlight w:val="none"/>
                      <w:lang w:bidi="ar"/>
                      <w14:textFill>
                        <w14:solidFill>
                          <w14:schemeClr w14:val="tx1"/>
                        </w14:solidFill>
                      </w14:textFill>
                    </w:rPr>
                    <w:t>BOD</w:t>
                  </w:r>
                  <w:r>
                    <w:rPr>
                      <w:rFonts w:ascii="Times New Roman" w:hAnsi="Times New Roman" w:eastAsia="宋体" w:cs="Times New Roman"/>
                      <w:b/>
                      <w:bCs/>
                      <w:color w:val="000000" w:themeColor="text1"/>
                      <w:kern w:val="0"/>
                      <w:szCs w:val="21"/>
                      <w:highlight w:val="none"/>
                      <w:vertAlign w:val="subscript"/>
                      <w:lang w:bidi="ar"/>
                      <w14:textFill>
                        <w14:solidFill>
                          <w14:schemeClr w14:val="tx1"/>
                        </w14:solidFill>
                      </w14:textFill>
                    </w:rPr>
                    <w:t>5</w:t>
                  </w:r>
                </w:p>
              </w:tc>
              <w:tc>
                <w:tcPr>
                  <w:tcW w:w="678" w:type="pct"/>
                  <w:tcBorders>
                    <w:tl2br w:val="nil"/>
                    <w:tr2bl w:val="nil"/>
                  </w:tcBorders>
                  <w:vAlign w:val="center"/>
                </w:tcPr>
                <w:p w14:paraId="63757DCA">
                  <w:pPr>
                    <w:widowControl/>
                    <w:spacing w:before="71" w:beforeLines="23" w:after="71" w:afterLines="23" w:line="300" w:lineRule="auto"/>
                    <w:jc w:val="center"/>
                    <w:rPr>
                      <w:rFonts w:ascii="Times New Roman" w:hAnsi="Times New Roman" w:eastAsia="宋体" w:cs="宋体"/>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kern w:val="0"/>
                      <w:szCs w:val="21"/>
                      <w:highlight w:val="none"/>
                      <w:lang w:bidi="ar"/>
                      <w14:textFill>
                        <w14:solidFill>
                          <w14:schemeClr w14:val="tx1"/>
                        </w14:solidFill>
                      </w14:textFill>
                    </w:rPr>
                    <w:t>SS</w:t>
                  </w:r>
                </w:p>
              </w:tc>
              <w:tc>
                <w:tcPr>
                  <w:tcW w:w="692" w:type="pct"/>
                  <w:tcBorders>
                    <w:tl2br w:val="nil"/>
                    <w:tr2bl w:val="nil"/>
                  </w:tcBorders>
                  <w:vAlign w:val="center"/>
                </w:tcPr>
                <w:p w14:paraId="2D679C27">
                  <w:pPr>
                    <w:widowControl/>
                    <w:spacing w:before="71" w:beforeLines="23" w:after="71" w:afterLines="23" w:line="300" w:lineRule="auto"/>
                    <w:jc w:val="center"/>
                    <w:rPr>
                      <w:rFonts w:ascii="Times New Roman" w:hAnsi="Times New Roman" w:eastAsia="宋体" w:cs="宋体"/>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kern w:val="0"/>
                      <w:szCs w:val="21"/>
                      <w:highlight w:val="none"/>
                      <w:lang w:bidi="ar"/>
                      <w14:textFill>
                        <w14:solidFill>
                          <w14:schemeClr w14:val="tx1"/>
                        </w14:solidFill>
                      </w14:textFill>
                    </w:rPr>
                    <w:t>NH</w:t>
                  </w:r>
                  <w:r>
                    <w:rPr>
                      <w:rFonts w:ascii="Times New Roman" w:hAnsi="Times New Roman" w:eastAsia="宋体" w:cs="Times New Roman"/>
                      <w:b/>
                      <w:bCs/>
                      <w:color w:val="000000" w:themeColor="text1"/>
                      <w:kern w:val="0"/>
                      <w:szCs w:val="21"/>
                      <w:highlight w:val="none"/>
                      <w:vertAlign w:val="subscript"/>
                      <w:lang w:bidi="ar"/>
                      <w14:textFill>
                        <w14:solidFill>
                          <w14:schemeClr w14:val="tx1"/>
                        </w14:solidFill>
                      </w14:textFill>
                    </w:rPr>
                    <w:t>3</w:t>
                  </w:r>
                  <w:r>
                    <w:rPr>
                      <w:rFonts w:ascii="Times New Roman" w:hAnsi="Times New Roman" w:eastAsia="宋体" w:cs="Times New Roman"/>
                      <w:b/>
                      <w:bCs/>
                      <w:color w:val="000000" w:themeColor="text1"/>
                      <w:kern w:val="0"/>
                      <w:szCs w:val="21"/>
                      <w:highlight w:val="none"/>
                      <w:lang w:bidi="ar"/>
                      <w14:textFill>
                        <w14:solidFill>
                          <w14:schemeClr w14:val="tx1"/>
                        </w14:solidFill>
                      </w14:textFill>
                    </w:rPr>
                    <w:t>-N</w:t>
                  </w:r>
                </w:p>
              </w:tc>
            </w:tr>
            <w:tr w14:paraId="396E3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1694" w:type="pct"/>
                  <w:tcBorders>
                    <w:tl2br w:val="nil"/>
                    <w:tr2bl w:val="nil"/>
                  </w:tcBorders>
                  <w:vAlign w:val="center"/>
                </w:tcPr>
                <w:p w14:paraId="40619D8B">
                  <w:pPr>
                    <w:widowControl/>
                    <w:spacing w:before="71" w:beforeLines="23" w:after="71" w:afterLines="23" w:line="300" w:lineRule="auto"/>
                    <w:jc w:val="center"/>
                    <w:rPr>
                      <w:rFonts w:ascii="Times New Roman" w:hAnsi="Times New Roman" w:eastAsia="宋体" w:cs="Times New Roman"/>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r>
                    <w:rPr>
                      <w:rFonts w:ascii="Times New Roman" w:hAnsi="Times New Roman" w:eastAsia="宋体" w:cs="Times New Roman"/>
                      <w:color w:val="000000" w:themeColor="text1"/>
                      <w:kern w:val="0"/>
                      <w:szCs w:val="21"/>
                      <w:highlight w:val="none"/>
                      <w:lang w:bidi="ar"/>
                      <w14:textFill>
                        <w14:solidFill>
                          <w14:schemeClr w14:val="tx1"/>
                        </w14:solidFill>
                      </w14:textFill>
                    </w:rPr>
                    <w:t>GB</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 xml:space="preserve"> </w:t>
                  </w:r>
                  <w:r>
                    <w:rPr>
                      <w:rFonts w:ascii="Times New Roman" w:hAnsi="Times New Roman" w:eastAsia="宋体" w:cs="Times New Roman"/>
                      <w:color w:val="000000" w:themeColor="text1"/>
                      <w:kern w:val="0"/>
                      <w:szCs w:val="21"/>
                      <w:highlight w:val="none"/>
                      <w:lang w:bidi="ar"/>
                      <w14:textFill>
                        <w14:solidFill>
                          <w14:schemeClr w14:val="tx1"/>
                        </w14:solidFill>
                      </w14:textFill>
                    </w:rPr>
                    <w:t>8978-1996</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）三级标准</w:t>
                  </w:r>
                </w:p>
              </w:tc>
              <w:tc>
                <w:tcPr>
                  <w:tcW w:w="578" w:type="pct"/>
                  <w:tcBorders>
                    <w:tl2br w:val="nil"/>
                    <w:tr2bl w:val="nil"/>
                  </w:tcBorders>
                  <w:vAlign w:val="center"/>
                </w:tcPr>
                <w:p w14:paraId="7BE5C2B9">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6-9</w:t>
                  </w:r>
                </w:p>
              </w:tc>
              <w:tc>
                <w:tcPr>
                  <w:tcW w:w="678" w:type="pct"/>
                  <w:tcBorders>
                    <w:tl2br w:val="nil"/>
                    <w:tr2bl w:val="nil"/>
                  </w:tcBorders>
                  <w:vAlign w:val="center"/>
                </w:tcPr>
                <w:p w14:paraId="386C1C42">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500</w:t>
                  </w:r>
                </w:p>
              </w:tc>
              <w:tc>
                <w:tcPr>
                  <w:tcW w:w="678" w:type="pct"/>
                  <w:tcBorders>
                    <w:tl2br w:val="nil"/>
                    <w:tr2bl w:val="nil"/>
                  </w:tcBorders>
                  <w:vAlign w:val="center"/>
                </w:tcPr>
                <w:p w14:paraId="2684DCEE">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300</w:t>
                  </w:r>
                </w:p>
              </w:tc>
              <w:tc>
                <w:tcPr>
                  <w:tcW w:w="678" w:type="pct"/>
                  <w:tcBorders>
                    <w:tl2br w:val="nil"/>
                    <w:tr2bl w:val="nil"/>
                  </w:tcBorders>
                  <w:vAlign w:val="center"/>
                </w:tcPr>
                <w:p w14:paraId="521C5ED7">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400</w:t>
                  </w:r>
                </w:p>
              </w:tc>
              <w:tc>
                <w:tcPr>
                  <w:tcW w:w="692" w:type="pct"/>
                  <w:tcBorders>
                    <w:tl2br w:val="nil"/>
                    <w:tr2bl w:val="nil"/>
                  </w:tcBorders>
                  <w:vAlign w:val="center"/>
                </w:tcPr>
                <w:p w14:paraId="256F49C8">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45*</w:t>
                  </w:r>
                </w:p>
              </w:tc>
            </w:tr>
            <w:tr w14:paraId="3AFD1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694" w:type="pct"/>
                  <w:tcBorders>
                    <w:tl2br w:val="nil"/>
                    <w:tr2bl w:val="nil"/>
                  </w:tcBorders>
                  <w:vAlign w:val="center"/>
                </w:tcPr>
                <w:p w14:paraId="537995DC">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（GB 8978-1996）</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一</w:t>
                  </w:r>
                  <w:r>
                    <w:rPr>
                      <w:rFonts w:ascii="Times New Roman" w:hAnsi="Times New Roman" w:eastAsia="宋体" w:cs="Times New Roman"/>
                      <w:color w:val="000000" w:themeColor="text1"/>
                      <w:kern w:val="0"/>
                      <w:szCs w:val="21"/>
                      <w:highlight w:val="none"/>
                      <w:lang w:bidi="ar"/>
                      <w14:textFill>
                        <w14:solidFill>
                          <w14:schemeClr w14:val="tx1"/>
                        </w14:solidFill>
                      </w14:textFill>
                    </w:rPr>
                    <w:t>级标准</w:t>
                  </w:r>
                </w:p>
              </w:tc>
              <w:tc>
                <w:tcPr>
                  <w:tcW w:w="578" w:type="pct"/>
                  <w:tcBorders>
                    <w:tl2br w:val="nil"/>
                    <w:tr2bl w:val="nil"/>
                  </w:tcBorders>
                  <w:vAlign w:val="center"/>
                </w:tcPr>
                <w:p w14:paraId="7A76F395">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6-9</w:t>
                  </w:r>
                </w:p>
              </w:tc>
              <w:tc>
                <w:tcPr>
                  <w:tcW w:w="678" w:type="pct"/>
                  <w:tcBorders>
                    <w:tl2br w:val="nil"/>
                    <w:tr2bl w:val="nil"/>
                  </w:tcBorders>
                  <w:vAlign w:val="center"/>
                </w:tcPr>
                <w:p w14:paraId="406B9317">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100</w:t>
                  </w:r>
                </w:p>
              </w:tc>
              <w:tc>
                <w:tcPr>
                  <w:tcW w:w="678" w:type="pct"/>
                  <w:tcBorders>
                    <w:tl2br w:val="nil"/>
                    <w:tr2bl w:val="nil"/>
                  </w:tcBorders>
                  <w:vAlign w:val="center"/>
                </w:tcPr>
                <w:p w14:paraId="79F6ABD9">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30</w:t>
                  </w:r>
                </w:p>
              </w:tc>
              <w:tc>
                <w:tcPr>
                  <w:tcW w:w="678" w:type="pct"/>
                  <w:tcBorders>
                    <w:tl2br w:val="nil"/>
                    <w:tr2bl w:val="nil"/>
                  </w:tcBorders>
                  <w:vAlign w:val="center"/>
                </w:tcPr>
                <w:p w14:paraId="072BA383">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70</w:t>
                  </w:r>
                </w:p>
              </w:tc>
              <w:tc>
                <w:tcPr>
                  <w:tcW w:w="692" w:type="pct"/>
                  <w:tcBorders>
                    <w:tl2br w:val="nil"/>
                    <w:tr2bl w:val="nil"/>
                  </w:tcBorders>
                  <w:vAlign w:val="center"/>
                </w:tcPr>
                <w:p w14:paraId="302C9FD9">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15</w:t>
                  </w:r>
                </w:p>
              </w:tc>
            </w:tr>
            <w:tr w14:paraId="30F32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694" w:type="pct"/>
                  <w:tcBorders>
                    <w:tl2br w:val="nil"/>
                    <w:tr2bl w:val="nil"/>
                  </w:tcBorders>
                  <w:vAlign w:val="center"/>
                </w:tcPr>
                <w:p w14:paraId="1A83465C">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（GB18918-2002）一级A标准</w:t>
                  </w:r>
                </w:p>
              </w:tc>
              <w:tc>
                <w:tcPr>
                  <w:tcW w:w="578" w:type="pct"/>
                  <w:tcBorders>
                    <w:tl2br w:val="nil"/>
                    <w:tr2bl w:val="nil"/>
                  </w:tcBorders>
                  <w:vAlign w:val="center"/>
                </w:tcPr>
                <w:p w14:paraId="392EF577">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6~9</w:t>
                  </w:r>
                </w:p>
              </w:tc>
              <w:tc>
                <w:tcPr>
                  <w:tcW w:w="678" w:type="pct"/>
                  <w:tcBorders>
                    <w:tl2br w:val="nil"/>
                    <w:tr2bl w:val="nil"/>
                  </w:tcBorders>
                  <w:vAlign w:val="center"/>
                </w:tcPr>
                <w:p w14:paraId="598B98FE">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30**</w:t>
                  </w:r>
                </w:p>
              </w:tc>
              <w:tc>
                <w:tcPr>
                  <w:tcW w:w="678" w:type="pct"/>
                  <w:tcBorders>
                    <w:tl2br w:val="nil"/>
                    <w:tr2bl w:val="nil"/>
                  </w:tcBorders>
                  <w:vAlign w:val="center"/>
                </w:tcPr>
                <w:p w14:paraId="5B791C0B">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10</w:t>
                  </w:r>
                </w:p>
              </w:tc>
              <w:tc>
                <w:tcPr>
                  <w:tcW w:w="678" w:type="pct"/>
                  <w:tcBorders>
                    <w:tl2br w:val="nil"/>
                    <w:tr2bl w:val="nil"/>
                  </w:tcBorders>
                  <w:vAlign w:val="center"/>
                </w:tcPr>
                <w:p w14:paraId="5035AEAF">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10</w:t>
                  </w:r>
                </w:p>
              </w:tc>
              <w:tc>
                <w:tcPr>
                  <w:tcW w:w="692" w:type="pct"/>
                  <w:tcBorders>
                    <w:tl2br w:val="nil"/>
                    <w:tr2bl w:val="nil"/>
                  </w:tcBorders>
                  <w:vAlign w:val="center"/>
                </w:tcPr>
                <w:p w14:paraId="367B3D80">
                  <w:pPr>
                    <w:widowControl/>
                    <w:spacing w:before="71" w:beforeLines="23" w:after="71" w:afterLines="23" w:line="300" w:lineRule="auto"/>
                    <w:jc w:val="center"/>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1.5**</w:t>
                  </w:r>
                </w:p>
              </w:tc>
            </w:tr>
            <w:tr w14:paraId="69DF2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6"/>
                  <w:tcBorders>
                    <w:tl2br w:val="nil"/>
                    <w:tr2bl w:val="nil"/>
                  </w:tcBorders>
                  <w:vAlign w:val="center"/>
                </w:tcPr>
                <w:p w14:paraId="7C2EAE7B">
                  <w:pPr>
                    <w:widowControl/>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注</w:t>
                  </w:r>
                  <w:r>
                    <w:rPr>
                      <w:rFonts w:hint="eastAsia" w:ascii="Times New Roman" w:hAnsi="Times New Roman" w:eastAsia="宋体"/>
                      <w:color w:val="000000" w:themeColor="text1"/>
                      <w:szCs w:val="21"/>
                      <w:highlight w:val="none"/>
                      <w14:textFill>
                        <w14:solidFill>
                          <w14:schemeClr w14:val="tx1"/>
                        </w14:solidFill>
                      </w14:textFill>
                    </w:rPr>
                    <w:t>：“*”氨氮参照执行《污水排入城镇下水道水质标准》（GB/T 31962-2015）；</w:t>
                  </w:r>
                </w:p>
                <w:p w14:paraId="25E8AA6F">
                  <w:pPr>
                    <w:widowControl/>
                    <w:ind w:firstLine="420" w:firstLineChars="200"/>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“**”执行《地表水环境质量标准》（GB3838-2002）IV类标准。</w:t>
                  </w:r>
                </w:p>
              </w:tc>
            </w:tr>
          </w:tbl>
          <w:p w14:paraId="2FF415E3">
            <w:pPr>
              <w:pStyle w:val="21"/>
              <w:spacing w:before="31" w:beforeLines="10" w:beforeAutospacing="0" w:after="31" w:afterLines="10" w:afterAutospacing="0" w:line="360" w:lineRule="auto"/>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3、噪声排放标准</w:t>
            </w:r>
          </w:p>
          <w:p w14:paraId="41F864EE">
            <w:pPr>
              <w:pStyle w:val="21"/>
              <w:spacing w:before="0" w:beforeAutospacing="0" w:after="0" w:afterAutospacing="0" w:line="368"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本项目运营期噪声排放执行《工业企业厂界环境噪声排放标准》（GB 12348-2008）3类标准。</w:t>
            </w:r>
          </w:p>
          <w:p w14:paraId="7144D287">
            <w:pPr>
              <w:pStyle w:val="21"/>
              <w:spacing w:before="0" w:beforeAutospacing="0" w:after="0" w:afterAutospacing="0" w:line="368"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执行标准限值详见表3-11。</w:t>
            </w:r>
          </w:p>
          <w:p w14:paraId="784D7D99">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表3-1</w:t>
            </w:r>
            <w:r>
              <w:rPr>
                <w:rFonts w:hint="eastAsia" w:ascii="Times New Roman" w:hAnsi="Times New Roman" w:eastAsia="宋体" w:cs="Times New Roman"/>
                <w:color w:val="000000" w:themeColor="text1"/>
                <w:szCs w:val="24"/>
                <w:highlight w:val="none"/>
                <w14:textFill>
                  <w14:solidFill>
                    <w14:schemeClr w14:val="tx1"/>
                  </w14:solidFill>
                </w14:textFill>
              </w:rPr>
              <w:t>1</w:t>
            </w:r>
            <w:r>
              <w:rPr>
                <w:rFonts w:ascii="Times New Roman" w:hAnsi="Times New Roman" w:eastAsia="宋体" w:cs="Times New Roman"/>
                <w:color w:val="000000" w:themeColor="text1"/>
                <w:szCs w:val="24"/>
                <w:highlight w:val="none"/>
                <w14:textFill>
                  <w14:solidFill>
                    <w14:schemeClr w14:val="tx1"/>
                  </w14:solidFill>
                </w14:textFill>
              </w:rPr>
              <w:t xml:space="preserve">  工业企业厂界环境噪声排放限值 单位：Leq[dB(A)]</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775"/>
              <w:gridCol w:w="3017"/>
              <w:gridCol w:w="2900"/>
            </w:tblGrid>
            <w:tr w14:paraId="05175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96" w:type="pct"/>
                  <w:tcBorders>
                    <w:tl2br w:val="nil"/>
                    <w:tr2bl w:val="nil"/>
                  </w:tcBorders>
                  <w:vAlign w:val="center"/>
                </w:tcPr>
                <w:p w14:paraId="4FD860D3">
                  <w:pPr>
                    <w:pStyle w:val="21"/>
                    <w:spacing w:before="71" w:beforeLines="23" w:beforeAutospacing="0" w:after="71" w:afterLines="23" w:afterAutospacing="0" w:line="300" w:lineRule="auto"/>
                    <w:jc w:val="center"/>
                    <w:rPr>
                      <w:rFonts w:ascii="Times New Roman" w:hAnsi="Times New Roman" w:cs="宋体"/>
                      <w:b/>
                      <w:bCs/>
                      <w:color w:val="000000" w:themeColor="text1"/>
                      <w:sz w:val="21"/>
                      <w:szCs w:val="21"/>
                      <w:highlight w:val="none"/>
                      <w14:textFill>
                        <w14:solidFill>
                          <w14:schemeClr w14:val="tx1"/>
                        </w14:solidFill>
                      </w14:textFill>
                    </w:rPr>
                  </w:pPr>
                  <w:r>
                    <w:rPr>
                      <w:rFonts w:hint="eastAsia" w:ascii="Times New Roman" w:hAnsi="Times New Roman" w:cs="宋体"/>
                      <w:b/>
                      <w:bCs/>
                      <w:color w:val="000000" w:themeColor="text1"/>
                      <w:sz w:val="21"/>
                      <w:szCs w:val="21"/>
                      <w:highlight w:val="none"/>
                      <w14:textFill>
                        <w14:solidFill>
                          <w14:schemeClr w14:val="tx1"/>
                        </w14:solidFill>
                      </w14:textFill>
                    </w:rPr>
                    <w:t>声环境功能区类别</w:t>
                  </w:r>
                </w:p>
              </w:tc>
              <w:tc>
                <w:tcPr>
                  <w:tcW w:w="1735" w:type="pct"/>
                  <w:tcBorders>
                    <w:tl2br w:val="nil"/>
                    <w:tr2bl w:val="nil"/>
                  </w:tcBorders>
                  <w:vAlign w:val="center"/>
                </w:tcPr>
                <w:p w14:paraId="3B075D70">
                  <w:pPr>
                    <w:pStyle w:val="21"/>
                    <w:spacing w:before="71" w:beforeLines="23" w:beforeAutospacing="0" w:after="71" w:afterLines="23" w:afterAutospacing="0" w:line="300" w:lineRule="auto"/>
                    <w:jc w:val="center"/>
                    <w:rPr>
                      <w:rFonts w:ascii="Times New Roman" w:hAnsi="Times New Roman" w:cs="宋体"/>
                      <w:b/>
                      <w:bCs/>
                      <w:color w:val="000000" w:themeColor="text1"/>
                      <w:sz w:val="21"/>
                      <w:szCs w:val="21"/>
                      <w:highlight w:val="none"/>
                      <w14:textFill>
                        <w14:solidFill>
                          <w14:schemeClr w14:val="tx1"/>
                        </w14:solidFill>
                      </w14:textFill>
                    </w:rPr>
                  </w:pPr>
                  <w:r>
                    <w:rPr>
                      <w:rFonts w:hint="eastAsia" w:ascii="Times New Roman" w:hAnsi="Times New Roman" w:cs="宋体"/>
                      <w:b/>
                      <w:bCs/>
                      <w:color w:val="000000" w:themeColor="text1"/>
                      <w:sz w:val="21"/>
                      <w:szCs w:val="21"/>
                      <w:highlight w:val="none"/>
                      <w14:textFill>
                        <w14:solidFill>
                          <w14:schemeClr w14:val="tx1"/>
                        </w14:solidFill>
                      </w14:textFill>
                    </w:rPr>
                    <w:t>昼间</w:t>
                  </w:r>
                </w:p>
              </w:tc>
              <w:tc>
                <w:tcPr>
                  <w:tcW w:w="1667" w:type="pct"/>
                  <w:tcBorders>
                    <w:tl2br w:val="nil"/>
                    <w:tr2bl w:val="nil"/>
                  </w:tcBorders>
                  <w:vAlign w:val="center"/>
                </w:tcPr>
                <w:p w14:paraId="249862E9">
                  <w:pPr>
                    <w:pStyle w:val="21"/>
                    <w:spacing w:before="71" w:beforeLines="23" w:beforeAutospacing="0" w:after="71" w:afterLines="23" w:afterAutospacing="0" w:line="300" w:lineRule="auto"/>
                    <w:jc w:val="center"/>
                    <w:rPr>
                      <w:rFonts w:ascii="Times New Roman" w:hAnsi="Times New Roman" w:cs="宋体"/>
                      <w:b/>
                      <w:bCs/>
                      <w:color w:val="000000" w:themeColor="text1"/>
                      <w:sz w:val="21"/>
                      <w:szCs w:val="21"/>
                      <w:highlight w:val="none"/>
                      <w14:textFill>
                        <w14:solidFill>
                          <w14:schemeClr w14:val="tx1"/>
                        </w14:solidFill>
                      </w14:textFill>
                    </w:rPr>
                  </w:pPr>
                  <w:r>
                    <w:rPr>
                      <w:rFonts w:ascii="Times New Roman" w:hAnsi="Times New Roman" w:cs="宋体"/>
                      <w:b/>
                      <w:bCs/>
                      <w:color w:val="000000" w:themeColor="text1"/>
                      <w:sz w:val="21"/>
                      <w:szCs w:val="21"/>
                      <w:highlight w:val="none"/>
                      <w14:textFill>
                        <w14:solidFill>
                          <w14:schemeClr w14:val="tx1"/>
                        </w14:solidFill>
                      </w14:textFill>
                    </w:rPr>
                    <w:t>夜间</w:t>
                  </w:r>
                </w:p>
              </w:tc>
            </w:tr>
            <w:tr w14:paraId="04437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96" w:type="pct"/>
                  <w:tcBorders>
                    <w:tl2br w:val="nil"/>
                    <w:tr2bl w:val="nil"/>
                  </w:tcBorders>
                  <w:vAlign w:val="center"/>
                </w:tcPr>
                <w:p w14:paraId="6BFB1371">
                  <w:pPr>
                    <w:pStyle w:val="21"/>
                    <w:spacing w:before="71" w:beforeLines="23" w:beforeAutospacing="0" w:after="71" w:afterLines="23"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3类</w:t>
                  </w:r>
                </w:p>
              </w:tc>
              <w:tc>
                <w:tcPr>
                  <w:tcW w:w="1735" w:type="pct"/>
                  <w:tcBorders>
                    <w:tl2br w:val="nil"/>
                    <w:tr2bl w:val="nil"/>
                  </w:tcBorders>
                  <w:vAlign w:val="center"/>
                </w:tcPr>
                <w:p w14:paraId="1A25C5EC">
                  <w:pPr>
                    <w:pStyle w:val="21"/>
                    <w:spacing w:before="71" w:beforeLines="23" w:beforeAutospacing="0" w:after="71" w:afterLines="23"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hint="eastAsia" w:ascii="Times New Roman" w:hAnsi="Times New Roman" w:cs="宋体"/>
                      <w:color w:val="000000" w:themeColor="text1"/>
                      <w:sz w:val="21"/>
                      <w:szCs w:val="21"/>
                      <w:highlight w:val="none"/>
                      <w14:textFill>
                        <w14:solidFill>
                          <w14:schemeClr w14:val="tx1"/>
                        </w14:solidFill>
                      </w14:textFill>
                    </w:rPr>
                    <w:t>65</w:t>
                  </w:r>
                </w:p>
              </w:tc>
              <w:tc>
                <w:tcPr>
                  <w:tcW w:w="1667" w:type="pct"/>
                  <w:tcBorders>
                    <w:tl2br w:val="nil"/>
                    <w:tr2bl w:val="nil"/>
                  </w:tcBorders>
                  <w:vAlign w:val="center"/>
                </w:tcPr>
                <w:p w14:paraId="3626A98E">
                  <w:pPr>
                    <w:pStyle w:val="21"/>
                    <w:spacing w:before="71" w:beforeLines="23" w:beforeAutospacing="0" w:after="71" w:afterLines="23" w:afterAutospacing="0" w:line="300" w:lineRule="auto"/>
                    <w:jc w:val="center"/>
                    <w:rPr>
                      <w:rFonts w:ascii="Times New Roman" w:hAnsi="Times New Roman" w:cs="宋体"/>
                      <w:color w:val="000000" w:themeColor="text1"/>
                      <w:sz w:val="21"/>
                      <w:szCs w:val="21"/>
                      <w:highlight w:val="none"/>
                      <w14:textFill>
                        <w14:solidFill>
                          <w14:schemeClr w14:val="tx1"/>
                        </w14:solidFill>
                      </w14:textFill>
                    </w:rPr>
                  </w:pPr>
                  <w:r>
                    <w:rPr>
                      <w:rFonts w:ascii="Times New Roman" w:hAnsi="Times New Roman" w:cs="宋体"/>
                      <w:color w:val="000000" w:themeColor="text1"/>
                      <w:sz w:val="21"/>
                      <w:szCs w:val="21"/>
                      <w:highlight w:val="none"/>
                      <w14:textFill>
                        <w14:solidFill>
                          <w14:schemeClr w14:val="tx1"/>
                        </w14:solidFill>
                      </w14:textFill>
                    </w:rPr>
                    <w:t>55</w:t>
                  </w:r>
                </w:p>
              </w:tc>
            </w:tr>
          </w:tbl>
          <w:p w14:paraId="2B2A508F">
            <w:pPr>
              <w:pStyle w:val="21"/>
              <w:spacing w:before="31" w:beforeLines="10" w:beforeAutospacing="0" w:after="31" w:afterLines="10" w:afterAutospacing="0" w:line="360" w:lineRule="auto"/>
              <w:jc w:val="both"/>
              <w:rPr>
                <w:rFonts w:ascii="Times New Roman" w:hAnsi="Times New Roman" w:cs="宋体"/>
                <w:b/>
                <w:bCs/>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4、固废贮存标准</w:t>
            </w:r>
          </w:p>
          <w:p w14:paraId="11614A87">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一般工业固废：按照生态环境部公告2024年第4号发布的《固体废物分类与代码目录》进行识别，其贮存过程应满足相应防渗漏、防雨淋、防扬尘等环境保护要求。</w:t>
            </w:r>
          </w:p>
          <w:p w14:paraId="5C74E8F2">
            <w:pPr>
              <w:pStyle w:val="21"/>
              <w:spacing w:before="0" w:beforeAutospacing="0" w:after="0" w:afterAutospacing="0" w:line="360" w:lineRule="auto"/>
              <w:ind w:firstLine="480" w:firstLineChars="200"/>
              <w:jc w:val="both"/>
              <w:rPr>
                <w:rFonts w:ascii="Times New Roman" w:hAnsi="Times New Roman"/>
                <w:color w:val="000000" w:themeColor="text1"/>
                <w:highlight w:val="none"/>
                <w14:textFill>
                  <w14:solidFill>
                    <w14:schemeClr w14:val="tx1"/>
                  </w14:solidFill>
                </w14:textFill>
              </w:rPr>
            </w:pPr>
            <w:r>
              <w:rPr>
                <w:rFonts w:ascii="Times New Roman" w:hAnsi="Times New Roman" w:cs="Times New Roman"/>
                <w:color w:val="000000" w:themeColor="text1"/>
                <w:szCs w:val="24"/>
                <w:highlight w:val="none"/>
                <w14:textFill>
                  <w14:solidFill>
                    <w14:schemeClr w14:val="tx1"/>
                  </w14:solidFill>
                </w14:textFill>
              </w:rPr>
              <w:t>危险废物：应按《国家危险废物名录》（202</w:t>
            </w:r>
            <w:r>
              <w:rPr>
                <w:rFonts w:hint="eastAsia" w:ascii="Times New Roman" w:hAnsi="Times New Roman" w:cs="Times New Roman"/>
                <w:color w:val="000000" w:themeColor="text1"/>
                <w:szCs w:val="24"/>
                <w:highlight w:val="none"/>
                <w14:textFill>
                  <w14:solidFill>
                    <w14:schemeClr w14:val="tx1"/>
                  </w14:solidFill>
                </w14:textFill>
              </w:rPr>
              <w:t>5</w:t>
            </w:r>
            <w:r>
              <w:rPr>
                <w:rFonts w:ascii="Times New Roman" w:hAnsi="Times New Roman" w:cs="Times New Roman"/>
                <w:color w:val="000000" w:themeColor="text1"/>
                <w:szCs w:val="24"/>
                <w:highlight w:val="none"/>
                <w14:textFill>
                  <w14:solidFill>
                    <w14:schemeClr w14:val="tx1"/>
                  </w14:solidFill>
                </w14:textFill>
              </w:rPr>
              <w:t>年版）、《危险废物鉴别标准通则》（GB5085.7-2019）、《危险废物贮存污染控制标准》（GB18597-2023）《危险废物识别标志设置技术规范》（HJ1276-2022）等相关文件，进行识别、贮存和管理。</w:t>
            </w:r>
          </w:p>
        </w:tc>
      </w:tr>
      <w:tr w14:paraId="2A2D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97" w:hRule="atLeast"/>
        </w:trPr>
        <w:tc>
          <w:tcPr>
            <w:tcW w:w="365" w:type="pct"/>
            <w:vAlign w:val="center"/>
          </w:tcPr>
          <w:p w14:paraId="45644EA8">
            <w:pPr>
              <w:spacing w:line="360" w:lineRule="auto"/>
              <w:jc w:val="center"/>
              <w:rPr>
                <w:rFonts w:ascii="Times New Roman" w:hAnsi="Times New Roman" w:cs="宋体"/>
                <w:b/>
                <w:bCs/>
                <w:color w:val="000000" w:themeColor="text1"/>
                <w:kern w:val="0"/>
                <w:sz w:val="24"/>
                <w:highlight w:val="none"/>
                <w14:textFill>
                  <w14:solidFill>
                    <w14:schemeClr w14:val="tx1"/>
                  </w14:solidFill>
                </w14:textFill>
              </w:rPr>
            </w:pPr>
            <w:r>
              <w:rPr>
                <w:rFonts w:hint="eastAsia" w:ascii="Times New Roman" w:hAnsi="Times New Roman" w:cs="宋体"/>
                <w:b/>
                <w:bCs/>
                <w:color w:val="000000" w:themeColor="text1"/>
                <w:kern w:val="0"/>
                <w:sz w:val="24"/>
                <w:highlight w:val="none"/>
                <w14:textFill>
                  <w14:solidFill>
                    <w14:schemeClr w14:val="tx1"/>
                  </w14:solidFill>
                </w14:textFill>
              </w:rPr>
              <w:t>总量控制指标</w:t>
            </w:r>
          </w:p>
        </w:tc>
        <w:tc>
          <w:tcPr>
            <w:tcW w:w="4634" w:type="pct"/>
            <w:vAlign w:val="center"/>
          </w:tcPr>
          <w:p w14:paraId="342A584D">
            <w:pPr>
              <w:widowControl/>
              <w:spacing w:line="372" w:lineRule="auto"/>
              <w:ind w:firstLine="480" w:firstLineChars="200"/>
              <w:rPr>
                <w:rFonts w:ascii="Times New Roman" w:hAnsi="Times New Roman" w:cs="宋体"/>
                <w:color w:val="000000" w:themeColor="text1"/>
                <w:kern w:val="0"/>
                <w:sz w:val="24"/>
                <w:highlight w:val="none"/>
                <w14:textFill>
                  <w14:solidFill>
                    <w14:schemeClr w14:val="tx1"/>
                  </w14:solidFill>
                </w14:textFill>
              </w:rPr>
            </w:pPr>
            <w:r>
              <w:rPr>
                <w:rFonts w:hint="eastAsia" w:ascii="Times New Roman" w:hAnsi="Times New Roman" w:cs="宋体"/>
                <w:color w:val="000000" w:themeColor="text1"/>
                <w:kern w:val="0"/>
                <w:sz w:val="24"/>
                <w:highlight w:val="none"/>
                <w14:textFill>
                  <w14:solidFill>
                    <w14:schemeClr w14:val="tx1"/>
                  </w14:solidFill>
                </w14:textFill>
              </w:rPr>
              <w:t>项目建成后污染物排放总量指标建议如下：</w:t>
            </w:r>
          </w:p>
          <w:p w14:paraId="578A5092">
            <w:pPr>
              <w:widowControl/>
              <w:spacing w:before="31" w:beforeLines="10" w:after="31" w:afterLines="10" w:line="372" w:lineRule="auto"/>
              <w:ind w:firstLine="482" w:firstLineChars="200"/>
              <w:rPr>
                <w:rFonts w:ascii="Times New Roman" w:hAnsi="Times New Roman" w:cs="宋体"/>
                <w:color w:val="000000" w:themeColor="text1"/>
                <w:kern w:val="0"/>
                <w:sz w:val="24"/>
                <w:highlight w:val="none"/>
                <w14:textFill>
                  <w14:solidFill>
                    <w14:schemeClr w14:val="tx1"/>
                  </w14:solidFill>
                </w14:textFill>
              </w:rPr>
            </w:pPr>
            <w:r>
              <w:rPr>
                <w:rFonts w:hint="eastAsia" w:ascii="Times New Roman" w:hAnsi="Times New Roman" w:cs="宋体"/>
                <w:b/>
                <w:bCs/>
                <w:color w:val="000000" w:themeColor="text1"/>
                <w:kern w:val="0"/>
                <w:sz w:val="24"/>
                <w:highlight w:val="none"/>
                <w14:textFill>
                  <w14:solidFill>
                    <w14:schemeClr w14:val="tx1"/>
                  </w14:solidFill>
                </w14:textFill>
              </w:rPr>
              <w:t>废气</w:t>
            </w:r>
            <w:r>
              <w:rPr>
                <w:rFonts w:hint="eastAsia" w:ascii="Times New Roman" w:hAnsi="Times New Roman" w:cs="宋体"/>
                <w:color w:val="000000" w:themeColor="text1"/>
                <w:kern w:val="0"/>
                <w:sz w:val="24"/>
                <w:highlight w:val="none"/>
                <w14:textFill>
                  <w14:solidFill>
                    <w14:schemeClr w14:val="tx1"/>
                  </w14:solidFill>
                </w14:textFill>
              </w:rPr>
              <w:t>：</w:t>
            </w:r>
            <w:r>
              <w:rPr>
                <w:rFonts w:hint="eastAsia" w:ascii="Times New Roman" w:hAnsi="Times New Roman" w:cs="宋体"/>
                <w:color w:val="000000" w:themeColor="text1"/>
                <w:kern w:val="0"/>
                <w:sz w:val="24"/>
                <w:highlight w:val="none"/>
                <w:u w:val="single"/>
                <w14:textFill>
                  <w14:solidFill>
                    <w14:schemeClr w14:val="tx1"/>
                  </w14:solidFill>
                </w14:textFill>
              </w:rPr>
              <w:t>颗粒物：</w:t>
            </w:r>
            <w:r>
              <w:rPr>
                <w:rFonts w:hint="eastAsia" w:ascii="Times New Roman" w:hAnsi="Times New Roman" w:cs="宋体"/>
                <w:color w:val="000000" w:themeColor="text1"/>
                <w:kern w:val="0"/>
                <w:sz w:val="24"/>
                <w:highlight w:val="none"/>
                <w:u w:val="single"/>
                <w:lang w:val="en-US" w:eastAsia="zh-CN"/>
                <w14:textFill>
                  <w14:solidFill>
                    <w14:schemeClr w14:val="tx1"/>
                  </w14:solidFill>
                </w14:textFill>
              </w:rPr>
              <w:t>0.586</w:t>
            </w:r>
            <w:r>
              <w:rPr>
                <w:rFonts w:ascii="Times New Roman" w:hAnsi="Times New Roman" w:cs="宋体"/>
                <w:color w:val="000000" w:themeColor="text1"/>
                <w:kern w:val="0"/>
                <w:sz w:val="24"/>
                <w:highlight w:val="none"/>
                <w:u w:val="single"/>
                <w14:textFill>
                  <w14:solidFill>
                    <w14:schemeClr w14:val="tx1"/>
                  </w14:solidFill>
                </w14:textFill>
              </w:rPr>
              <w:t>t/a</w:t>
            </w:r>
            <w:r>
              <w:rPr>
                <w:rFonts w:hint="eastAsia" w:ascii="Times New Roman" w:hAnsi="Times New Roman" w:cs="宋体"/>
                <w:color w:val="000000" w:themeColor="text1"/>
                <w:kern w:val="0"/>
                <w:sz w:val="24"/>
                <w:highlight w:val="none"/>
                <w:u w:val="single"/>
                <w14:textFill>
                  <w14:solidFill>
                    <w14:schemeClr w14:val="tx1"/>
                  </w14:solidFill>
                </w14:textFill>
              </w:rPr>
              <w:t>、非甲烷总烃</w:t>
            </w:r>
            <w:r>
              <w:rPr>
                <w:rFonts w:hint="eastAsia" w:ascii="Times New Roman" w:hAnsi="Times New Roman" w:cs="宋体"/>
                <w:color w:val="000000" w:themeColor="text1"/>
                <w:kern w:val="0"/>
                <w:sz w:val="24"/>
                <w:highlight w:val="none"/>
                <w:u w:val="single"/>
                <w:lang w:val="en-US" w:eastAsia="zh-CN"/>
                <w14:textFill>
                  <w14:solidFill>
                    <w14:schemeClr w14:val="tx1"/>
                  </w14:solidFill>
                </w14:textFill>
              </w:rPr>
              <w:t>0.031</w:t>
            </w:r>
            <w:r>
              <w:rPr>
                <w:rFonts w:hint="eastAsia" w:ascii="Times New Roman" w:hAnsi="Times New Roman" w:cs="宋体"/>
                <w:color w:val="000000" w:themeColor="text1"/>
                <w:kern w:val="0"/>
                <w:sz w:val="24"/>
                <w:highlight w:val="none"/>
                <w:u w:val="single"/>
                <w14:textFill>
                  <w14:solidFill>
                    <w14:schemeClr w14:val="tx1"/>
                  </w14:solidFill>
                </w14:textFill>
              </w:rPr>
              <w:t>t/a、二氧化硫</w:t>
            </w:r>
            <w:r>
              <w:rPr>
                <w:rFonts w:hint="eastAsia" w:ascii="Times New Roman" w:hAnsi="Times New Roman" w:cs="宋体"/>
                <w:color w:val="000000" w:themeColor="text1"/>
                <w:kern w:val="0"/>
                <w:sz w:val="24"/>
                <w:highlight w:val="none"/>
                <w:u w:val="single"/>
                <w:lang w:val="en-US" w:eastAsia="zh-CN"/>
                <w14:textFill>
                  <w14:solidFill>
                    <w14:schemeClr w14:val="tx1"/>
                  </w14:solidFill>
                </w14:textFill>
              </w:rPr>
              <w:t>0.093</w:t>
            </w:r>
            <w:r>
              <w:rPr>
                <w:rFonts w:hint="eastAsia" w:ascii="Times New Roman" w:hAnsi="Times New Roman" w:cs="宋体"/>
                <w:color w:val="000000" w:themeColor="text1"/>
                <w:kern w:val="0"/>
                <w:sz w:val="24"/>
                <w:highlight w:val="none"/>
                <w:u w:val="single"/>
                <w14:textFill>
                  <w14:solidFill>
                    <w14:schemeClr w14:val="tx1"/>
                  </w14:solidFill>
                </w14:textFill>
              </w:rPr>
              <w:t>t/a，氮氧化物</w:t>
            </w:r>
            <w:r>
              <w:rPr>
                <w:rFonts w:hint="eastAsia" w:ascii="Times New Roman" w:hAnsi="Times New Roman" w:cs="宋体"/>
                <w:color w:val="000000" w:themeColor="text1"/>
                <w:kern w:val="0"/>
                <w:sz w:val="24"/>
                <w:highlight w:val="none"/>
                <w:u w:val="single"/>
                <w:lang w:val="en-US" w:eastAsia="zh-CN"/>
                <w14:textFill>
                  <w14:solidFill>
                    <w14:schemeClr w14:val="tx1"/>
                  </w14:solidFill>
                </w14:textFill>
              </w:rPr>
              <w:t>0.277</w:t>
            </w:r>
            <w:r>
              <w:rPr>
                <w:rFonts w:hint="eastAsia" w:ascii="Times New Roman" w:hAnsi="Times New Roman" w:cs="宋体"/>
                <w:color w:val="000000" w:themeColor="text1"/>
                <w:kern w:val="0"/>
                <w:sz w:val="24"/>
                <w:highlight w:val="none"/>
                <w:u w:val="single"/>
                <w14:textFill>
                  <w14:solidFill>
                    <w14:schemeClr w14:val="tx1"/>
                  </w14:solidFill>
                </w14:textFill>
              </w:rPr>
              <w:t>t/a</w:t>
            </w:r>
            <w:r>
              <w:rPr>
                <w:rFonts w:hint="eastAsia" w:ascii="Times New Roman" w:hAnsi="Times New Roman" w:cs="宋体"/>
                <w:color w:val="000000" w:themeColor="text1"/>
                <w:kern w:val="0"/>
                <w:sz w:val="24"/>
                <w:highlight w:val="none"/>
                <w14:textFill>
                  <w14:solidFill>
                    <w14:schemeClr w14:val="tx1"/>
                  </w14:solidFill>
                </w14:textFill>
              </w:rPr>
              <w:t>。</w:t>
            </w:r>
          </w:p>
          <w:p w14:paraId="7041DFA1">
            <w:pPr>
              <w:widowControl/>
              <w:spacing w:before="31" w:beforeLines="10" w:after="31" w:afterLines="10" w:line="372" w:lineRule="auto"/>
              <w:ind w:firstLine="482" w:firstLineChars="200"/>
              <w:rPr>
                <w:rFonts w:ascii="Times New Roman" w:hAnsi="Times New Roman" w:cs="宋体"/>
                <w:color w:val="000000" w:themeColor="text1"/>
                <w:kern w:val="0"/>
                <w:sz w:val="24"/>
                <w:highlight w:val="none"/>
                <w14:textFill>
                  <w14:solidFill>
                    <w14:schemeClr w14:val="tx1"/>
                  </w14:solidFill>
                </w14:textFill>
              </w:rPr>
            </w:pPr>
            <w:r>
              <w:rPr>
                <w:rFonts w:hint="eastAsia" w:ascii="Times New Roman" w:hAnsi="Times New Roman" w:cs="宋体"/>
                <w:b/>
                <w:bCs/>
                <w:color w:val="000000" w:themeColor="text1"/>
                <w:kern w:val="0"/>
                <w:sz w:val="24"/>
                <w:highlight w:val="none"/>
                <w14:textFill>
                  <w14:solidFill>
                    <w14:schemeClr w14:val="tx1"/>
                  </w14:solidFill>
                </w14:textFill>
              </w:rPr>
              <w:t>废水</w:t>
            </w:r>
            <w:r>
              <w:rPr>
                <w:rFonts w:hint="eastAsia" w:ascii="Times New Roman" w:hAnsi="Times New Roman" w:cs="宋体"/>
                <w:color w:val="000000" w:themeColor="text1"/>
                <w:kern w:val="0"/>
                <w:sz w:val="24"/>
                <w:highlight w:val="none"/>
                <w14:textFill>
                  <w14:solidFill>
                    <w14:schemeClr w14:val="tx1"/>
                  </w14:solidFill>
                </w14:textFill>
              </w:rPr>
              <w:t>：近期：</w:t>
            </w:r>
            <w:r>
              <w:rPr>
                <w:rFonts w:ascii="Times New Roman" w:hAnsi="Times New Roman" w:cs="宋体"/>
                <w:color w:val="000000" w:themeColor="text1"/>
                <w:kern w:val="0"/>
                <w:sz w:val="24"/>
                <w:highlight w:val="none"/>
                <w:u w:val="single"/>
                <w14:textFill>
                  <w14:solidFill>
                    <w14:schemeClr w14:val="tx1"/>
                  </w14:solidFill>
                </w14:textFill>
              </w:rPr>
              <w:t>COD</w:t>
            </w:r>
            <w:r>
              <w:rPr>
                <w:rFonts w:hint="eastAsia" w:ascii="Times New Roman" w:hAnsi="Times New Roman" w:cs="宋体"/>
                <w:color w:val="000000" w:themeColor="text1"/>
                <w:kern w:val="0"/>
                <w:sz w:val="24"/>
                <w:highlight w:val="none"/>
                <w:u w:val="single"/>
                <w14:textFill>
                  <w14:solidFill>
                    <w14:schemeClr w14:val="tx1"/>
                  </w14:solidFill>
                </w14:textFill>
              </w:rPr>
              <w:t>：0.014</w:t>
            </w:r>
            <w:r>
              <w:rPr>
                <w:rFonts w:ascii="Times New Roman" w:hAnsi="Times New Roman" w:cs="宋体"/>
                <w:color w:val="000000" w:themeColor="text1"/>
                <w:kern w:val="0"/>
                <w:sz w:val="24"/>
                <w:highlight w:val="none"/>
                <w:u w:val="single"/>
                <w14:textFill>
                  <w14:solidFill>
                    <w14:schemeClr w14:val="tx1"/>
                  </w14:solidFill>
                </w14:textFill>
              </w:rPr>
              <w:t>t/a</w:t>
            </w:r>
            <w:r>
              <w:rPr>
                <w:rFonts w:hint="eastAsia" w:ascii="Times New Roman" w:hAnsi="Times New Roman" w:cs="宋体"/>
                <w:color w:val="000000" w:themeColor="text1"/>
                <w:kern w:val="0"/>
                <w:sz w:val="24"/>
                <w:highlight w:val="none"/>
                <w:u w:val="single"/>
                <w14:textFill>
                  <w14:solidFill>
                    <w14:schemeClr w14:val="tx1"/>
                  </w14:solidFill>
                </w14:textFill>
              </w:rPr>
              <w:t>，氨氮：0.002</w:t>
            </w:r>
            <w:r>
              <w:rPr>
                <w:rFonts w:ascii="Times New Roman" w:hAnsi="Times New Roman" w:cs="宋体"/>
                <w:color w:val="000000" w:themeColor="text1"/>
                <w:kern w:val="0"/>
                <w:sz w:val="24"/>
                <w:highlight w:val="none"/>
                <w:u w:val="single"/>
                <w14:textFill>
                  <w14:solidFill>
                    <w14:schemeClr w14:val="tx1"/>
                  </w14:solidFill>
                </w14:textFill>
              </w:rPr>
              <w:t>t/a</w:t>
            </w:r>
            <w:r>
              <w:rPr>
                <w:rFonts w:hint="eastAsia" w:ascii="Times New Roman" w:hAnsi="Times New Roman" w:cs="宋体"/>
                <w:color w:val="000000" w:themeColor="text1"/>
                <w:kern w:val="0"/>
                <w:sz w:val="24"/>
                <w:highlight w:val="none"/>
                <w:u w:val="single"/>
                <w14:textFill>
                  <w14:solidFill>
                    <w14:schemeClr w14:val="tx1"/>
                  </w14:solidFill>
                </w14:textFill>
              </w:rPr>
              <w:t>；远期：</w:t>
            </w:r>
            <w:r>
              <w:rPr>
                <w:rFonts w:ascii="Times New Roman" w:hAnsi="Times New Roman" w:cs="宋体"/>
                <w:color w:val="000000" w:themeColor="text1"/>
                <w:kern w:val="0"/>
                <w:sz w:val="24"/>
                <w:highlight w:val="none"/>
                <w:u w:val="single"/>
                <w14:textFill>
                  <w14:solidFill>
                    <w14:schemeClr w14:val="tx1"/>
                  </w14:solidFill>
                </w14:textFill>
              </w:rPr>
              <w:t>COD</w:t>
            </w:r>
            <w:r>
              <w:rPr>
                <w:rFonts w:hint="eastAsia" w:ascii="Times New Roman" w:hAnsi="Times New Roman" w:cs="宋体"/>
                <w:color w:val="000000" w:themeColor="text1"/>
                <w:kern w:val="0"/>
                <w:sz w:val="24"/>
                <w:highlight w:val="none"/>
                <w:u w:val="single"/>
                <w14:textFill>
                  <w14:solidFill>
                    <w14:schemeClr w14:val="tx1"/>
                  </w14:solidFill>
                </w14:textFill>
              </w:rPr>
              <w:t>：0.004</w:t>
            </w:r>
            <w:r>
              <w:rPr>
                <w:rFonts w:ascii="Times New Roman" w:hAnsi="Times New Roman" w:cs="宋体"/>
                <w:color w:val="000000" w:themeColor="text1"/>
                <w:kern w:val="0"/>
                <w:sz w:val="24"/>
                <w:highlight w:val="none"/>
                <w:u w:val="single"/>
                <w14:textFill>
                  <w14:solidFill>
                    <w14:schemeClr w14:val="tx1"/>
                  </w14:solidFill>
                </w14:textFill>
              </w:rPr>
              <w:t>t/a</w:t>
            </w:r>
            <w:r>
              <w:rPr>
                <w:rFonts w:hint="eastAsia" w:ascii="Times New Roman" w:hAnsi="Times New Roman" w:cs="宋体"/>
                <w:color w:val="000000" w:themeColor="text1"/>
                <w:kern w:val="0"/>
                <w:sz w:val="24"/>
                <w:highlight w:val="none"/>
                <w:u w:val="single"/>
                <w14:textFill>
                  <w14:solidFill>
                    <w14:schemeClr w14:val="tx1"/>
                  </w14:solidFill>
                </w14:textFill>
              </w:rPr>
              <w:t>，氨氮：0.0002</w:t>
            </w:r>
            <w:r>
              <w:rPr>
                <w:rFonts w:ascii="Times New Roman" w:hAnsi="Times New Roman" w:cs="宋体"/>
                <w:color w:val="000000" w:themeColor="text1"/>
                <w:kern w:val="0"/>
                <w:sz w:val="24"/>
                <w:highlight w:val="none"/>
                <w:u w:val="single"/>
                <w14:textFill>
                  <w14:solidFill>
                    <w14:schemeClr w14:val="tx1"/>
                  </w14:solidFill>
                </w14:textFill>
              </w:rPr>
              <w:t>t/a</w:t>
            </w:r>
            <w:r>
              <w:rPr>
                <w:rFonts w:hint="eastAsia" w:ascii="Times New Roman" w:hAnsi="Times New Roman" w:cs="宋体"/>
                <w:color w:val="000000" w:themeColor="text1"/>
                <w:kern w:val="0"/>
                <w:sz w:val="24"/>
                <w:highlight w:val="none"/>
                <w14:textFill>
                  <w14:solidFill>
                    <w14:schemeClr w14:val="tx1"/>
                  </w14:solidFill>
                </w14:textFill>
              </w:rPr>
              <w:t>。</w:t>
            </w:r>
          </w:p>
        </w:tc>
      </w:tr>
    </w:tbl>
    <w:p w14:paraId="21548853">
      <w:pPr>
        <w:spacing w:before="31" w:beforeLines="10" w:after="31" w:afterLines="10"/>
        <w:jc w:val="center"/>
        <w:outlineLvl w:val="0"/>
        <w:rPr>
          <w:rFonts w:ascii="Times New Roman" w:hAnsi="Times New Roman" w:eastAsia="宋体" w:cs="Times New Roman"/>
          <w:snapToGrid w:val="0"/>
          <w:color w:val="000000" w:themeColor="text1"/>
          <w:sz w:val="30"/>
          <w:szCs w:val="30"/>
          <w:highlight w:val="none"/>
          <w14:textFill>
            <w14:solidFill>
              <w14:schemeClr w14:val="tx1"/>
            </w14:solidFill>
          </w14:textFill>
        </w:rPr>
      </w:pPr>
      <w:bookmarkStart w:id="10" w:name="_Toc1193"/>
    </w:p>
    <w:p w14:paraId="42FEA208">
      <w:pPr>
        <w:spacing w:before="31" w:beforeLines="10" w:after="31" w:afterLines="10"/>
        <w:jc w:val="center"/>
        <w:outlineLvl w:val="0"/>
        <w:rPr>
          <w:rFonts w:ascii="Times New Roman" w:hAnsi="Times New Roman" w:eastAsia="宋体" w:cs="Times New Roman"/>
          <w:snapToGrid w:val="0"/>
          <w:color w:val="000000" w:themeColor="text1"/>
          <w:sz w:val="30"/>
          <w:szCs w:val="30"/>
          <w:highlight w:val="none"/>
          <w14:textFill>
            <w14:solidFill>
              <w14:schemeClr w14:val="tx1"/>
            </w14:solidFill>
          </w14:textFill>
        </w:rPr>
        <w:sectPr>
          <w:pgSz w:w="11906" w:h="16838"/>
          <w:pgMar w:top="1440" w:right="1344" w:bottom="1440" w:left="1514" w:header="851" w:footer="992" w:gutter="0"/>
          <w:pgNumType w:fmt="numberInDash"/>
          <w:cols w:space="425" w:num="1"/>
          <w:docGrid w:type="lines" w:linePitch="312" w:charSpace="0"/>
        </w:sectPr>
      </w:pPr>
    </w:p>
    <w:p w14:paraId="3D9AEA7E">
      <w:pPr>
        <w:spacing w:before="31" w:beforeLines="10" w:after="31" w:afterLines="10"/>
        <w:jc w:val="center"/>
        <w:outlineLvl w:val="0"/>
        <w:rPr>
          <w:rFonts w:ascii="Times New Roman" w:hAnsi="Times New Roman" w:eastAsia="宋体" w:cs="Times New Roman"/>
          <w:color w:val="000000" w:themeColor="text1"/>
          <w:sz w:val="30"/>
          <w:szCs w:val="30"/>
          <w:highlight w:val="none"/>
          <w14:textFill>
            <w14:solidFill>
              <w14:schemeClr w14:val="tx1"/>
            </w14:solidFill>
          </w14:textFill>
        </w:rPr>
      </w:pPr>
      <w:r>
        <w:rPr>
          <w:rFonts w:ascii="Times New Roman" w:hAnsi="Times New Roman" w:eastAsia="宋体" w:cs="Times New Roman"/>
          <w:snapToGrid w:val="0"/>
          <w:color w:val="000000" w:themeColor="text1"/>
          <w:sz w:val="30"/>
          <w:szCs w:val="30"/>
          <w:highlight w:val="none"/>
          <w14:textFill>
            <w14:solidFill>
              <w14:schemeClr w14:val="tx1"/>
            </w14:solidFill>
          </w14:textFill>
        </w:rPr>
        <w:t>四、主要环境影响和保护措施</w:t>
      </w:r>
      <w:bookmarkEnd w:id="10"/>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89"/>
        <w:gridCol w:w="8468"/>
      </w:tblGrid>
      <w:tr w14:paraId="071E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76" w:type="pct"/>
            <w:vAlign w:val="center"/>
          </w:tcPr>
          <w:p w14:paraId="7B22B897">
            <w:pPr>
              <w:spacing w:line="360" w:lineRule="auto"/>
              <w:jc w:val="center"/>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s="宋体"/>
                <w:b/>
                <w:bCs/>
                <w:color w:val="000000" w:themeColor="text1"/>
                <w:sz w:val="24"/>
                <w:highlight w:val="none"/>
                <w14:textFill>
                  <w14:solidFill>
                    <w14:schemeClr w14:val="tx1"/>
                  </w14:solidFill>
                </w14:textFill>
              </w:rPr>
              <w:t>施工期环境保护措施</w:t>
            </w:r>
          </w:p>
        </w:tc>
        <w:tc>
          <w:tcPr>
            <w:tcW w:w="4623" w:type="pct"/>
            <w:vAlign w:val="center"/>
          </w:tcPr>
          <w:p w14:paraId="7E106A5E">
            <w:pPr>
              <w:spacing w:line="360"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项目位于重庆市西彭工业园区D标准分区，租用坤坤农业厂房实施，施工期仅进行装修及设备安装，施工期环境保护措施如下：</w:t>
            </w:r>
          </w:p>
          <w:p w14:paraId="56CD9F8B">
            <w:pPr>
              <w:adjustRightInd w:val="0"/>
              <w:snapToGrid w:val="0"/>
              <w:spacing w:line="360" w:lineRule="auto"/>
              <w:ind w:firstLine="442" w:firstLineChars="200"/>
              <w:rPr>
                <w:rFonts w:ascii="Times New Roman" w:hAnsi="Times New Roman" w:cs="Times New Roman"/>
                <w:bCs/>
                <w:color w:val="000000" w:themeColor="text1"/>
                <w:spacing w:val="-10"/>
                <w:sz w:val="24"/>
                <w:highlight w:val="none"/>
                <w14:textFill>
                  <w14:solidFill>
                    <w14:schemeClr w14:val="tx1"/>
                  </w14:solidFill>
                </w14:textFill>
              </w:rPr>
            </w:pPr>
            <w:r>
              <w:rPr>
                <w:rFonts w:ascii="Times New Roman" w:hAnsi="Times New Roman" w:cs="Times New Roman"/>
                <w:b/>
                <w:color w:val="000000" w:themeColor="text1"/>
                <w:spacing w:val="-10"/>
                <w:sz w:val="24"/>
                <w:highlight w:val="none"/>
                <w14:textFill>
                  <w14:solidFill>
                    <w14:schemeClr w14:val="tx1"/>
                  </w14:solidFill>
                </w14:textFill>
              </w:rPr>
              <w:t>（1）、水环境</w:t>
            </w:r>
          </w:p>
          <w:p w14:paraId="296E7A07">
            <w:pPr>
              <w:adjustRightInd w:val="0"/>
              <w:snapToGrid w:val="0"/>
              <w:spacing w:line="360" w:lineRule="auto"/>
              <w:ind w:firstLine="440" w:firstLineChars="200"/>
              <w:rPr>
                <w:rFonts w:ascii="Times New Roman" w:hAnsi="Times New Roman" w:cs="Times New Roman"/>
                <w:bCs/>
                <w:color w:val="000000" w:themeColor="text1"/>
                <w:spacing w:val="-10"/>
                <w:sz w:val="24"/>
                <w:highlight w:val="none"/>
                <w14:textFill>
                  <w14:solidFill>
                    <w14:schemeClr w14:val="tx1"/>
                  </w14:solidFill>
                </w14:textFill>
              </w:rPr>
            </w:pPr>
            <w:r>
              <w:rPr>
                <w:rFonts w:ascii="Times New Roman" w:hAnsi="Times New Roman" w:cs="Times New Roman"/>
                <w:bCs/>
                <w:color w:val="000000" w:themeColor="text1"/>
                <w:spacing w:val="-10"/>
                <w:sz w:val="24"/>
                <w:highlight w:val="none"/>
                <w14:textFill>
                  <w14:solidFill>
                    <w14:schemeClr w14:val="tx1"/>
                  </w14:solidFill>
                </w14:textFill>
              </w:rPr>
              <w:t>施工期废水主要为施工人员生活污水。项目所在区域市政设施完善，施工人员生活污水依托现有生化池处理后接入市政污水管网，进入</w:t>
            </w:r>
            <w:r>
              <w:rPr>
                <w:rFonts w:hint="eastAsia" w:cs="Times New Roman"/>
                <w:bCs/>
                <w:color w:val="000000" w:themeColor="text1"/>
                <w:spacing w:val="-10"/>
                <w:sz w:val="24"/>
                <w:highlight w:val="none"/>
                <w14:textFill>
                  <w14:solidFill>
                    <w14:schemeClr w14:val="tx1"/>
                  </w14:solidFill>
                </w14:textFill>
              </w:rPr>
              <w:t>西彭园区污水</w:t>
            </w:r>
            <w:r>
              <w:rPr>
                <w:rFonts w:ascii="Times New Roman" w:hAnsi="Times New Roman" w:cs="Times New Roman"/>
                <w:color w:val="000000" w:themeColor="text1"/>
                <w:sz w:val="24"/>
                <w:highlight w:val="none"/>
                <w14:textFill>
                  <w14:solidFill>
                    <w14:schemeClr w14:val="tx1"/>
                  </w14:solidFill>
                </w14:textFill>
              </w:rPr>
              <w:t>处理厂</w:t>
            </w:r>
            <w:r>
              <w:rPr>
                <w:rFonts w:ascii="Times New Roman" w:hAnsi="Times New Roman" w:cs="Times New Roman"/>
                <w:bCs/>
                <w:color w:val="000000" w:themeColor="text1"/>
                <w:spacing w:val="-10"/>
                <w:sz w:val="24"/>
                <w:highlight w:val="none"/>
                <w14:textFill>
                  <w14:solidFill>
                    <w14:schemeClr w14:val="tx1"/>
                  </w14:solidFill>
                </w14:textFill>
              </w:rPr>
              <w:t>处理，处置措施合理。</w:t>
            </w:r>
          </w:p>
          <w:p w14:paraId="0E4C32EA">
            <w:pPr>
              <w:adjustRightInd w:val="0"/>
              <w:snapToGrid w:val="0"/>
              <w:spacing w:line="360" w:lineRule="auto"/>
              <w:ind w:firstLine="442" w:firstLineChars="200"/>
              <w:rPr>
                <w:rFonts w:ascii="Times New Roman" w:hAnsi="Times New Roman" w:cs="Times New Roman"/>
                <w:b/>
                <w:color w:val="000000" w:themeColor="text1"/>
                <w:spacing w:val="-10"/>
                <w:sz w:val="24"/>
                <w:highlight w:val="none"/>
                <w14:textFill>
                  <w14:solidFill>
                    <w14:schemeClr w14:val="tx1"/>
                  </w14:solidFill>
                </w14:textFill>
              </w:rPr>
            </w:pPr>
            <w:r>
              <w:rPr>
                <w:rFonts w:ascii="Times New Roman" w:hAnsi="Times New Roman" w:cs="Times New Roman"/>
                <w:b/>
                <w:color w:val="000000" w:themeColor="text1"/>
                <w:spacing w:val="-10"/>
                <w:sz w:val="24"/>
                <w:highlight w:val="none"/>
                <w14:textFill>
                  <w14:solidFill>
                    <w14:schemeClr w14:val="tx1"/>
                  </w14:solidFill>
                </w14:textFill>
              </w:rPr>
              <w:t>（2）、大气环境</w:t>
            </w:r>
          </w:p>
          <w:p w14:paraId="1C4A02B7">
            <w:pPr>
              <w:adjustRightInd w:val="0"/>
              <w:snapToGrid w:val="0"/>
              <w:spacing w:line="360" w:lineRule="auto"/>
              <w:ind w:firstLine="440" w:firstLineChars="200"/>
              <w:rPr>
                <w:rFonts w:ascii="Times New Roman" w:hAnsi="Times New Roman" w:cs="Times New Roman"/>
                <w:bCs/>
                <w:color w:val="000000" w:themeColor="text1"/>
                <w:spacing w:val="-10"/>
                <w:sz w:val="24"/>
                <w:highlight w:val="none"/>
                <w14:textFill>
                  <w14:solidFill>
                    <w14:schemeClr w14:val="tx1"/>
                  </w14:solidFill>
                </w14:textFill>
              </w:rPr>
            </w:pPr>
            <w:r>
              <w:rPr>
                <w:rFonts w:ascii="Times New Roman" w:hAnsi="Times New Roman" w:cs="Times New Roman"/>
                <w:bCs/>
                <w:color w:val="000000" w:themeColor="text1"/>
                <w:spacing w:val="-10"/>
                <w:sz w:val="24"/>
                <w:highlight w:val="none"/>
                <w14:textFill>
                  <w14:solidFill>
                    <w14:schemeClr w14:val="tx1"/>
                  </w14:solidFill>
                </w14:textFill>
              </w:rPr>
              <w:t>施工期产生的废气主要是厂房内部装饰、设备安装调试产生的粉尘废气。项目</w:t>
            </w:r>
            <w:r>
              <w:rPr>
                <w:rFonts w:ascii="Times New Roman" w:hAnsi="Times New Roman" w:cs="Times New Roman"/>
                <w:bCs/>
                <w:color w:val="000000" w:themeColor="text1"/>
                <w:sz w:val="24"/>
                <w:highlight w:val="none"/>
                <w14:textFill>
                  <w14:solidFill>
                    <w14:schemeClr w14:val="tx1"/>
                  </w14:solidFill>
                </w14:textFill>
              </w:rPr>
              <w:t>利用</w:t>
            </w:r>
            <w:r>
              <w:rPr>
                <w:rFonts w:ascii="Times New Roman" w:hAnsi="Times New Roman" w:cs="Times New Roman"/>
                <w:bCs/>
                <w:color w:val="000000" w:themeColor="text1"/>
                <w:spacing w:val="-10"/>
                <w:sz w:val="24"/>
                <w:highlight w:val="none"/>
                <w14:textFill>
                  <w14:solidFill>
                    <w14:schemeClr w14:val="tx1"/>
                  </w14:solidFill>
                </w14:textFill>
              </w:rPr>
              <w:t>已建成的厂房，室内装饰等工程量较小，施工期间产生的粉尘量小。</w:t>
            </w:r>
          </w:p>
          <w:p w14:paraId="5E56F9CD">
            <w:pPr>
              <w:adjustRightInd w:val="0"/>
              <w:snapToGrid w:val="0"/>
              <w:spacing w:line="360" w:lineRule="auto"/>
              <w:ind w:firstLine="442" w:firstLineChars="200"/>
              <w:rPr>
                <w:rFonts w:ascii="Times New Roman" w:hAnsi="Times New Roman" w:cs="Times New Roman"/>
                <w:b/>
                <w:color w:val="000000" w:themeColor="text1"/>
                <w:spacing w:val="-10"/>
                <w:sz w:val="24"/>
                <w:highlight w:val="none"/>
                <w14:textFill>
                  <w14:solidFill>
                    <w14:schemeClr w14:val="tx1"/>
                  </w14:solidFill>
                </w14:textFill>
              </w:rPr>
            </w:pPr>
            <w:r>
              <w:rPr>
                <w:rFonts w:ascii="Times New Roman" w:hAnsi="Times New Roman" w:cs="Times New Roman"/>
                <w:b/>
                <w:color w:val="000000" w:themeColor="text1"/>
                <w:spacing w:val="-10"/>
                <w:sz w:val="24"/>
                <w:highlight w:val="none"/>
                <w14:textFill>
                  <w14:solidFill>
                    <w14:schemeClr w14:val="tx1"/>
                  </w14:solidFill>
                </w14:textFill>
              </w:rPr>
              <w:t>（3）、声环境</w:t>
            </w:r>
          </w:p>
          <w:p w14:paraId="49BA06B6">
            <w:pPr>
              <w:adjustRightInd w:val="0"/>
              <w:snapToGrid w:val="0"/>
              <w:spacing w:line="360" w:lineRule="auto"/>
              <w:ind w:firstLine="440" w:firstLineChars="200"/>
              <w:rPr>
                <w:rFonts w:ascii="Times New Roman" w:hAnsi="Times New Roman" w:cs="Times New Roman"/>
                <w:bCs/>
                <w:color w:val="000000" w:themeColor="text1"/>
                <w:spacing w:val="-10"/>
                <w:sz w:val="24"/>
                <w:highlight w:val="none"/>
                <w14:textFill>
                  <w14:solidFill>
                    <w14:schemeClr w14:val="tx1"/>
                  </w14:solidFill>
                </w14:textFill>
              </w:rPr>
            </w:pPr>
            <w:r>
              <w:rPr>
                <w:rFonts w:ascii="Times New Roman" w:hAnsi="Times New Roman" w:cs="Times New Roman"/>
                <w:bCs/>
                <w:color w:val="000000" w:themeColor="text1"/>
                <w:spacing w:val="-10"/>
                <w:sz w:val="24"/>
                <w:highlight w:val="none"/>
                <w14:textFill>
                  <w14:solidFill>
                    <w14:schemeClr w14:val="tx1"/>
                  </w14:solidFill>
                </w14:textFill>
              </w:rPr>
              <w:t>施工期间的噪声主要是运输车辆的噪声、设备安装等产生的噪声，噪声值在70~85dB(A)之间。由于施工主要集中在车间内部，只对内部进行装饰、设备安装调试，噪声产生时间短，施工噪声对周边环境影响很小，不会发生施工扰民现象。</w:t>
            </w:r>
          </w:p>
          <w:p w14:paraId="00A05AC6">
            <w:pPr>
              <w:adjustRightInd w:val="0"/>
              <w:snapToGrid w:val="0"/>
              <w:spacing w:line="360" w:lineRule="auto"/>
              <w:ind w:firstLine="442" w:firstLineChars="200"/>
              <w:rPr>
                <w:rFonts w:ascii="Times New Roman" w:hAnsi="Times New Roman" w:cs="Times New Roman"/>
                <w:b/>
                <w:color w:val="000000" w:themeColor="text1"/>
                <w:spacing w:val="-10"/>
                <w:sz w:val="24"/>
                <w:highlight w:val="none"/>
                <w14:textFill>
                  <w14:solidFill>
                    <w14:schemeClr w14:val="tx1"/>
                  </w14:solidFill>
                </w14:textFill>
              </w:rPr>
            </w:pPr>
            <w:r>
              <w:rPr>
                <w:rFonts w:ascii="Times New Roman" w:hAnsi="Times New Roman" w:cs="Times New Roman"/>
                <w:b/>
                <w:color w:val="000000" w:themeColor="text1"/>
                <w:spacing w:val="-10"/>
                <w:sz w:val="24"/>
                <w:highlight w:val="none"/>
                <w14:textFill>
                  <w14:solidFill>
                    <w14:schemeClr w14:val="tx1"/>
                  </w14:solidFill>
                </w14:textFill>
              </w:rPr>
              <w:t>（4）、固废</w:t>
            </w:r>
          </w:p>
          <w:p w14:paraId="22C70B90">
            <w:pPr>
              <w:adjustRightInd w:val="0"/>
              <w:snapToGrid w:val="0"/>
              <w:spacing w:line="360" w:lineRule="auto"/>
              <w:ind w:firstLine="440" w:firstLineChars="200"/>
              <w:rPr>
                <w:rFonts w:hint="eastAsia" w:ascii="宋体" w:hAnsi="宋体" w:cs="宋体"/>
                <w:bCs/>
                <w:color w:val="000000" w:themeColor="text1"/>
                <w:spacing w:val="-10"/>
                <w:sz w:val="24"/>
                <w:highlight w:val="none"/>
                <w14:textFill>
                  <w14:solidFill>
                    <w14:schemeClr w14:val="tx1"/>
                  </w14:solidFill>
                </w14:textFill>
              </w:rPr>
            </w:pPr>
            <w:r>
              <w:rPr>
                <w:rFonts w:hint="eastAsia" w:ascii="宋体" w:hAnsi="宋体" w:cs="宋体"/>
                <w:bCs/>
                <w:color w:val="000000" w:themeColor="text1"/>
                <w:spacing w:val="-10"/>
                <w:sz w:val="24"/>
                <w:highlight w:val="none"/>
                <w14:textFill>
                  <w14:solidFill>
                    <w14:schemeClr w14:val="tx1"/>
                  </w14:solidFill>
                </w14:textFill>
              </w:rPr>
              <w:t>施工期间产生的固体废物主要是设备的包装废料、室内装修材料弃渣和生活垃圾等。装修施工废弃物料、建渣应按重庆市有关固体废弃物处理的规定要求，在施工完成后由施工单位负责清运。在工程竣工以后，施工单位应负责将工地剩余的建筑垃圾、工程渣土处理干净。生活垃圾交由环卫部门统一收集送城市垃圾场卫生填埋。</w:t>
            </w:r>
          </w:p>
          <w:p w14:paraId="49135E8B">
            <w:pPr>
              <w:adjustRightInd w:val="0"/>
              <w:snapToGrid w:val="0"/>
              <w:spacing w:line="360" w:lineRule="auto"/>
              <w:ind w:firstLine="440" w:firstLineChars="200"/>
              <w:rPr>
                <w:color w:val="000000" w:themeColor="text1"/>
                <w:highlight w:val="none"/>
                <w14:textFill>
                  <w14:solidFill>
                    <w14:schemeClr w14:val="tx1"/>
                  </w14:solidFill>
                </w14:textFill>
              </w:rPr>
            </w:pPr>
            <w:r>
              <w:rPr>
                <w:rFonts w:hint="eastAsia" w:ascii="宋体" w:hAnsi="宋体" w:cs="宋体"/>
                <w:bCs/>
                <w:color w:val="000000" w:themeColor="text1"/>
                <w:spacing w:val="-10"/>
                <w:sz w:val="24"/>
                <w:highlight w:val="none"/>
                <w14:textFill>
                  <w14:solidFill>
                    <w14:schemeClr w14:val="tx1"/>
                  </w14:solidFill>
                </w14:textFill>
              </w:rPr>
              <w:t>采取上述措施后，本项目施工产生的固体废物对周围环境影响较小。</w:t>
            </w:r>
          </w:p>
        </w:tc>
      </w:tr>
      <w:tr w14:paraId="6D5A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97" w:hRule="atLeast"/>
        </w:trPr>
        <w:tc>
          <w:tcPr>
            <w:tcW w:w="376" w:type="pct"/>
            <w:vAlign w:val="center"/>
          </w:tcPr>
          <w:p w14:paraId="42DA9F00">
            <w:pPr>
              <w:spacing w:line="360" w:lineRule="auto"/>
              <w:jc w:val="center"/>
              <w:rPr>
                <w:rFonts w:ascii="Times New Roman" w:hAnsi="Times New Roman" w:cs="宋体"/>
                <w:b/>
                <w:bCs/>
                <w:color w:val="000000" w:themeColor="text1"/>
                <w:sz w:val="24"/>
                <w:highlight w:val="none"/>
                <w14:textFill>
                  <w14:solidFill>
                    <w14:schemeClr w14:val="tx1"/>
                  </w14:solidFill>
                </w14:textFill>
              </w:rPr>
            </w:pPr>
            <w:r>
              <w:rPr>
                <w:rFonts w:hint="eastAsia" w:ascii="Times New Roman" w:hAnsi="Times New Roman" w:cs="宋体"/>
                <w:b/>
                <w:bCs/>
                <w:color w:val="000000" w:themeColor="text1"/>
                <w:sz w:val="24"/>
                <w:highlight w:val="none"/>
                <w14:textFill>
                  <w14:solidFill>
                    <w14:schemeClr w14:val="tx1"/>
                  </w14:solidFill>
                </w14:textFill>
              </w:rPr>
              <w:t>运营期环境影响和保护措施</w:t>
            </w:r>
          </w:p>
        </w:tc>
        <w:tc>
          <w:tcPr>
            <w:tcW w:w="4623" w:type="pct"/>
          </w:tcPr>
          <w:p w14:paraId="5812ABF9">
            <w:pPr>
              <w:numPr>
                <w:ilvl w:val="0"/>
                <w:numId w:val="7"/>
              </w:numPr>
              <w:spacing w:before="31" w:beforeLines="10" w:after="31" w:afterLines="10"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废气</w:t>
            </w:r>
          </w:p>
          <w:p w14:paraId="5F5C5BA7">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1）废气污染物排放源强</w:t>
            </w:r>
          </w:p>
          <w:p w14:paraId="7534FA98">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项目废气污染源源强核算结果及相关参数一览表见表4-1，废气排放口基本情况见表4-2。</w:t>
            </w:r>
          </w:p>
          <w:p w14:paraId="0C7E8CC3">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14:paraId="6DEACBE9">
            <w:pPr>
              <w:spacing w:line="372" w:lineRule="auto"/>
              <w:ind w:firstLine="480" w:firstLineChars="200"/>
              <w:rPr>
                <w:rFonts w:hint="eastAsia" w:ascii="Times New Roman" w:hAnsi="Times New Roman" w:eastAsia="宋体"/>
                <w:color w:val="000000" w:themeColor="text1"/>
                <w:sz w:val="24"/>
                <w:highlight w:val="none"/>
                <w14:textFill>
                  <w14:solidFill>
                    <w14:schemeClr w14:val="tx1"/>
                  </w14:solidFill>
                </w14:textFill>
              </w:rPr>
            </w:pPr>
          </w:p>
          <w:p w14:paraId="639D96E3">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p>
          <w:p w14:paraId="2FB27C60">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p>
        </w:tc>
      </w:tr>
    </w:tbl>
    <w:p w14:paraId="38EFA552">
      <w:pPr>
        <w:pStyle w:val="32"/>
        <w:adjustRightInd/>
        <w:spacing w:line="40" w:lineRule="exact"/>
        <w:rPr>
          <w:rFonts w:ascii="Times New Roman" w:hAnsi="Times New Roman" w:eastAsia="宋体"/>
          <w:color w:val="000000" w:themeColor="text1"/>
          <w:szCs w:val="24"/>
          <w:highlight w:val="none"/>
          <w14:textFill>
            <w14:solidFill>
              <w14:schemeClr w14:val="tx1"/>
            </w14:solidFill>
          </w14:textFill>
        </w:rPr>
      </w:pPr>
    </w:p>
    <w:p w14:paraId="5CA60FFB">
      <w:pPr>
        <w:spacing w:line="40" w:lineRule="exact"/>
        <w:rPr>
          <w:rFonts w:ascii="Times New Roman" w:hAnsi="Times New Roman" w:eastAsia="宋体"/>
          <w:color w:val="000000" w:themeColor="text1"/>
          <w:sz w:val="24"/>
          <w:highlight w:val="none"/>
          <w14:textFill>
            <w14:solidFill>
              <w14:schemeClr w14:val="tx1"/>
            </w14:solidFill>
          </w14:textFill>
        </w:rPr>
      </w:pPr>
    </w:p>
    <w:p w14:paraId="69BFFE2D">
      <w:pPr>
        <w:pStyle w:val="25"/>
        <w:rPr>
          <w:rFonts w:eastAsia="宋体"/>
          <w:color w:val="000000" w:themeColor="text1"/>
          <w:sz w:val="24"/>
          <w:szCs w:val="24"/>
          <w:highlight w:val="none"/>
          <w14:textFill>
            <w14:solidFill>
              <w14:schemeClr w14:val="tx1"/>
            </w14:solidFill>
          </w14:textFill>
        </w:rPr>
        <w:sectPr>
          <w:pgSz w:w="11906" w:h="16838"/>
          <w:pgMar w:top="1440" w:right="1344" w:bottom="1440" w:left="1514" w:header="851" w:footer="992" w:gutter="0"/>
          <w:pgNumType w:fmt="numberInDash"/>
          <w:cols w:space="425" w:num="1"/>
          <w:docGrid w:type="lines" w:linePitch="312" w:charSpace="0"/>
        </w:sectPr>
      </w:pPr>
    </w:p>
    <w:tbl>
      <w:tblPr>
        <w:tblStyle w:val="26"/>
        <w:tblW w:w="52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5"/>
        <w:gridCol w:w="14062"/>
      </w:tblGrid>
      <w:tr w14:paraId="2FAD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787" w:hRule="atLeast"/>
          <w:jc w:val="center"/>
        </w:trPr>
        <w:tc>
          <w:tcPr>
            <w:tcW w:w="216" w:type="pct"/>
            <w:tcMar>
              <w:left w:w="28" w:type="dxa"/>
              <w:right w:w="28" w:type="dxa"/>
            </w:tcMar>
            <w:vAlign w:val="center"/>
          </w:tcPr>
          <w:p w14:paraId="0586F711">
            <w:pPr>
              <w:pStyle w:val="48"/>
              <w:spacing w:before="93" w:after="93"/>
              <w:rPr>
                <w:rFonts w:cs="宋体"/>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运营期环境影响和保护措施</w:t>
            </w:r>
          </w:p>
        </w:tc>
        <w:tc>
          <w:tcPr>
            <w:tcW w:w="4783" w:type="pct"/>
          </w:tcPr>
          <w:p w14:paraId="25C0FE2D">
            <w:pPr>
              <w:pStyle w:val="8"/>
              <w:keepNext w:val="0"/>
              <w:keepLines w:val="0"/>
              <w:spacing w:before="156" w:after="0"/>
              <w:rPr>
                <w:color w:val="000000" w:themeColor="text1"/>
                <w:highlight w:val="none"/>
                <w14:textFill>
                  <w14:solidFill>
                    <w14:schemeClr w14:val="tx1"/>
                  </w14:solidFill>
                </w14:textFill>
              </w:rPr>
            </w:pPr>
            <w:bookmarkStart w:id="11" w:name="_Ref20353"/>
            <w:bookmarkStart w:id="12" w:name="_Ref19826"/>
            <w:r>
              <w:rPr>
                <w:rFonts w:eastAsia="宋体" w:cs="Times New Roman"/>
                <w:color w:val="000000" w:themeColor="text1"/>
                <w:sz w:val="24"/>
                <w:highlight w:val="none"/>
                <w14:textFill>
                  <w14:solidFill>
                    <w14:schemeClr w14:val="tx1"/>
                  </w14:solidFill>
                </w14:textFill>
              </w:rPr>
              <w:t>表4-</w:t>
            </w:r>
            <w:bookmarkEnd w:id="11"/>
            <w:r>
              <w:rPr>
                <w:rFonts w:hint="eastAsia" w:eastAsia="宋体" w:cs="Times New Roman"/>
                <w:color w:val="000000" w:themeColor="text1"/>
                <w:sz w:val="24"/>
                <w:highlight w:val="none"/>
                <w14:textFill>
                  <w14:solidFill>
                    <w14:schemeClr w14:val="tx1"/>
                  </w14:solidFill>
                </w14:textFill>
              </w:rPr>
              <w:t>1</w:t>
            </w:r>
            <w:r>
              <w:rPr>
                <w:rFonts w:eastAsia="宋体" w:cs="Times New Roman"/>
                <w:color w:val="000000" w:themeColor="text1"/>
                <w:sz w:val="24"/>
                <w:highlight w:val="none"/>
                <w14:textFill>
                  <w14:solidFill>
                    <w14:schemeClr w14:val="tx1"/>
                  </w14:solidFill>
                </w14:textFill>
              </w:rPr>
              <w:t>项目废气污染源源强核算结果及相关参数一览表</w:t>
            </w:r>
            <w:bookmarkEnd w:id="12"/>
          </w:p>
          <w:tbl>
            <w:tblPr>
              <w:tblStyle w:val="27"/>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45"/>
              <w:gridCol w:w="1141"/>
              <w:gridCol w:w="1283"/>
              <w:gridCol w:w="776"/>
              <w:gridCol w:w="917"/>
              <w:gridCol w:w="619"/>
              <w:gridCol w:w="679"/>
              <w:gridCol w:w="734"/>
              <w:gridCol w:w="868"/>
              <w:gridCol w:w="1163"/>
              <w:gridCol w:w="770"/>
              <w:gridCol w:w="979"/>
              <w:gridCol w:w="734"/>
              <w:gridCol w:w="789"/>
              <w:gridCol w:w="837"/>
              <w:gridCol w:w="900"/>
            </w:tblGrid>
            <w:tr w14:paraId="612A5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restart"/>
                  <w:tcBorders>
                    <w:tl2br w:val="nil"/>
                    <w:tr2bl w:val="nil"/>
                  </w:tcBorders>
                  <w:tcMar>
                    <w:top w:w="0" w:type="dxa"/>
                    <w:left w:w="57" w:type="dxa"/>
                    <w:bottom w:w="0" w:type="dxa"/>
                    <w:right w:w="57" w:type="dxa"/>
                  </w:tcMar>
                  <w:vAlign w:val="center"/>
                </w:tcPr>
                <w:p w14:paraId="77E3C442">
                  <w:pPr>
                    <w:pStyle w:val="40"/>
                    <w:kinsoku w:val="0"/>
                    <w:wordWrap w:val="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排放口</w:t>
                  </w:r>
                </w:p>
              </w:tc>
              <w:tc>
                <w:tcPr>
                  <w:tcW w:w="409" w:type="pct"/>
                  <w:vMerge w:val="restart"/>
                  <w:tcBorders>
                    <w:tl2br w:val="nil"/>
                    <w:tr2bl w:val="nil"/>
                  </w:tcBorders>
                  <w:tcMar>
                    <w:top w:w="0" w:type="dxa"/>
                    <w:left w:w="57" w:type="dxa"/>
                    <w:bottom w:w="0" w:type="dxa"/>
                    <w:right w:w="57" w:type="dxa"/>
                  </w:tcMar>
                  <w:vAlign w:val="center"/>
                </w:tcPr>
                <w:p w14:paraId="77ED15DA">
                  <w:pPr>
                    <w:pStyle w:val="40"/>
                    <w:kinsoku w:val="0"/>
                    <w:wordWrap w:val="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污染源</w:t>
                  </w:r>
                </w:p>
              </w:tc>
              <w:tc>
                <w:tcPr>
                  <w:tcW w:w="460" w:type="pct"/>
                  <w:vMerge w:val="restart"/>
                  <w:tcBorders>
                    <w:tl2br w:val="nil"/>
                    <w:tr2bl w:val="nil"/>
                  </w:tcBorders>
                  <w:tcMar>
                    <w:top w:w="0" w:type="dxa"/>
                    <w:left w:w="57" w:type="dxa"/>
                    <w:bottom w:w="0" w:type="dxa"/>
                    <w:right w:w="57" w:type="dxa"/>
                  </w:tcMar>
                  <w:vAlign w:val="center"/>
                </w:tcPr>
                <w:p w14:paraId="5D6C5264">
                  <w:pPr>
                    <w:pStyle w:val="40"/>
                    <w:kinsoku w:val="0"/>
                    <w:wordWrap w:val="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污染物</w:t>
                  </w:r>
                </w:p>
              </w:tc>
              <w:tc>
                <w:tcPr>
                  <w:tcW w:w="278" w:type="pct"/>
                  <w:vMerge w:val="restart"/>
                  <w:tcBorders>
                    <w:tl2br w:val="nil"/>
                    <w:tr2bl w:val="nil"/>
                  </w:tcBorders>
                  <w:tcMar>
                    <w:top w:w="0" w:type="dxa"/>
                    <w:left w:w="57" w:type="dxa"/>
                    <w:bottom w:w="0" w:type="dxa"/>
                    <w:right w:w="57" w:type="dxa"/>
                  </w:tcMar>
                  <w:vAlign w:val="center"/>
                </w:tcPr>
                <w:p w14:paraId="1FA1AC75">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风量m</w:t>
                  </w:r>
                  <w:r>
                    <w:rPr>
                      <w:rFonts w:ascii="Times New Roman" w:hAnsi="Times New Roman" w:cs="Times New Roman"/>
                      <w:b/>
                      <w:bCs/>
                      <w:color w:val="000000" w:themeColor="text1"/>
                      <w:highlight w:val="none"/>
                      <w:vertAlign w:val="superscript"/>
                      <w14:textFill>
                        <w14:solidFill>
                          <w14:schemeClr w14:val="tx1"/>
                        </w14:solidFill>
                      </w14:textFill>
                    </w:rPr>
                    <w:t>3</w:t>
                  </w:r>
                  <w:r>
                    <w:rPr>
                      <w:rFonts w:ascii="Times New Roman" w:hAnsi="Times New Roman" w:cs="Times New Roman"/>
                      <w:b/>
                      <w:bCs/>
                      <w:color w:val="000000" w:themeColor="text1"/>
                      <w:highlight w:val="none"/>
                      <w14:textFill>
                        <w14:solidFill>
                          <w14:schemeClr w14:val="tx1"/>
                        </w14:solidFill>
                      </w14:textFill>
                    </w:rPr>
                    <w:t>/h</w:t>
                  </w:r>
                </w:p>
              </w:tc>
              <w:tc>
                <w:tcPr>
                  <w:tcW w:w="329" w:type="pct"/>
                  <w:vMerge w:val="restart"/>
                  <w:tcBorders>
                    <w:tl2br w:val="nil"/>
                    <w:tr2bl w:val="nil"/>
                  </w:tcBorders>
                  <w:tcMar>
                    <w:top w:w="0" w:type="dxa"/>
                    <w:left w:w="57" w:type="dxa"/>
                    <w:bottom w:w="0" w:type="dxa"/>
                    <w:right w:w="57" w:type="dxa"/>
                  </w:tcMar>
                  <w:vAlign w:val="center"/>
                </w:tcPr>
                <w:p w14:paraId="1861CE16">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产生量t/a</w:t>
                  </w:r>
                </w:p>
              </w:tc>
              <w:tc>
                <w:tcPr>
                  <w:tcW w:w="222" w:type="pct"/>
                  <w:vMerge w:val="restart"/>
                  <w:tcBorders>
                    <w:tl2br w:val="nil"/>
                    <w:tr2bl w:val="nil"/>
                  </w:tcBorders>
                  <w:tcMar>
                    <w:top w:w="0" w:type="dxa"/>
                    <w:left w:w="57" w:type="dxa"/>
                    <w:bottom w:w="0" w:type="dxa"/>
                    <w:right w:w="57" w:type="dxa"/>
                  </w:tcMar>
                  <w:vAlign w:val="center"/>
                </w:tcPr>
                <w:p w14:paraId="7B2BE3B3">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无组织t/a</w:t>
                  </w:r>
                </w:p>
              </w:tc>
              <w:tc>
                <w:tcPr>
                  <w:tcW w:w="818" w:type="pct"/>
                  <w:gridSpan w:val="3"/>
                  <w:tcBorders>
                    <w:tl2br w:val="nil"/>
                    <w:tr2bl w:val="nil"/>
                  </w:tcBorders>
                  <w:tcMar>
                    <w:top w:w="0" w:type="dxa"/>
                    <w:left w:w="57" w:type="dxa"/>
                    <w:bottom w:w="0" w:type="dxa"/>
                    <w:right w:w="57" w:type="dxa"/>
                  </w:tcMar>
                  <w:vAlign w:val="center"/>
                </w:tcPr>
                <w:p w14:paraId="5DCB55B1">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有组织产生情况</w:t>
                  </w:r>
                </w:p>
              </w:tc>
              <w:tc>
                <w:tcPr>
                  <w:tcW w:w="1044" w:type="pct"/>
                  <w:gridSpan w:val="3"/>
                  <w:tcBorders>
                    <w:tl2br w:val="nil"/>
                    <w:tr2bl w:val="nil"/>
                  </w:tcBorders>
                  <w:tcMar>
                    <w:top w:w="0" w:type="dxa"/>
                    <w:left w:w="57" w:type="dxa"/>
                    <w:bottom w:w="0" w:type="dxa"/>
                    <w:right w:w="57" w:type="dxa"/>
                  </w:tcMar>
                  <w:vAlign w:val="center"/>
                </w:tcPr>
                <w:p w14:paraId="5CA35751">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治理措施</w:t>
                  </w:r>
                </w:p>
              </w:tc>
              <w:tc>
                <w:tcPr>
                  <w:tcW w:w="846" w:type="pct"/>
                  <w:gridSpan w:val="3"/>
                  <w:tcBorders>
                    <w:tl2br w:val="nil"/>
                    <w:tr2bl w:val="nil"/>
                  </w:tcBorders>
                  <w:tcMar>
                    <w:top w:w="0" w:type="dxa"/>
                    <w:left w:w="57" w:type="dxa"/>
                    <w:bottom w:w="0" w:type="dxa"/>
                    <w:right w:w="57" w:type="dxa"/>
                  </w:tcMar>
                  <w:vAlign w:val="center"/>
                </w:tcPr>
                <w:p w14:paraId="0159AD79">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有组织排放情况</w:t>
                  </w:r>
                </w:p>
              </w:tc>
              <w:tc>
                <w:tcPr>
                  <w:tcW w:w="322" w:type="pct"/>
                  <w:vMerge w:val="restart"/>
                  <w:tcBorders>
                    <w:tl2br w:val="nil"/>
                    <w:tr2bl w:val="nil"/>
                  </w:tcBorders>
                  <w:tcMar>
                    <w:top w:w="0" w:type="dxa"/>
                    <w:left w:w="57" w:type="dxa"/>
                    <w:bottom w:w="0" w:type="dxa"/>
                    <w:right w:w="57" w:type="dxa"/>
                  </w:tcMar>
                  <w:vAlign w:val="center"/>
                </w:tcPr>
                <w:p w14:paraId="6860B5C6">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排放时间h/a</w:t>
                  </w:r>
                </w:p>
              </w:tc>
            </w:tr>
            <w:tr w14:paraId="1964D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continue"/>
                  <w:tcBorders>
                    <w:tl2br w:val="nil"/>
                    <w:tr2bl w:val="nil"/>
                  </w:tcBorders>
                  <w:tcMar>
                    <w:top w:w="0" w:type="dxa"/>
                    <w:left w:w="57" w:type="dxa"/>
                    <w:bottom w:w="0" w:type="dxa"/>
                    <w:right w:w="57" w:type="dxa"/>
                  </w:tcMar>
                  <w:vAlign w:val="center"/>
                </w:tcPr>
                <w:p w14:paraId="314B09C7">
                  <w:pPr>
                    <w:pStyle w:val="40"/>
                    <w:spacing w:before="31"/>
                    <w:rPr>
                      <w:rFonts w:ascii="Times New Roman" w:hAnsi="Times New Roman" w:cs="Times New Roman"/>
                      <w:b/>
                      <w:bCs/>
                      <w:color w:val="000000" w:themeColor="text1"/>
                      <w:highlight w:val="none"/>
                      <w14:textFill>
                        <w14:solidFill>
                          <w14:schemeClr w14:val="tx1"/>
                        </w14:solidFill>
                      </w14:textFill>
                    </w:rPr>
                  </w:pPr>
                </w:p>
              </w:tc>
              <w:tc>
                <w:tcPr>
                  <w:tcW w:w="409" w:type="pct"/>
                  <w:vMerge w:val="continue"/>
                  <w:tcBorders>
                    <w:tl2br w:val="nil"/>
                    <w:tr2bl w:val="nil"/>
                  </w:tcBorders>
                  <w:tcMar>
                    <w:top w:w="0" w:type="dxa"/>
                    <w:left w:w="57" w:type="dxa"/>
                    <w:bottom w:w="0" w:type="dxa"/>
                    <w:right w:w="57" w:type="dxa"/>
                  </w:tcMar>
                  <w:vAlign w:val="center"/>
                </w:tcPr>
                <w:p w14:paraId="26C2DBDB">
                  <w:pPr>
                    <w:pStyle w:val="40"/>
                    <w:spacing w:before="31"/>
                    <w:rPr>
                      <w:rFonts w:ascii="Times New Roman" w:hAnsi="Times New Roman" w:cs="Times New Roman"/>
                      <w:b/>
                      <w:bCs/>
                      <w:color w:val="000000" w:themeColor="text1"/>
                      <w:highlight w:val="none"/>
                      <w14:textFill>
                        <w14:solidFill>
                          <w14:schemeClr w14:val="tx1"/>
                        </w14:solidFill>
                      </w14:textFill>
                    </w:rPr>
                  </w:pPr>
                </w:p>
              </w:tc>
              <w:tc>
                <w:tcPr>
                  <w:tcW w:w="460" w:type="pct"/>
                  <w:vMerge w:val="continue"/>
                  <w:tcBorders>
                    <w:tl2br w:val="nil"/>
                    <w:tr2bl w:val="nil"/>
                  </w:tcBorders>
                  <w:tcMar>
                    <w:top w:w="0" w:type="dxa"/>
                    <w:left w:w="57" w:type="dxa"/>
                    <w:bottom w:w="0" w:type="dxa"/>
                    <w:right w:w="57" w:type="dxa"/>
                  </w:tcMar>
                  <w:vAlign w:val="center"/>
                </w:tcPr>
                <w:p w14:paraId="1C791BC1">
                  <w:pPr>
                    <w:pStyle w:val="40"/>
                    <w:spacing w:before="31"/>
                    <w:rPr>
                      <w:rFonts w:ascii="Times New Roman" w:hAnsi="Times New Roman" w:cs="Times New Roman"/>
                      <w:b/>
                      <w:bCs/>
                      <w:color w:val="000000" w:themeColor="text1"/>
                      <w:highlight w:val="none"/>
                      <w14:textFill>
                        <w14:solidFill>
                          <w14:schemeClr w14:val="tx1"/>
                        </w14:solidFill>
                      </w14:textFill>
                    </w:rPr>
                  </w:pPr>
                </w:p>
              </w:tc>
              <w:tc>
                <w:tcPr>
                  <w:tcW w:w="278" w:type="pct"/>
                  <w:vMerge w:val="continue"/>
                  <w:tcBorders>
                    <w:tl2br w:val="nil"/>
                    <w:tr2bl w:val="nil"/>
                  </w:tcBorders>
                  <w:tcMar>
                    <w:top w:w="0" w:type="dxa"/>
                    <w:left w:w="57" w:type="dxa"/>
                    <w:bottom w:w="0" w:type="dxa"/>
                    <w:right w:w="57" w:type="dxa"/>
                  </w:tcMar>
                  <w:vAlign w:val="center"/>
                </w:tcPr>
                <w:p w14:paraId="6D2A819E">
                  <w:pPr>
                    <w:pStyle w:val="40"/>
                    <w:spacing w:before="31"/>
                    <w:rPr>
                      <w:rFonts w:ascii="Times New Roman" w:hAnsi="Times New Roman" w:cs="Times New Roman"/>
                      <w:b/>
                      <w:bCs/>
                      <w:color w:val="000000" w:themeColor="text1"/>
                      <w:highlight w:val="none"/>
                      <w14:textFill>
                        <w14:solidFill>
                          <w14:schemeClr w14:val="tx1"/>
                        </w14:solidFill>
                      </w14:textFill>
                    </w:rPr>
                  </w:pPr>
                </w:p>
              </w:tc>
              <w:tc>
                <w:tcPr>
                  <w:tcW w:w="329" w:type="pct"/>
                  <w:vMerge w:val="continue"/>
                  <w:tcBorders>
                    <w:tl2br w:val="nil"/>
                    <w:tr2bl w:val="nil"/>
                  </w:tcBorders>
                  <w:tcMar>
                    <w:top w:w="0" w:type="dxa"/>
                    <w:left w:w="57" w:type="dxa"/>
                    <w:bottom w:w="0" w:type="dxa"/>
                    <w:right w:w="57" w:type="dxa"/>
                  </w:tcMar>
                  <w:vAlign w:val="center"/>
                </w:tcPr>
                <w:p w14:paraId="12BB87AE">
                  <w:pPr>
                    <w:pStyle w:val="40"/>
                    <w:spacing w:before="31"/>
                    <w:rPr>
                      <w:rFonts w:ascii="Times New Roman" w:hAnsi="Times New Roman" w:cs="Times New Roman"/>
                      <w:b/>
                      <w:bCs/>
                      <w:color w:val="000000" w:themeColor="text1"/>
                      <w:highlight w:val="none"/>
                      <w14:textFill>
                        <w14:solidFill>
                          <w14:schemeClr w14:val="tx1"/>
                        </w14:solidFill>
                      </w14:textFill>
                    </w:rPr>
                  </w:pPr>
                </w:p>
              </w:tc>
              <w:tc>
                <w:tcPr>
                  <w:tcW w:w="222" w:type="pct"/>
                  <w:vMerge w:val="continue"/>
                  <w:tcBorders>
                    <w:tl2br w:val="nil"/>
                    <w:tr2bl w:val="nil"/>
                  </w:tcBorders>
                  <w:tcMar>
                    <w:top w:w="0" w:type="dxa"/>
                    <w:left w:w="57" w:type="dxa"/>
                    <w:bottom w:w="0" w:type="dxa"/>
                    <w:right w:w="57" w:type="dxa"/>
                  </w:tcMar>
                  <w:vAlign w:val="center"/>
                </w:tcPr>
                <w:p w14:paraId="3F50ECA9">
                  <w:pPr>
                    <w:pStyle w:val="40"/>
                    <w:spacing w:before="31"/>
                    <w:rPr>
                      <w:rFonts w:ascii="Times New Roman" w:hAnsi="Times New Roman" w:cs="Times New Roman"/>
                      <w:b/>
                      <w:bCs/>
                      <w:color w:val="000000" w:themeColor="text1"/>
                      <w:highlight w:val="none"/>
                      <w14:textFill>
                        <w14:solidFill>
                          <w14:schemeClr w14:val="tx1"/>
                        </w14:solidFill>
                      </w14:textFill>
                    </w:rPr>
                  </w:pPr>
                </w:p>
              </w:tc>
              <w:tc>
                <w:tcPr>
                  <w:tcW w:w="243" w:type="pct"/>
                  <w:tcBorders>
                    <w:tl2br w:val="nil"/>
                    <w:tr2bl w:val="nil"/>
                  </w:tcBorders>
                  <w:tcMar>
                    <w:top w:w="0" w:type="dxa"/>
                    <w:left w:w="57" w:type="dxa"/>
                    <w:bottom w:w="0" w:type="dxa"/>
                    <w:right w:w="57" w:type="dxa"/>
                  </w:tcMar>
                  <w:vAlign w:val="center"/>
                </w:tcPr>
                <w:p w14:paraId="1E93F00E">
                  <w:pPr>
                    <w:pStyle w:val="40"/>
                    <w:spacing w:before="31"/>
                    <w:rPr>
                      <w:rFonts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highlight w:val="none"/>
                      <w14:textFill>
                        <w14:solidFill>
                          <w14:schemeClr w14:val="tx1"/>
                        </w14:solidFill>
                      </w14:textFill>
                    </w:rPr>
                    <w:t>收集</w:t>
                  </w:r>
                  <w:r>
                    <w:rPr>
                      <w:rFonts w:ascii="Times New Roman" w:hAnsi="Times New Roman" w:cs="Times New Roman"/>
                      <w:b/>
                      <w:bCs/>
                      <w:color w:val="000000" w:themeColor="text1"/>
                      <w:highlight w:val="none"/>
                      <w14:textFill>
                        <w14:solidFill>
                          <w14:schemeClr w14:val="tx1"/>
                        </w14:solidFill>
                      </w14:textFill>
                    </w:rPr>
                    <w:t>量t/a</w:t>
                  </w:r>
                </w:p>
              </w:tc>
              <w:tc>
                <w:tcPr>
                  <w:tcW w:w="263" w:type="pct"/>
                  <w:tcBorders>
                    <w:tl2br w:val="nil"/>
                    <w:tr2bl w:val="nil"/>
                  </w:tcBorders>
                  <w:tcMar>
                    <w:top w:w="0" w:type="dxa"/>
                    <w:left w:w="57" w:type="dxa"/>
                    <w:bottom w:w="0" w:type="dxa"/>
                    <w:right w:w="57" w:type="dxa"/>
                  </w:tcMar>
                  <w:vAlign w:val="center"/>
                </w:tcPr>
                <w:p w14:paraId="2C6D08B4">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速率kg/h</w:t>
                  </w:r>
                </w:p>
              </w:tc>
              <w:tc>
                <w:tcPr>
                  <w:tcW w:w="311" w:type="pct"/>
                  <w:tcBorders>
                    <w:tl2br w:val="nil"/>
                    <w:tr2bl w:val="nil"/>
                  </w:tcBorders>
                  <w:tcMar>
                    <w:top w:w="0" w:type="dxa"/>
                    <w:left w:w="57" w:type="dxa"/>
                    <w:bottom w:w="0" w:type="dxa"/>
                    <w:right w:w="57" w:type="dxa"/>
                  </w:tcMar>
                  <w:vAlign w:val="center"/>
                </w:tcPr>
                <w:p w14:paraId="6DF39D08">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浓度mg/m</w:t>
                  </w:r>
                  <w:r>
                    <w:rPr>
                      <w:rFonts w:ascii="Times New Roman" w:hAnsi="Times New Roman" w:cs="Times New Roman"/>
                      <w:b/>
                      <w:bCs/>
                      <w:color w:val="000000" w:themeColor="text1"/>
                      <w:highlight w:val="none"/>
                      <w:vertAlign w:val="superscript"/>
                      <w14:textFill>
                        <w14:solidFill>
                          <w14:schemeClr w14:val="tx1"/>
                        </w14:solidFill>
                      </w14:textFill>
                    </w:rPr>
                    <w:t>3</w:t>
                  </w:r>
                </w:p>
              </w:tc>
              <w:tc>
                <w:tcPr>
                  <w:tcW w:w="417" w:type="pct"/>
                  <w:tcBorders>
                    <w:tl2br w:val="nil"/>
                    <w:tr2bl w:val="nil"/>
                  </w:tcBorders>
                  <w:tcMar>
                    <w:top w:w="0" w:type="dxa"/>
                    <w:left w:w="57" w:type="dxa"/>
                    <w:bottom w:w="0" w:type="dxa"/>
                    <w:right w:w="57" w:type="dxa"/>
                  </w:tcMar>
                  <w:vAlign w:val="center"/>
                </w:tcPr>
                <w:p w14:paraId="35DC2C3A">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治理工艺</w:t>
                  </w:r>
                </w:p>
              </w:tc>
              <w:tc>
                <w:tcPr>
                  <w:tcW w:w="276" w:type="pct"/>
                  <w:tcBorders>
                    <w:tl2br w:val="nil"/>
                    <w:tr2bl w:val="nil"/>
                  </w:tcBorders>
                  <w:tcMar>
                    <w:top w:w="0" w:type="dxa"/>
                    <w:left w:w="57" w:type="dxa"/>
                    <w:bottom w:w="0" w:type="dxa"/>
                    <w:right w:w="57" w:type="dxa"/>
                  </w:tcMar>
                  <w:vAlign w:val="center"/>
                </w:tcPr>
                <w:p w14:paraId="5A996B56">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处理效率%</w:t>
                  </w:r>
                </w:p>
              </w:tc>
              <w:tc>
                <w:tcPr>
                  <w:tcW w:w="351" w:type="pct"/>
                  <w:tcBorders>
                    <w:tl2br w:val="nil"/>
                    <w:tr2bl w:val="nil"/>
                  </w:tcBorders>
                  <w:tcMar>
                    <w:top w:w="0" w:type="dxa"/>
                    <w:left w:w="57" w:type="dxa"/>
                    <w:bottom w:w="0" w:type="dxa"/>
                    <w:right w:w="57" w:type="dxa"/>
                  </w:tcMar>
                  <w:vAlign w:val="center"/>
                </w:tcPr>
                <w:p w14:paraId="4AB799E8">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是否为可行技术</w:t>
                  </w:r>
                </w:p>
              </w:tc>
              <w:tc>
                <w:tcPr>
                  <w:tcW w:w="263" w:type="pct"/>
                  <w:tcBorders>
                    <w:tl2br w:val="nil"/>
                    <w:tr2bl w:val="nil"/>
                  </w:tcBorders>
                  <w:tcMar>
                    <w:top w:w="0" w:type="dxa"/>
                    <w:left w:w="57" w:type="dxa"/>
                    <w:bottom w:w="0" w:type="dxa"/>
                    <w:right w:w="57" w:type="dxa"/>
                  </w:tcMar>
                  <w:vAlign w:val="center"/>
                </w:tcPr>
                <w:p w14:paraId="0098470E">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量t/a</w:t>
                  </w:r>
                </w:p>
              </w:tc>
              <w:tc>
                <w:tcPr>
                  <w:tcW w:w="283" w:type="pct"/>
                  <w:tcBorders>
                    <w:tl2br w:val="nil"/>
                    <w:tr2bl w:val="nil"/>
                  </w:tcBorders>
                  <w:tcMar>
                    <w:top w:w="0" w:type="dxa"/>
                    <w:left w:w="57" w:type="dxa"/>
                    <w:bottom w:w="0" w:type="dxa"/>
                    <w:right w:w="57" w:type="dxa"/>
                  </w:tcMar>
                  <w:vAlign w:val="center"/>
                </w:tcPr>
                <w:p w14:paraId="6CEA9B88">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速率kg/h</w:t>
                  </w:r>
                </w:p>
              </w:tc>
              <w:tc>
                <w:tcPr>
                  <w:tcW w:w="300" w:type="pct"/>
                  <w:tcBorders>
                    <w:tl2br w:val="nil"/>
                    <w:tr2bl w:val="nil"/>
                  </w:tcBorders>
                  <w:tcMar>
                    <w:top w:w="0" w:type="dxa"/>
                    <w:left w:w="57" w:type="dxa"/>
                    <w:bottom w:w="0" w:type="dxa"/>
                    <w:right w:w="57" w:type="dxa"/>
                  </w:tcMar>
                  <w:vAlign w:val="center"/>
                </w:tcPr>
                <w:p w14:paraId="7F5D9A21">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浓度mg/m</w:t>
                  </w:r>
                  <w:r>
                    <w:rPr>
                      <w:rFonts w:ascii="Times New Roman" w:hAnsi="Times New Roman" w:cs="Times New Roman"/>
                      <w:b/>
                      <w:bCs/>
                      <w:color w:val="000000" w:themeColor="text1"/>
                      <w:highlight w:val="none"/>
                      <w:vertAlign w:val="superscript"/>
                      <w14:textFill>
                        <w14:solidFill>
                          <w14:schemeClr w14:val="tx1"/>
                        </w14:solidFill>
                      </w14:textFill>
                    </w:rPr>
                    <w:t>3</w:t>
                  </w:r>
                </w:p>
              </w:tc>
              <w:tc>
                <w:tcPr>
                  <w:tcW w:w="322" w:type="pct"/>
                  <w:vMerge w:val="continue"/>
                  <w:tcBorders>
                    <w:tl2br w:val="nil"/>
                    <w:tr2bl w:val="nil"/>
                  </w:tcBorders>
                  <w:tcMar>
                    <w:top w:w="0" w:type="dxa"/>
                    <w:left w:w="57" w:type="dxa"/>
                    <w:bottom w:w="0" w:type="dxa"/>
                    <w:right w:w="57" w:type="dxa"/>
                  </w:tcMar>
                  <w:vAlign w:val="center"/>
                </w:tcPr>
                <w:p w14:paraId="44EED4C1">
                  <w:pPr>
                    <w:pStyle w:val="40"/>
                    <w:spacing w:before="31"/>
                    <w:rPr>
                      <w:rFonts w:ascii="Times New Roman" w:hAnsi="Times New Roman" w:cs="Times New Roman"/>
                      <w:color w:val="000000" w:themeColor="text1"/>
                      <w:highlight w:val="none"/>
                      <w14:textFill>
                        <w14:solidFill>
                          <w14:schemeClr w14:val="tx1"/>
                        </w14:solidFill>
                      </w14:textFill>
                    </w:rPr>
                  </w:pPr>
                </w:p>
              </w:tc>
            </w:tr>
            <w:tr w14:paraId="6CC15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tcBorders>
                    <w:tl2br w:val="nil"/>
                    <w:tr2bl w:val="nil"/>
                  </w:tcBorders>
                  <w:tcMar>
                    <w:top w:w="0" w:type="dxa"/>
                    <w:left w:w="57" w:type="dxa"/>
                    <w:bottom w:w="0" w:type="dxa"/>
                    <w:right w:w="57" w:type="dxa"/>
                  </w:tcMar>
                  <w:vAlign w:val="center"/>
                </w:tcPr>
                <w:p w14:paraId="4CC68EBD">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DA00</w:t>
                  </w:r>
                  <w:r>
                    <w:rPr>
                      <w:rFonts w:hint="eastAsia" w:ascii="Times New Roman" w:hAnsi="Times New Roman" w:cs="Times New Roman"/>
                      <w:color w:val="000000" w:themeColor="text1"/>
                      <w:highlight w:val="none"/>
                      <w14:textFill>
                        <w14:solidFill>
                          <w14:schemeClr w14:val="tx1"/>
                        </w14:solidFill>
                      </w14:textFill>
                    </w:rPr>
                    <w:t>1</w:t>
                  </w:r>
                </w:p>
              </w:tc>
              <w:tc>
                <w:tcPr>
                  <w:tcW w:w="409" w:type="pct"/>
                  <w:tcBorders>
                    <w:tl2br w:val="nil"/>
                    <w:tr2bl w:val="nil"/>
                  </w:tcBorders>
                  <w:tcMar>
                    <w:top w:w="0" w:type="dxa"/>
                    <w:left w:w="57" w:type="dxa"/>
                    <w:bottom w:w="0" w:type="dxa"/>
                    <w:right w:w="57" w:type="dxa"/>
                  </w:tcMar>
                  <w:vAlign w:val="center"/>
                </w:tcPr>
                <w:p w14:paraId="785ED8AD">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抛丸废气</w:t>
                  </w:r>
                </w:p>
              </w:tc>
              <w:tc>
                <w:tcPr>
                  <w:tcW w:w="460" w:type="pct"/>
                  <w:tcBorders>
                    <w:tl2br w:val="nil"/>
                    <w:tr2bl w:val="nil"/>
                  </w:tcBorders>
                  <w:tcMar>
                    <w:top w:w="0" w:type="dxa"/>
                    <w:left w:w="57" w:type="dxa"/>
                    <w:bottom w:w="0" w:type="dxa"/>
                    <w:right w:w="57" w:type="dxa"/>
                  </w:tcMar>
                  <w:vAlign w:val="center"/>
                </w:tcPr>
                <w:p w14:paraId="69AB53E4">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颗粒物</w:t>
                  </w:r>
                </w:p>
              </w:tc>
              <w:tc>
                <w:tcPr>
                  <w:tcW w:w="278" w:type="pct"/>
                  <w:tcBorders>
                    <w:tl2br w:val="nil"/>
                    <w:tr2bl w:val="nil"/>
                  </w:tcBorders>
                  <w:tcMar>
                    <w:top w:w="0" w:type="dxa"/>
                    <w:left w:w="57" w:type="dxa"/>
                    <w:bottom w:w="0" w:type="dxa"/>
                    <w:right w:w="57" w:type="dxa"/>
                  </w:tcMar>
                  <w:vAlign w:val="center"/>
                </w:tcPr>
                <w:p w14:paraId="6CBE3328">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5000</w:t>
                  </w:r>
                </w:p>
              </w:tc>
              <w:tc>
                <w:tcPr>
                  <w:tcW w:w="329" w:type="pct"/>
                  <w:tcBorders>
                    <w:tl2br w:val="nil"/>
                    <w:tr2bl w:val="nil"/>
                  </w:tcBorders>
                  <w:tcMar>
                    <w:top w:w="0" w:type="dxa"/>
                    <w:left w:w="57" w:type="dxa"/>
                    <w:bottom w:w="0" w:type="dxa"/>
                    <w:right w:w="57" w:type="dxa"/>
                  </w:tcMar>
                  <w:vAlign w:val="center"/>
                </w:tcPr>
                <w:p w14:paraId="57BD83DC">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1.314</w:t>
                  </w:r>
                </w:p>
              </w:tc>
              <w:tc>
                <w:tcPr>
                  <w:tcW w:w="222" w:type="pct"/>
                  <w:tcBorders>
                    <w:tl2br w:val="nil"/>
                    <w:tr2bl w:val="nil"/>
                  </w:tcBorders>
                  <w:tcMar>
                    <w:top w:w="0" w:type="dxa"/>
                    <w:left w:w="57" w:type="dxa"/>
                    <w:bottom w:w="0" w:type="dxa"/>
                    <w:right w:w="57" w:type="dxa"/>
                  </w:tcMar>
                  <w:vAlign w:val="center"/>
                </w:tcPr>
                <w:p w14:paraId="1C78725B">
                  <w:pPr>
                    <w:pStyle w:val="40"/>
                    <w:spacing w:before="31"/>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243" w:type="pct"/>
                  <w:tcBorders>
                    <w:tl2br w:val="nil"/>
                    <w:tr2bl w:val="nil"/>
                  </w:tcBorders>
                  <w:tcMar>
                    <w:top w:w="0" w:type="dxa"/>
                    <w:left w:w="57" w:type="dxa"/>
                    <w:bottom w:w="0" w:type="dxa"/>
                    <w:right w:w="57" w:type="dxa"/>
                  </w:tcMar>
                  <w:vAlign w:val="center"/>
                </w:tcPr>
                <w:p w14:paraId="53C7C1F5">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1.314</w:t>
                  </w:r>
                </w:p>
              </w:tc>
              <w:tc>
                <w:tcPr>
                  <w:tcW w:w="263" w:type="pct"/>
                  <w:tcBorders>
                    <w:tl2br w:val="nil"/>
                    <w:tr2bl w:val="nil"/>
                  </w:tcBorders>
                  <w:tcMar>
                    <w:top w:w="0" w:type="dxa"/>
                    <w:left w:w="57" w:type="dxa"/>
                    <w:bottom w:w="0" w:type="dxa"/>
                    <w:right w:w="57" w:type="dxa"/>
                  </w:tcMar>
                  <w:vAlign w:val="center"/>
                </w:tcPr>
                <w:p w14:paraId="3168B6FC">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0.</w:t>
                  </w:r>
                  <w:r>
                    <w:rPr>
                      <w:rFonts w:hint="eastAsia" w:ascii="Times New Roman" w:hAnsi="Times New Roman" w:cs="Times New Roman"/>
                      <w:color w:val="000000" w:themeColor="text1"/>
                      <w:highlight w:val="none"/>
                      <w:lang w:val="en-US" w:eastAsia="zh-CN"/>
                      <w14:textFill>
                        <w14:solidFill>
                          <w14:schemeClr w14:val="tx1"/>
                        </w14:solidFill>
                      </w14:textFill>
                    </w:rPr>
                    <w:t>788</w:t>
                  </w:r>
                </w:p>
              </w:tc>
              <w:tc>
                <w:tcPr>
                  <w:tcW w:w="311" w:type="pct"/>
                  <w:tcBorders>
                    <w:tl2br w:val="nil"/>
                    <w:tr2bl w:val="nil"/>
                  </w:tcBorders>
                  <w:tcMar>
                    <w:top w:w="0" w:type="dxa"/>
                    <w:left w:w="57" w:type="dxa"/>
                    <w:bottom w:w="0" w:type="dxa"/>
                    <w:right w:w="57" w:type="dxa"/>
                  </w:tcMar>
                  <w:vAlign w:val="center"/>
                </w:tcPr>
                <w:p w14:paraId="1940B95E">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157.6</w:t>
                  </w:r>
                </w:p>
              </w:tc>
              <w:tc>
                <w:tcPr>
                  <w:tcW w:w="417" w:type="pct"/>
                  <w:tcBorders>
                    <w:tl2br w:val="nil"/>
                    <w:tr2bl w:val="nil"/>
                  </w:tcBorders>
                  <w:tcMar>
                    <w:top w:w="0" w:type="dxa"/>
                    <w:left w:w="57" w:type="dxa"/>
                    <w:bottom w:w="0" w:type="dxa"/>
                    <w:right w:w="57" w:type="dxa"/>
                  </w:tcMar>
                  <w:vAlign w:val="center"/>
                </w:tcPr>
                <w:p w14:paraId="6313FA20">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布袋除尘</w:t>
                  </w:r>
                </w:p>
              </w:tc>
              <w:tc>
                <w:tcPr>
                  <w:tcW w:w="276" w:type="pct"/>
                  <w:tcBorders>
                    <w:tl2br w:val="nil"/>
                    <w:tr2bl w:val="nil"/>
                  </w:tcBorders>
                  <w:tcMar>
                    <w:top w:w="0" w:type="dxa"/>
                    <w:left w:w="57" w:type="dxa"/>
                    <w:bottom w:w="0" w:type="dxa"/>
                    <w:right w:w="57" w:type="dxa"/>
                  </w:tcMar>
                  <w:vAlign w:val="center"/>
                </w:tcPr>
                <w:p w14:paraId="106F998F">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95</w:t>
                  </w:r>
                </w:p>
              </w:tc>
              <w:tc>
                <w:tcPr>
                  <w:tcW w:w="351" w:type="pct"/>
                  <w:tcBorders>
                    <w:tl2br w:val="nil"/>
                    <w:tr2bl w:val="nil"/>
                  </w:tcBorders>
                  <w:tcMar>
                    <w:top w:w="0" w:type="dxa"/>
                    <w:left w:w="57" w:type="dxa"/>
                    <w:bottom w:w="0" w:type="dxa"/>
                    <w:right w:w="57" w:type="dxa"/>
                  </w:tcMar>
                  <w:vAlign w:val="center"/>
                </w:tcPr>
                <w:p w14:paraId="2462C710">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是</w:t>
                  </w:r>
                </w:p>
              </w:tc>
              <w:tc>
                <w:tcPr>
                  <w:tcW w:w="263" w:type="pct"/>
                  <w:tcBorders>
                    <w:tl2br w:val="nil"/>
                    <w:tr2bl w:val="nil"/>
                  </w:tcBorders>
                  <w:tcMar>
                    <w:top w:w="0" w:type="dxa"/>
                    <w:left w:w="57" w:type="dxa"/>
                    <w:bottom w:w="0" w:type="dxa"/>
                    <w:right w:w="57" w:type="dxa"/>
                  </w:tcMar>
                  <w:vAlign w:val="center"/>
                </w:tcPr>
                <w:p w14:paraId="7C7B688E">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0.066</w:t>
                  </w:r>
                </w:p>
              </w:tc>
              <w:tc>
                <w:tcPr>
                  <w:tcW w:w="283" w:type="pct"/>
                  <w:tcBorders>
                    <w:tl2br w:val="nil"/>
                    <w:tr2bl w:val="nil"/>
                  </w:tcBorders>
                  <w:tcMar>
                    <w:top w:w="0" w:type="dxa"/>
                    <w:left w:w="57" w:type="dxa"/>
                    <w:bottom w:w="0" w:type="dxa"/>
                    <w:right w:w="57" w:type="dxa"/>
                  </w:tcMar>
                  <w:vAlign w:val="center"/>
                </w:tcPr>
                <w:p w14:paraId="2567152F">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0.04</w:t>
                  </w:r>
                </w:p>
              </w:tc>
              <w:tc>
                <w:tcPr>
                  <w:tcW w:w="300" w:type="pct"/>
                  <w:tcBorders>
                    <w:tl2br w:val="nil"/>
                    <w:tr2bl w:val="nil"/>
                  </w:tcBorders>
                  <w:tcMar>
                    <w:top w:w="0" w:type="dxa"/>
                    <w:left w:w="57" w:type="dxa"/>
                    <w:bottom w:w="0" w:type="dxa"/>
                    <w:right w:w="57" w:type="dxa"/>
                  </w:tcMar>
                  <w:vAlign w:val="center"/>
                </w:tcPr>
                <w:p w14:paraId="7EA480D1">
                  <w:pPr>
                    <w:pStyle w:val="40"/>
                    <w:spacing w:before="31"/>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8</w:t>
                  </w:r>
                </w:p>
              </w:tc>
              <w:tc>
                <w:tcPr>
                  <w:tcW w:w="322" w:type="pct"/>
                  <w:tcBorders>
                    <w:tl2br w:val="nil"/>
                    <w:tr2bl w:val="nil"/>
                  </w:tcBorders>
                  <w:tcMar>
                    <w:top w:w="0" w:type="dxa"/>
                    <w:left w:w="57" w:type="dxa"/>
                    <w:bottom w:w="0" w:type="dxa"/>
                    <w:right w:w="57" w:type="dxa"/>
                  </w:tcMar>
                  <w:vAlign w:val="center"/>
                </w:tcPr>
                <w:p w14:paraId="07EEBC7A">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1667</w:t>
                  </w:r>
                </w:p>
              </w:tc>
            </w:tr>
            <w:tr w14:paraId="58854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267" w:type="pct"/>
                  <w:tcBorders>
                    <w:tl2br w:val="nil"/>
                    <w:tr2bl w:val="nil"/>
                  </w:tcBorders>
                  <w:tcMar>
                    <w:top w:w="0" w:type="dxa"/>
                    <w:left w:w="57" w:type="dxa"/>
                    <w:bottom w:w="0" w:type="dxa"/>
                    <w:right w:w="57" w:type="dxa"/>
                  </w:tcMar>
                  <w:vAlign w:val="center"/>
                </w:tcPr>
                <w:p w14:paraId="4FA11B20">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DA00</w:t>
                  </w:r>
                  <w:r>
                    <w:rPr>
                      <w:rFonts w:hint="eastAsia" w:ascii="Times New Roman" w:hAnsi="Times New Roman" w:cs="Times New Roman"/>
                      <w:color w:val="000000" w:themeColor="text1"/>
                      <w:highlight w:val="none"/>
                      <w14:textFill>
                        <w14:solidFill>
                          <w14:schemeClr w14:val="tx1"/>
                        </w14:solidFill>
                      </w14:textFill>
                    </w:rPr>
                    <w:t>2</w:t>
                  </w:r>
                </w:p>
              </w:tc>
              <w:tc>
                <w:tcPr>
                  <w:tcW w:w="409" w:type="pct"/>
                  <w:tcBorders>
                    <w:tl2br w:val="nil"/>
                    <w:tr2bl w:val="nil"/>
                  </w:tcBorders>
                  <w:tcMar>
                    <w:top w:w="0" w:type="dxa"/>
                    <w:left w:w="57" w:type="dxa"/>
                    <w:bottom w:w="0" w:type="dxa"/>
                    <w:right w:w="57" w:type="dxa"/>
                  </w:tcMar>
                  <w:vAlign w:val="center"/>
                </w:tcPr>
                <w:p w14:paraId="729A6793">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喷粉废气</w:t>
                  </w:r>
                </w:p>
              </w:tc>
              <w:tc>
                <w:tcPr>
                  <w:tcW w:w="460" w:type="pct"/>
                  <w:tcBorders>
                    <w:tl2br w:val="nil"/>
                    <w:tr2bl w:val="nil"/>
                  </w:tcBorders>
                  <w:tcMar>
                    <w:top w:w="0" w:type="dxa"/>
                    <w:left w:w="57" w:type="dxa"/>
                    <w:bottom w:w="0" w:type="dxa"/>
                    <w:right w:w="57" w:type="dxa"/>
                  </w:tcMar>
                  <w:vAlign w:val="center"/>
                </w:tcPr>
                <w:p w14:paraId="28846126">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颗粒物</w:t>
                  </w:r>
                </w:p>
              </w:tc>
              <w:tc>
                <w:tcPr>
                  <w:tcW w:w="278" w:type="pct"/>
                  <w:tcBorders>
                    <w:tl2br w:val="nil"/>
                    <w:tr2bl w:val="nil"/>
                  </w:tcBorders>
                  <w:tcMar>
                    <w:top w:w="0" w:type="dxa"/>
                    <w:left w:w="57" w:type="dxa"/>
                    <w:bottom w:w="0" w:type="dxa"/>
                    <w:right w:w="57" w:type="dxa"/>
                  </w:tcMar>
                  <w:vAlign w:val="center"/>
                </w:tcPr>
                <w:p w14:paraId="798FB443">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8000</w:t>
                  </w:r>
                </w:p>
              </w:tc>
              <w:tc>
                <w:tcPr>
                  <w:tcW w:w="329" w:type="pct"/>
                  <w:tcBorders>
                    <w:tl2br w:val="nil"/>
                    <w:tr2bl w:val="nil"/>
                  </w:tcBorders>
                  <w:tcMar>
                    <w:top w:w="0" w:type="dxa"/>
                    <w:left w:w="57" w:type="dxa"/>
                    <w:bottom w:w="0" w:type="dxa"/>
                    <w:right w:w="57" w:type="dxa"/>
                  </w:tcMar>
                  <w:vAlign w:val="center"/>
                </w:tcPr>
                <w:p w14:paraId="190356CB">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2.736</w:t>
                  </w:r>
                </w:p>
              </w:tc>
              <w:tc>
                <w:tcPr>
                  <w:tcW w:w="222" w:type="pct"/>
                  <w:tcBorders>
                    <w:tl2br w:val="nil"/>
                    <w:tr2bl w:val="nil"/>
                  </w:tcBorders>
                  <w:tcMar>
                    <w:top w:w="0" w:type="dxa"/>
                    <w:left w:w="57" w:type="dxa"/>
                    <w:bottom w:w="0" w:type="dxa"/>
                    <w:right w:w="57" w:type="dxa"/>
                  </w:tcMar>
                  <w:vAlign w:val="center"/>
                </w:tcPr>
                <w:p w14:paraId="30256551">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0.274</w:t>
                  </w:r>
                </w:p>
              </w:tc>
              <w:tc>
                <w:tcPr>
                  <w:tcW w:w="243" w:type="pct"/>
                  <w:tcBorders>
                    <w:tl2br w:val="nil"/>
                    <w:tr2bl w:val="nil"/>
                  </w:tcBorders>
                  <w:tcMar>
                    <w:top w:w="0" w:type="dxa"/>
                    <w:left w:w="57" w:type="dxa"/>
                    <w:bottom w:w="0" w:type="dxa"/>
                    <w:right w:w="57" w:type="dxa"/>
                  </w:tcMar>
                  <w:vAlign w:val="center"/>
                </w:tcPr>
                <w:p w14:paraId="25AC976A">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2.462</w:t>
                  </w:r>
                </w:p>
              </w:tc>
              <w:tc>
                <w:tcPr>
                  <w:tcW w:w="263" w:type="pct"/>
                  <w:tcBorders>
                    <w:tl2br w:val="nil"/>
                    <w:tr2bl w:val="nil"/>
                  </w:tcBorders>
                  <w:tcMar>
                    <w:top w:w="0" w:type="dxa"/>
                    <w:left w:w="57" w:type="dxa"/>
                    <w:bottom w:w="0" w:type="dxa"/>
                    <w:right w:w="57" w:type="dxa"/>
                  </w:tcMar>
                  <w:vAlign w:val="center"/>
                </w:tcPr>
                <w:p w14:paraId="69397FD1">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1.231</w:t>
                  </w:r>
                </w:p>
              </w:tc>
              <w:tc>
                <w:tcPr>
                  <w:tcW w:w="311" w:type="pct"/>
                  <w:tcBorders>
                    <w:tl2br w:val="nil"/>
                    <w:tr2bl w:val="nil"/>
                  </w:tcBorders>
                  <w:tcMar>
                    <w:top w:w="0" w:type="dxa"/>
                    <w:left w:w="57" w:type="dxa"/>
                    <w:bottom w:w="0" w:type="dxa"/>
                    <w:right w:w="57" w:type="dxa"/>
                  </w:tcMar>
                  <w:vAlign w:val="center"/>
                </w:tcPr>
                <w:p w14:paraId="5DE96B9C">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153.9</w:t>
                  </w:r>
                </w:p>
              </w:tc>
              <w:tc>
                <w:tcPr>
                  <w:tcW w:w="417" w:type="pct"/>
                  <w:tcBorders>
                    <w:tl2br w:val="nil"/>
                    <w:tr2bl w:val="nil"/>
                  </w:tcBorders>
                  <w:tcMar>
                    <w:top w:w="0" w:type="dxa"/>
                    <w:left w:w="57" w:type="dxa"/>
                    <w:bottom w:w="0" w:type="dxa"/>
                    <w:right w:w="57" w:type="dxa"/>
                  </w:tcMar>
                  <w:vAlign w:val="center"/>
                </w:tcPr>
                <w:p w14:paraId="5ED23515">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滤筒除尘</w:t>
                  </w:r>
                </w:p>
              </w:tc>
              <w:tc>
                <w:tcPr>
                  <w:tcW w:w="276" w:type="pct"/>
                  <w:tcBorders>
                    <w:tl2br w:val="nil"/>
                    <w:tr2bl w:val="nil"/>
                  </w:tcBorders>
                  <w:tcMar>
                    <w:top w:w="0" w:type="dxa"/>
                    <w:left w:w="57" w:type="dxa"/>
                    <w:bottom w:w="0" w:type="dxa"/>
                    <w:right w:w="57" w:type="dxa"/>
                  </w:tcMar>
                  <w:vAlign w:val="center"/>
                </w:tcPr>
                <w:p w14:paraId="414B58AC">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80</w:t>
                  </w:r>
                </w:p>
              </w:tc>
              <w:tc>
                <w:tcPr>
                  <w:tcW w:w="351" w:type="pct"/>
                  <w:tcBorders>
                    <w:tl2br w:val="nil"/>
                    <w:tr2bl w:val="nil"/>
                  </w:tcBorders>
                  <w:tcMar>
                    <w:top w:w="0" w:type="dxa"/>
                    <w:left w:w="57" w:type="dxa"/>
                    <w:bottom w:w="0" w:type="dxa"/>
                    <w:right w:w="57" w:type="dxa"/>
                  </w:tcMar>
                  <w:vAlign w:val="center"/>
                </w:tcPr>
                <w:p w14:paraId="0295837F">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是</w:t>
                  </w:r>
                </w:p>
              </w:tc>
              <w:tc>
                <w:tcPr>
                  <w:tcW w:w="734" w:type="dxa"/>
                  <w:tcBorders>
                    <w:tl2br w:val="nil"/>
                    <w:tr2bl w:val="nil"/>
                  </w:tcBorders>
                  <w:tcMar>
                    <w:top w:w="0" w:type="dxa"/>
                    <w:left w:w="57" w:type="dxa"/>
                    <w:bottom w:w="0" w:type="dxa"/>
                    <w:right w:w="57" w:type="dxa"/>
                  </w:tcMar>
                  <w:vAlign w:val="center"/>
                </w:tcPr>
                <w:p w14:paraId="3CE25DC7">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0.492</w:t>
                  </w:r>
                </w:p>
              </w:tc>
              <w:tc>
                <w:tcPr>
                  <w:tcW w:w="789" w:type="dxa"/>
                  <w:tcBorders>
                    <w:tl2br w:val="nil"/>
                    <w:tr2bl w:val="nil"/>
                  </w:tcBorders>
                  <w:tcMar>
                    <w:top w:w="0" w:type="dxa"/>
                    <w:left w:w="57" w:type="dxa"/>
                    <w:bottom w:w="0" w:type="dxa"/>
                    <w:right w:w="57" w:type="dxa"/>
                  </w:tcMar>
                  <w:vAlign w:val="center"/>
                </w:tcPr>
                <w:p w14:paraId="53346F70">
                  <w:pPr>
                    <w:pStyle w:val="40"/>
                    <w:spacing w:before="31"/>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0.246</w:t>
                  </w:r>
                </w:p>
              </w:tc>
              <w:tc>
                <w:tcPr>
                  <w:tcW w:w="837" w:type="dxa"/>
                  <w:tcBorders>
                    <w:tl2br w:val="nil"/>
                    <w:tr2bl w:val="nil"/>
                  </w:tcBorders>
                  <w:tcMar>
                    <w:top w:w="0" w:type="dxa"/>
                    <w:left w:w="57" w:type="dxa"/>
                    <w:bottom w:w="0" w:type="dxa"/>
                    <w:right w:w="57" w:type="dxa"/>
                  </w:tcMar>
                  <w:vAlign w:val="center"/>
                </w:tcPr>
                <w:p w14:paraId="1DA40BDC">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30.1</w:t>
                  </w:r>
                </w:p>
              </w:tc>
              <w:tc>
                <w:tcPr>
                  <w:tcW w:w="322" w:type="pct"/>
                  <w:tcBorders>
                    <w:tl2br w:val="nil"/>
                    <w:tr2bl w:val="nil"/>
                  </w:tcBorders>
                  <w:tcMar>
                    <w:top w:w="0" w:type="dxa"/>
                    <w:left w:w="57" w:type="dxa"/>
                    <w:bottom w:w="0" w:type="dxa"/>
                    <w:right w:w="57" w:type="dxa"/>
                  </w:tcMar>
                  <w:vAlign w:val="center"/>
                </w:tcPr>
                <w:p w14:paraId="3967A72D">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2000</w:t>
                  </w:r>
                </w:p>
              </w:tc>
            </w:tr>
            <w:tr w14:paraId="465E1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restart"/>
                  <w:tcBorders>
                    <w:tl2br w:val="nil"/>
                    <w:tr2bl w:val="nil"/>
                  </w:tcBorders>
                  <w:tcMar>
                    <w:top w:w="0" w:type="dxa"/>
                    <w:left w:w="57" w:type="dxa"/>
                    <w:bottom w:w="0" w:type="dxa"/>
                    <w:right w:w="57" w:type="dxa"/>
                  </w:tcMar>
                  <w:vAlign w:val="center"/>
                </w:tcPr>
                <w:p w14:paraId="0B4CDBAA">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DA003</w:t>
                  </w:r>
                </w:p>
              </w:tc>
              <w:tc>
                <w:tcPr>
                  <w:tcW w:w="409" w:type="pct"/>
                  <w:vMerge w:val="restart"/>
                  <w:tcBorders>
                    <w:tl2br w:val="nil"/>
                    <w:tr2bl w:val="nil"/>
                  </w:tcBorders>
                  <w:tcMar>
                    <w:top w:w="0" w:type="dxa"/>
                    <w:left w:w="57" w:type="dxa"/>
                    <w:bottom w:w="0" w:type="dxa"/>
                    <w:right w:w="57" w:type="dxa"/>
                  </w:tcMar>
                  <w:vAlign w:val="center"/>
                </w:tcPr>
                <w:p w14:paraId="1E93C6E0">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固化废气</w:t>
                  </w:r>
                </w:p>
              </w:tc>
              <w:tc>
                <w:tcPr>
                  <w:tcW w:w="460" w:type="pct"/>
                  <w:tcBorders>
                    <w:tl2br w:val="nil"/>
                    <w:tr2bl w:val="nil"/>
                  </w:tcBorders>
                  <w:tcMar>
                    <w:top w:w="0" w:type="dxa"/>
                    <w:left w:w="57" w:type="dxa"/>
                    <w:bottom w:w="0" w:type="dxa"/>
                    <w:right w:w="57" w:type="dxa"/>
                  </w:tcMar>
                  <w:vAlign w:val="center"/>
                </w:tcPr>
                <w:p w14:paraId="2641491B">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非甲烷总烃</w:t>
                  </w:r>
                </w:p>
              </w:tc>
              <w:tc>
                <w:tcPr>
                  <w:tcW w:w="278" w:type="pct"/>
                  <w:vMerge w:val="restart"/>
                  <w:tcBorders>
                    <w:tl2br w:val="nil"/>
                    <w:tr2bl w:val="nil"/>
                  </w:tcBorders>
                  <w:tcMar>
                    <w:top w:w="0" w:type="dxa"/>
                    <w:left w:w="57" w:type="dxa"/>
                    <w:bottom w:w="0" w:type="dxa"/>
                    <w:right w:w="57" w:type="dxa"/>
                  </w:tcMar>
                  <w:vAlign w:val="center"/>
                </w:tcPr>
                <w:p w14:paraId="319E6075">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5000</w:t>
                  </w:r>
                </w:p>
              </w:tc>
              <w:tc>
                <w:tcPr>
                  <w:tcW w:w="329" w:type="pct"/>
                  <w:tcBorders>
                    <w:tl2br w:val="nil"/>
                    <w:tr2bl w:val="nil"/>
                  </w:tcBorders>
                  <w:tcMar>
                    <w:top w:w="0" w:type="dxa"/>
                    <w:left w:w="57" w:type="dxa"/>
                    <w:bottom w:w="0" w:type="dxa"/>
                    <w:right w:w="57" w:type="dxa"/>
                  </w:tcMar>
                  <w:vAlign w:val="center"/>
                </w:tcPr>
                <w:p w14:paraId="23E74591">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0.048</w:t>
                  </w:r>
                </w:p>
              </w:tc>
              <w:tc>
                <w:tcPr>
                  <w:tcW w:w="222" w:type="pct"/>
                  <w:tcBorders>
                    <w:tl2br w:val="nil"/>
                    <w:tr2bl w:val="nil"/>
                  </w:tcBorders>
                  <w:tcMar>
                    <w:top w:w="0" w:type="dxa"/>
                    <w:left w:w="57" w:type="dxa"/>
                    <w:bottom w:w="0" w:type="dxa"/>
                    <w:right w:w="57" w:type="dxa"/>
                  </w:tcMar>
                  <w:vAlign w:val="center"/>
                </w:tcPr>
                <w:p w14:paraId="7A649614">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0.01</w:t>
                  </w:r>
                </w:p>
              </w:tc>
              <w:tc>
                <w:tcPr>
                  <w:tcW w:w="243" w:type="pct"/>
                  <w:tcBorders>
                    <w:tl2br w:val="nil"/>
                    <w:tr2bl w:val="nil"/>
                  </w:tcBorders>
                  <w:tcMar>
                    <w:top w:w="0" w:type="dxa"/>
                    <w:left w:w="57" w:type="dxa"/>
                    <w:bottom w:w="0" w:type="dxa"/>
                    <w:right w:w="57" w:type="dxa"/>
                  </w:tcMar>
                  <w:vAlign w:val="center"/>
                </w:tcPr>
                <w:p w14:paraId="7FDE6543">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0.038</w:t>
                  </w:r>
                </w:p>
              </w:tc>
              <w:tc>
                <w:tcPr>
                  <w:tcW w:w="263" w:type="pct"/>
                  <w:tcBorders>
                    <w:tl2br w:val="nil"/>
                    <w:tr2bl w:val="nil"/>
                  </w:tcBorders>
                  <w:tcMar>
                    <w:top w:w="0" w:type="dxa"/>
                    <w:left w:w="57" w:type="dxa"/>
                    <w:bottom w:w="0" w:type="dxa"/>
                    <w:right w:w="57" w:type="dxa"/>
                  </w:tcMar>
                  <w:vAlign w:val="center"/>
                </w:tcPr>
                <w:p w14:paraId="11DFC00A">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0.019</w:t>
                  </w:r>
                </w:p>
              </w:tc>
              <w:tc>
                <w:tcPr>
                  <w:tcW w:w="311" w:type="pct"/>
                  <w:tcBorders>
                    <w:tl2br w:val="nil"/>
                    <w:tr2bl w:val="nil"/>
                  </w:tcBorders>
                  <w:tcMar>
                    <w:top w:w="0" w:type="dxa"/>
                    <w:left w:w="57" w:type="dxa"/>
                    <w:bottom w:w="0" w:type="dxa"/>
                    <w:right w:w="57" w:type="dxa"/>
                  </w:tcMar>
                  <w:vAlign w:val="center"/>
                </w:tcPr>
                <w:p w14:paraId="4FD70D7C">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3.8</w:t>
                  </w:r>
                </w:p>
              </w:tc>
              <w:tc>
                <w:tcPr>
                  <w:tcW w:w="417" w:type="pct"/>
                  <w:vMerge w:val="restart"/>
                  <w:tcBorders>
                    <w:tl2br w:val="nil"/>
                    <w:tr2bl w:val="nil"/>
                  </w:tcBorders>
                  <w:tcMar>
                    <w:top w:w="0" w:type="dxa"/>
                    <w:left w:w="57" w:type="dxa"/>
                    <w:bottom w:w="0" w:type="dxa"/>
                    <w:right w:w="57" w:type="dxa"/>
                  </w:tcMar>
                  <w:vAlign w:val="center"/>
                </w:tcPr>
                <w:p w14:paraId="082D1D53">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“干式过滤+</w:t>
                  </w:r>
                  <w:r>
                    <w:rPr>
                      <w:rFonts w:hint="eastAsia" w:ascii="Times New Roman" w:hAnsi="Times New Roman" w:cs="Times New Roman"/>
                      <w:color w:val="000000" w:themeColor="text1"/>
                      <w:highlight w:val="none"/>
                      <w:lang w:eastAsia="zh-CN"/>
                      <w14:textFill>
                        <w14:solidFill>
                          <w14:schemeClr w14:val="tx1"/>
                        </w14:solidFill>
                      </w14:textFill>
                    </w:rPr>
                    <w:t>两级</w:t>
                  </w:r>
                  <w:r>
                    <w:rPr>
                      <w:rFonts w:hint="eastAsia" w:ascii="Times New Roman" w:hAnsi="Times New Roman" w:cs="Times New Roman"/>
                      <w:color w:val="000000" w:themeColor="text1"/>
                      <w:highlight w:val="none"/>
                      <w14:textFill>
                        <w14:solidFill>
                          <w14:schemeClr w14:val="tx1"/>
                        </w14:solidFill>
                      </w14:textFill>
                    </w:rPr>
                    <w:t>活性炭”</w:t>
                  </w:r>
                </w:p>
              </w:tc>
              <w:tc>
                <w:tcPr>
                  <w:tcW w:w="276" w:type="pct"/>
                  <w:tcBorders>
                    <w:tl2br w:val="nil"/>
                    <w:tr2bl w:val="nil"/>
                  </w:tcBorders>
                  <w:tcMar>
                    <w:top w:w="0" w:type="dxa"/>
                    <w:left w:w="57" w:type="dxa"/>
                    <w:bottom w:w="0" w:type="dxa"/>
                    <w:right w:w="57" w:type="dxa"/>
                  </w:tcMar>
                  <w:vAlign w:val="center"/>
                </w:tcPr>
                <w:p w14:paraId="45CAB35F">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18</w:t>
                  </w:r>
                </w:p>
              </w:tc>
              <w:tc>
                <w:tcPr>
                  <w:tcW w:w="351" w:type="pct"/>
                  <w:tcBorders>
                    <w:tl2br w:val="nil"/>
                    <w:tr2bl w:val="nil"/>
                  </w:tcBorders>
                  <w:tcMar>
                    <w:top w:w="0" w:type="dxa"/>
                    <w:left w:w="57" w:type="dxa"/>
                    <w:bottom w:w="0" w:type="dxa"/>
                    <w:right w:w="57" w:type="dxa"/>
                  </w:tcMar>
                  <w:vAlign w:val="center"/>
                </w:tcPr>
                <w:p w14:paraId="0C502286">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是</w:t>
                  </w:r>
                </w:p>
              </w:tc>
              <w:tc>
                <w:tcPr>
                  <w:tcW w:w="263" w:type="pct"/>
                  <w:tcBorders>
                    <w:tl2br w:val="nil"/>
                    <w:tr2bl w:val="nil"/>
                  </w:tcBorders>
                  <w:tcMar>
                    <w:top w:w="0" w:type="dxa"/>
                    <w:left w:w="57" w:type="dxa"/>
                    <w:bottom w:w="0" w:type="dxa"/>
                    <w:right w:w="57" w:type="dxa"/>
                  </w:tcMar>
                  <w:vAlign w:val="center"/>
                </w:tcPr>
                <w:p w14:paraId="79492E71">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0.031</w:t>
                  </w:r>
                </w:p>
              </w:tc>
              <w:tc>
                <w:tcPr>
                  <w:tcW w:w="789" w:type="dxa"/>
                  <w:tcBorders>
                    <w:tl2br w:val="nil"/>
                    <w:tr2bl w:val="nil"/>
                  </w:tcBorders>
                  <w:tcMar>
                    <w:top w:w="0" w:type="dxa"/>
                    <w:left w:w="57" w:type="dxa"/>
                    <w:bottom w:w="0" w:type="dxa"/>
                    <w:right w:w="57" w:type="dxa"/>
                  </w:tcMar>
                  <w:vAlign w:val="center"/>
                </w:tcPr>
                <w:p w14:paraId="078794FF">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0.01</w:t>
                  </w:r>
                  <w:r>
                    <w:rPr>
                      <w:rFonts w:hint="eastAsia" w:ascii="Times New Roman" w:hAnsi="Times New Roman" w:cs="Times New Roman"/>
                      <w:color w:val="000000" w:themeColor="text1"/>
                      <w:highlight w:val="none"/>
                      <w:lang w:val="en-US" w:eastAsia="zh-CN"/>
                      <w14:textFill>
                        <w14:solidFill>
                          <w14:schemeClr w14:val="tx1"/>
                        </w14:solidFill>
                      </w14:textFill>
                    </w:rPr>
                    <w:t>6</w:t>
                  </w:r>
                </w:p>
              </w:tc>
              <w:tc>
                <w:tcPr>
                  <w:tcW w:w="837" w:type="dxa"/>
                  <w:tcBorders>
                    <w:tl2br w:val="nil"/>
                    <w:tr2bl w:val="nil"/>
                  </w:tcBorders>
                  <w:tcMar>
                    <w:top w:w="0" w:type="dxa"/>
                    <w:left w:w="57" w:type="dxa"/>
                    <w:bottom w:w="0" w:type="dxa"/>
                    <w:right w:w="57" w:type="dxa"/>
                  </w:tcMar>
                  <w:vAlign w:val="center"/>
                </w:tcPr>
                <w:p w14:paraId="776BBC7F">
                  <w:pPr>
                    <w:pStyle w:val="40"/>
                    <w:spacing w:before="31"/>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3.2</w:t>
                  </w:r>
                </w:p>
              </w:tc>
              <w:tc>
                <w:tcPr>
                  <w:tcW w:w="322" w:type="pct"/>
                  <w:vMerge w:val="restart"/>
                  <w:tcBorders>
                    <w:tl2br w:val="nil"/>
                    <w:tr2bl w:val="nil"/>
                  </w:tcBorders>
                  <w:tcMar>
                    <w:top w:w="0" w:type="dxa"/>
                    <w:left w:w="57" w:type="dxa"/>
                    <w:bottom w:w="0" w:type="dxa"/>
                    <w:right w:w="57" w:type="dxa"/>
                  </w:tcMar>
                  <w:vAlign w:val="center"/>
                </w:tcPr>
                <w:p w14:paraId="7B2B4760">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2000</w:t>
                  </w:r>
                </w:p>
              </w:tc>
            </w:tr>
            <w:tr w14:paraId="56882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continue"/>
                  <w:tcBorders>
                    <w:tl2br w:val="nil"/>
                    <w:tr2bl w:val="nil"/>
                  </w:tcBorders>
                  <w:vAlign w:val="center"/>
                </w:tcPr>
                <w:p w14:paraId="227730EB">
                  <w:pPr>
                    <w:pStyle w:val="40"/>
                    <w:spacing w:before="31"/>
                    <w:rPr>
                      <w:rFonts w:ascii="Times New Roman" w:hAnsi="Times New Roman" w:cs="Times New Roman"/>
                      <w:color w:val="000000" w:themeColor="text1"/>
                      <w:highlight w:val="none"/>
                      <w14:textFill>
                        <w14:solidFill>
                          <w14:schemeClr w14:val="tx1"/>
                        </w14:solidFill>
                      </w14:textFill>
                    </w:rPr>
                  </w:pPr>
                </w:p>
              </w:tc>
              <w:tc>
                <w:tcPr>
                  <w:tcW w:w="409" w:type="pct"/>
                  <w:vMerge w:val="continue"/>
                  <w:tcBorders>
                    <w:tl2br w:val="nil"/>
                    <w:tr2bl w:val="nil"/>
                  </w:tcBorders>
                  <w:vAlign w:val="center"/>
                </w:tcPr>
                <w:p w14:paraId="519C59DF">
                  <w:pPr>
                    <w:pStyle w:val="40"/>
                    <w:spacing w:before="31"/>
                    <w:rPr>
                      <w:rFonts w:ascii="Times New Roman" w:hAnsi="Times New Roman" w:cs="Times New Roman"/>
                      <w:color w:val="000000" w:themeColor="text1"/>
                      <w:highlight w:val="none"/>
                      <w14:textFill>
                        <w14:solidFill>
                          <w14:schemeClr w14:val="tx1"/>
                        </w14:solidFill>
                      </w14:textFill>
                    </w:rPr>
                  </w:pPr>
                </w:p>
              </w:tc>
              <w:tc>
                <w:tcPr>
                  <w:tcW w:w="460" w:type="pct"/>
                  <w:tcBorders>
                    <w:tl2br w:val="nil"/>
                    <w:tr2bl w:val="nil"/>
                  </w:tcBorders>
                  <w:vAlign w:val="center"/>
                </w:tcPr>
                <w:p w14:paraId="7630AA2F">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颗粒物</w:t>
                  </w:r>
                </w:p>
              </w:tc>
              <w:tc>
                <w:tcPr>
                  <w:tcW w:w="278" w:type="pct"/>
                  <w:vMerge w:val="continue"/>
                  <w:tcBorders>
                    <w:tl2br w:val="nil"/>
                    <w:tr2bl w:val="nil"/>
                  </w:tcBorders>
                  <w:vAlign w:val="center"/>
                </w:tcPr>
                <w:p w14:paraId="43FDB5AD">
                  <w:pPr>
                    <w:pStyle w:val="40"/>
                    <w:spacing w:before="31"/>
                    <w:rPr>
                      <w:rFonts w:ascii="Times New Roman" w:hAnsi="Times New Roman" w:cs="Times New Roman"/>
                      <w:color w:val="000000" w:themeColor="text1"/>
                      <w:highlight w:val="none"/>
                      <w14:textFill>
                        <w14:solidFill>
                          <w14:schemeClr w14:val="tx1"/>
                        </w14:solidFill>
                      </w14:textFill>
                    </w:rPr>
                  </w:pPr>
                </w:p>
              </w:tc>
              <w:tc>
                <w:tcPr>
                  <w:tcW w:w="329" w:type="pct"/>
                  <w:tcBorders>
                    <w:tl2br w:val="nil"/>
                    <w:tr2bl w:val="nil"/>
                  </w:tcBorders>
                  <w:vAlign w:val="center"/>
                </w:tcPr>
                <w:p w14:paraId="772F7733">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0.028</w:t>
                  </w:r>
                </w:p>
              </w:tc>
              <w:tc>
                <w:tcPr>
                  <w:tcW w:w="222" w:type="pct"/>
                  <w:tcBorders>
                    <w:tl2br w:val="nil"/>
                    <w:tr2bl w:val="nil"/>
                  </w:tcBorders>
                  <w:vAlign w:val="center"/>
                </w:tcPr>
                <w:p w14:paraId="72FCD90F">
                  <w:pPr>
                    <w:pStyle w:val="40"/>
                    <w:spacing w:before="31"/>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243" w:type="pct"/>
                  <w:tcBorders>
                    <w:tl2br w:val="nil"/>
                    <w:tr2bl w:val="nil"/>
                  </w:tcBorders>
                  <w:vAlign w:val="center"/>
                </w:tcPr>
                <w:p w14:paraId="69200643">
                  <w:pPr>
                    <w:pStyle w:val="40"/>
                    <w:spacing w:before="31"/>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0.028</w:t>
                  </w:r>
                </w:p>
              </w:tc>
              <w:tc>
                <w:tcPr>
                  <w:tcW w:w="263" w:type="pct"/>
                  <w:tcBorders>
                    <w:tl2br w:val="nil"/>
                    <w:tr2bl w:val="nil"/>
                  </w:tcBorders>
                  <w:vAlign w:val="center"/>
                </w:tcPr>
                <w:p w14:paraId="0C9D3540">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0.014</w:t>
                  </w:r>
                </w:p>
              </w:tc>
              <w:tc>
                <w:tcPr>
                  <w:tcW w:w="311" w:type="pct"/>
                  <w:tcBorders>
                    <w:tl2br w:val="nil"/>
                    <w:tr2bl w:val="nil"/>
                  </w:tcBorders>
                  <w:vAlign w:val="center"/>
                </w:tcPr>
                <w:p w14:paraId="061083DD">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2.8</w:t>
                  </w:r>
                </w:p>
              </w:tc>
              <w:tc>
                <w:tcPr>
                  <w:tcW w:w="417" w:type="pct"/>
                  <w:vMerge w:val="continue"/>
                  <w:tcBorders>
                    <w:tl2br w:val="nil"/>
                    <w:tr2bl w:val="nil"/>
                  </w:tcBorders>
                  <w:vAlign w:val="center"/>
                </w:tcPr>
                <w:p w14:paraId="429F5DD2">
                  <w:pPr>
                    <w:pStyle w:val="40"/>
                    <w:spacing w:before="31"/>
                    <w:rPr>
                      <w:rFonts w:ascii="Times New Roman" w:hAnsi="Times New Roman" w:cs="Times New Roman"/>
                      <w:color w:val="000000" w:themeColor="text1"/>
                      <w:highlight w:val="none"/>
                      <w14:textFill>
                        <w14:solidFill>
                          <w14:schemeClr w14:val="tx1"/>
                        </w14:solidFill>
                      </w14:textFill>
                    </w:rPr>
                  </w:pPr>
                </w:p>
              </w:tc>
              <w:tc>
                <w:tcPr>
                  <w:tcW w:w="276" w:type="pct"/>
                  <w:vMerge w:val="restart"/>
                  <w:tcBorders>
                    <w:tl2br w:val="nil"/>
                    <w:tr2bl w:val="nil"/>
                  </w:tcBorders>
                  <w:vAlign w:val="center"/>
                </w:tcPr>
                <w:p w14:paraId="76DF2564">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351" w:type="pct"/>
                  <w:vMerge w:val="restart"/>
                  <w:tcBorders>
                    <w:tl2br w:val="nil"/>
                    <w:tr2bl w:val="nil"/>
                  </w:tcBorders>
                  <w:vAlign w:val="center"/>
                </w:tcPr>
                <w:p w14:paraId="69AA60F1">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是</w:t>
                  </w:r>
                </w:p>
              </w:tc>
              <w:tc>
                <w:tcPr>
                  <w:tcW w:w="263" w:type="pct"/>
                  <w:tcBorders>
                    <w:tl2br w:val="nil"/>
                    <w:tr2bl w:val="nil"/>
                  </w:tcBorders>
                  <w:vAlign w:val="center"/>
                </w:tcPr>
                <w:p w14:paraId="4855E1E1">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0.028</w:t>
                  </w:r>
                </w:p>
              </w:tc>
              <w:tc>
                <w:tcPr>
                  <w:tcW w:w="283" w:type="pct"/>
                  <w:tcBorders>
                    <w:tl2br w:val="nil"/>
                    <w:tr2bl w:val="nil"/>
                  </w:tcBorders>
                  <w:vAlign w:val="center"/>
                </w:tcPr>
                <w:p w14:paraId="21C756E6">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0.014</w:t>
                  </w:r>
                </w:p>
              </w:tc>
              <w:tc>
                <w:tcPr>
                  <w:tcW w:w="300" w:type="pct"/>
                  <w:tcBorders>
                    <w:tl2br w:val="nil"/>
                    <w:tr2bl w:val="nil"/>
                  </w:tcBorders>
                  <w:vAlign w:val="center"/>
                </w:tcPr>
                <w:p w14:paraId="775D6714">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2.8</w:t>
                  </w:r>
                </w:p>
              </w:tc>
              <w:tc>
                <w:tcPr>
                  <w:tcW w:w="322" w:type="pct"/>
                  <w:vMerge w:val="continue"/>
                  <w:tcBorders>
                    <w:tl2br w:val="nil"/>
                    <w:tr2bl w:val="nil"/>
                  </w:tcBorders>
                  <w:vAlign w:val="center"/>
                </w:tcPr>
                <w:p w14:paraId="55486CF1">
                  <w:pPr>
                    <w:pStyle w:val="40"/>
                    <w:spacing w:before="31"/>
                    <w:rPr>
                      <w:color w:val="000000" w:themeColor="text1"/>
                      <w:highlight w:val="none"/>
                      <w14:textFill>
                        <w14:solidFill>
                          <w14:schemeClr w14:val="tx1"/>
                        </w14:solidFill>
                      </w14:textFill>
                    </w:rPr>
                  </w:pPr>
                </w:p>
              </w:tc>
            </w:tr>
            <w:tr w14:paraId="6CFF1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continue"/>
                  <w:tcBorders>
                    <w:tl2br w:val="nil"/>
                    <w:tr2bl w:val="nil"/>
                  </w:tcBorders>
                  <w:vAlign w:val="center"/>
                </w:tcPr>
                <w:p w14:paraId="40E6637C">
                  <w:pPr>
                    <w:pStyle w:val="40"/>
                    <w:spacing w:before="31"/>
                    <w:rPr>
                      <w:rFonts w:ascii="Times New Roman" w:hAnsi="Times New Roman" w:cs="Times New Roman"/>
                      <w:color w:val="000000" w:themeColor="text1"/>
                      <w:highlight w:val="none"/>
                      <w14:textFill>
                        <w14:solidFill>
                          <w14:schemeClr w14:val="tx1"/>
                        </w14:solidFill>
                      </w14:textFill>
                    </w:rPr>
                  </w:pPr>
                </w:p>
              </w:tc>
              <w:tc>
                <w:tcPr>
                  <w:tcW w:w="409" w:type="pct"/>
                  <w:vMerge w:val="continue"/>
                  <w:tcBorders>
                    <w:tl2br w:val="nil"/>
                    <w:tr2bl w:val="nil"/>
                  </w:tcBorders>
                  <w:vAlign w:val="center"/>
                </w:tcPr>
                <w:p w14:paraId="618366A2">
                  <w:pPr>
                    <w:pStyle w:val="40"/>
                    <w:spacing w:before="31"/>
                    <w:rPr>
                      <w:rFonts w:ascii="Times New Roman" w:hAnsi="Times New Roman" w:cs="Times New Roman"/>
                      <w:color w:val="000000" w:themeColor="text1"/>
                      <w:highlight w:val="none"/>
                      <w14:textFill>
                        <w14:solidFill>
                          <w14:schemeClr w14:val="tx1"/>
                        </w14:solidFill>
                      </w14:textFill>
                    </w:rPr>
                  </w:pPr>
                </w:p>
              </w:tc>
              <w:tc>
                <w:tcPr>
                  <w:tcW w:w="460" w:type="pct"/>
                  <w:tcBorders>
                    <w:tl2br w:val="nil"/>
                    <w:tr2bl w:val="nil"/>
                  </w:tcBorders>
                  <w:vAlign w:val="center"/>
                </w:tcPr>
                <w:p w14:paraId="090545D9">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二氧化硫</w:t>
                  </w:r>
                </w:p>
              </w:tc>
              <w:tc>
                <w:tcPr>
                  <w:tcW w:w="278" w:type="pct"/>
                  <w:vMerge w:val="continue"/>
                  <w:tcBorders>
                    <w:tl2br w:val="nil"/>
                    <w:tr2bl w:val="nil"/>
                  </w:tcBorders>
                  <w:vAlign w:val="center"/>
                </w:tcPr>
                <w:p w14:paraId="2A554603">
                  <w:pPr>
                    <w:pStyle w:val="40"/>
                    <w:spacing w:before="31"/>
                    <w:rPr>
                      <w:rFonts w:ascii="Times New Roman" w:hAnsi="Times New Roman" w:cs="Times New Roman"/>
                      <w:color w:val="000000" w:themeColor="text1"/>
                      <w:highlight w:val="none"/>
                      <w14:textFill>
                        <w14:solidFill>
                          <w14:schemeClr w14:val="tx1"/>
                        </w14:solidFill>
                      </w14:textFill>
                    </w:rPr>
                  </w:pPr>
                </w:p>
              </w:tc>
              <w:tc>
                <w:tcPr>
                  <w:tcW w:w="329" w:type="pct"/>
                  <w:tcBorders>
                    <w:tl2br w:val="nil"/>
                    <w:tr2bl w:val="nil"/>
                  </w:tcBorders>
                  <w:vAlign w:val="center"/>
                </w:tcPr>
                <w:p w14:paraId="246BB310">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0.093</w:t>
                  </w:r>
                </w:p>
              </w:tc>
              <w:tc>
                <w:tcPr>
                  <w:tcW w:w="222" w:type="pct"/>
                  <w:tcBorders>
                    <w:tl2br w:val="nil"/>
                    <w:tr2bl w:val="nil"/>
                  </w:tcBorders>
                  <w:vAlign w:val="center"/>
                </w:tcPr>
                <w:p w14:paraId="52C13BB6">
                  <w:pPr>
                    <w:pStyle w:val="40"/>
                    <w:spacing w:before="31"/>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243" w:type="pct"/>
                  <w:tcBorders>
                    <w:tl2br w:val="nil"/>
                    <w:tr2bl w:val="nil"/>
                  </w:tcBorders>
                  <w:vAlign w:val="center"/>
                </w:tcPr>
                <w:p w14:paraId="5A1C9938">
                  <w:pPr>
                    <w:pStyle w:val="40"/>
                    <w:spacing w:before="31"/>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0.093</w:t>
                  </w:r>
                </w:p>
              </w:tc>
              <w:tc>
                <w:tcPr>
                  <w:tcW w:w="263" w:type="pct"/>
                  <w:tcBorders>
                    <w:tl2br w:val="nil"/>
                    <w:tr2bl w:val="nil"/>
                  </w:tcBorders>
                  <w:vAlign w:val="center"/>
                </w:tcPr>
                <w:p w14:paraId="162EECF6">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0.046</w:t>
                  </w:r>
                </w:p>
              </w:tc>
              <w:tc>
                <w:tcPr>
                  <w:tcW w:w="311" w:type="pct"/>
                  <w:tcBorders>
                    <w:tl2br w:val="nil"/>
                    <w:tr2bl w:val="nil"/>
                  </w:tcBorders>
                  <w:vAlign w:val="center"/>
                </w:tcPr>
                <w:p w14:paraId="21455743">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9.2</w:t>
                  </w:r>
                </w:p>
              </w:tc>
              <w:tc>
                <w:tcPr>
                  <w:tcW w:w="417" w:type="pct"/>
                  <w:vMerge w:val="continue"/>
                  <w:tcBorders>
                    <w:tl2br w:val="nil"/>
                    <w:tr2bl w:val="nil"/>
                  </w:tcBorders>
                  <w:vAlign w:val="center"/>
                </w:tcPr>
                <w:p w14:paraId="7C315A29">
                  <w:pPr>
                    <w:pStyle w:val="40"/>
                    <w:spacing w:before="31"/>
                    <w:rPr>
                      <w:rFonts w:ascii="Times New Roman" w:hAnsi="Times New Roman" w:cs="Times New Roman"/>
                      <w:color w:val="000000" w:themeColor="text1"/>
                      <w:highlight w:val="none"/>
                      <w14:textFill>
                        <w14:solidFill>
                          <w14:schemeClr w14:val="tx1"/>
                        </w14:solidFill>
                      </w14:textFill>
                    </w:rPr>
                  </w:pPr>
                </w:p>
              </w:tc>
              <w:tc>
                <w:tcPr>
                  <w:tcW w:w="276" w:type="pct"/>
                  <w:vMerge w:val="continue"/>
                  <w:tcBorders>
                    <w:tl2br w:val="nil"/>
                    <w:tr2bl w:val="nil"/>
                  </w:tcBorders>
                  <w:vAlign w:val="center"/>
                </w:tcPr>
                <w:p w14:paraId="0C5CD946">
                  <w:pPr>
                    <w:pStyle w:val="40"/>
                    <w:spacing w:before="31"/>
                    <w:rPr>
                      <w:rFonts w:ascii="Times New Roman" w:hAnsi="Times New Roman" w:cs="Times New Roman"/>
                      <w:color w:val="000000" w:themeColor="text1"/>
                      <w:highlight w:val="none"/>
                      <w14:textFill>
                        <w14:solidFill>
                          <w14:schemeClr w14:val="tx1"/>
                        </w14:solidFill>
                      </w14:textFill>
                    </w:rPr>
                  </w:pPr>
                </w:p>
              </w:tc>
              <w:tc>
                <w:tcPr>
                  <w:tcW w:w="351" w:type="pct"/>
                  <w:vMerge w:val="continue"/>
                  <w:tcBorders>
                    <w:tl2br w:val="nil"/>
                    <w:tr2bl w:val="nil"/>
                  </w:tcBorders>
                  <w:vAlign w:val="center"/>
                </w:tcPr>
                <w:p w14:paraId="61080800">
                  <w:pPr>
                    <w:pStyle w:val="40"/>
                    <w:spacing w:before="31"/>
                    <w:rPr>
                      <w:rFonts w:ascii="Times New Roman" w:hAnsi="Times New Roman" w:cs="Times New Roman"/>
                      <w:color w:val="000000" w:themeColor="text1"/>
                      <w:highlight w:val="none"/>
                      <w14:textFill>
                        <w14:solidFill>
                          <w14:schemeClr w14:val="tx1"/>
                        </w14:solidFill>
                      </w14:textFill>
                    </w:rPr>
                  </w:pPr>
                </w:p>
              </w:tc>
              <w:tc>
                <w:tcPr>
                  <w:tcW w:w="263" w:type="pct"/>
                  <w:tcBorders>
                    <w:tl2br w:val="nil"/>
                    <w:tr2bl w:val="nil"/>
                  </w:tcBorders>
                  <w:vAlign w:val="center"/>
                </w:tcPr>
                <w:p w14:paraId="0C27E356">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0.093</w:t>
                  </w:r>
                </w:p>
              </w:tc>
              <w:tc>
                <w:tcPr>
                  <w:tcW w:w="283" w:type="pct"/>
                  <w:tcBorders>
                    <w:tl2br w:val="nil"/>
                    <w:tr2bl w:val="nil"/>
                  </w:tcBorders>
                  <w:vAlign w:val="center"/>
                </w:tcPr>
                <w:p w14:paraId="71490CF7">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0.046</w:t>
                  </w:r>
                </w:p>
              </w:tc>
              <w:tc>
                <w:tcPr>
                  <w:tcW w:w="300" w:type="pct"/>
                  <w:tcBorders>
                    <w:tl2br w:val="nil"/>
                    <w:tr2bl w:val="nil"/>
                  </w:tcBorders>
                  <w:vAlign w:val="center"/>
                </w:tcPr>
                <w:p w14:paraId="1A835ED0">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9.2</w:t>
                  </w:r>
                </w:p>
              </w:tc>
              <w:tc>
                <w:tcPr>
                  <w:tcW w:w="322" w:type="pct"/>
                  <w:vMerge w:val="continue"/>
                  <w:tcBorders>
                    <w:tl2br w:val="nil"/>
                    <w:tr2bl w:val="nil"/>
                  </w:tcBorders>
                  <w:vAlign w:val="center"/>
                </w:tcPr>
                <w:p w14:paraId="3CD90770">
                  <w:pPr>
                    <w:pStyle w:val="40"/>
                    <w:spacing w:before="31"/>
                    <w:rPr>
                      <w:color w:val="000000" w:themeColor="text1"/>
                      <w:highlight w:val="none"/>
                      <w14:textFill>
                        <w14:solidFill>
                          <w14:schemeClr w14:val="tx1"/>
                        </w14:solidFill>
                      </w14:textFill>
                    </w:rPr>
                  </w:pPr>
                </w:p>
              </w:tc>
            </w:tr>
            <w:tr w14:paraId="68ADF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4" w:hRule="atLeast"/>
              </w:trPr>
              <w:tc>
                <w:tcPr>
                  <w:tcW w:w="267" w:type="pct"/>
                  <w:vMerge w:val="continue"/>
                  <w:tcBorders>
                    <w:tl2br w:val="nil"/>
                    <w:tr2bl w:val="nil"/>
                  </w:tcBorders>
                  <w:vAlign w:val="center"/>
                </w:tcPr>
                <w:p w14:paraId="1235203B">
                  <w:pPr>
                    <w:pStyle w:val="40"/>
                    <w:spacing w:before="31"/>
                    <w:rPr>
                      <w:rFonts w:ascii="Times New Roman" w:hAnsi="Times New Roman" w:cs="Times New Roman"/>
                      <w:color w:val="000000" w:themeColor="text1"/>
                      <w:highlight w:val="none"/>
                      <w14:textFill>
                        <w14:solidFill>
                          <w14:schemeClr w14:val="tx1"/>
                        </w14:solidFill>
                      </w14:textFill>
                    </w:rPr>
                  </w:pPr>
                </w:p>
              </w:tc>
              <w:tc>
                <w:tcPr>
                  <w:tcW w:w="409" w:type="pct"/>
                  <w:vMerge w:val="continue"/>
                  <w:tcBorders>
                    <w:tl2br w:val="nil"/>
                    <w:tr2bl w:val="nil"/>
                  </w:tcBorders>
                  <w:vAlign w:val="center"/>
                </w:tcPr>
                <w:p w14:paraId="1B222B5D">
                  <w:pPr>
                    <w:pStyle w:val="40"/>
                    <w:spacing w:before="31"/>
                    <w:rPr>
                      <w:rFonts w:ascii="Times New Roman" w:hAnsi="Times New Roman" w:cs="Times New Roman"/>
                      <w:color w:val="000000" w:themeColor="text1"/>
                      <w:highlight w:val="none"/>
                      <w14:textFill>
                        <w14:solidFill>
                          <w14:schemeClr w14:val="tx1"/>
                        </w14:solidFill>
                      </w14:textFill>
                    </w:rPr>
                  </w:pPr>
                </w:p>
              </w:tc>
              <w:tc>
                <w:tcPr>
                  <w:tcW w:w="460" w:type="pct"/>
                  <w:tcBorders>
                    <w:tl2br w:val="nil"/>
                    <w:tr2bl w:val="nil"/>
                  </w:tcBorders>
                  <w:vAlign w:val="center"/>
                </w:tcPr>
                <w:p w14:paraId="08E63D8B">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氮氧化物</w:t>
                  </w:r>
                </w:p>
              </w:tc>
              <w:tc>
                <w:tcPr>
                  <w:tcW w:w="278" w:type="pct"/>
                  <w:vMerge w:val="continue"/>
                  <w:tcBorders>
                    <w:tl2br w:val="nil"/>
                    <w:tr2bl w:val="nil"/>
                  </w:tcBorders>
                  <w:vAlign w:val="center"/>
                </w:tcPr>
                <w:p w14:paraId="03D3BE2A">
                  <w:pPr>
                    <w:pStyle w:val="40"/>
                    <w:spacing w:before="31"/>
                    <w:rPr>
                      <w:rFonts w:ascii="Times New Roman" w:hAnsi="Times New Roman" w:cs="Times New Roman"/>
                      <w:color w:val="000000" w:themeColor="text1"/>
                      <w:highlight w:val="none"/>
                      <w14:textFill>
                        <w14:solidFill>
                          <w14:schemeClr w14:val="tx1"/>
                        </w14:solidFill>
                      </w14:textFill>
                    </w:rPr>
                  </w:pPr>
                </w:p>
              </w:tc>
              <w:tc>
                <w:tcPr>
                  <w:tcW w:w="329" w:type="pct"/>
                  <w:tcBorders>
                    <w:tl2br w:val="nil"/>
                    <w:tr2bl w:val="nil"/>
                  </w:tcBorders>
                  <w:vAlign w:val="center"/>
                </w:tcPr>
                <w:p w14:paraId="6D32FB5D">
                  <w:pPr>
                    <w:pStyle w:val="40"/>
                    <w:spacing w:before="31"/>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0.277</w:t>
                  </w:r>
                </w:p>
              </w:tc>
              <w:tc>
                <w:tcPr>
                  <w:tcW w:w="222" w:type="pct"/>
                  <w:tcBorders>
                    <w:tl2br w:val="nil"/>
                    <w:tr2bl w:val="nil"/>
                  </w:tcBorders>
                  <w:vAlign w:val="center"/>
                </w:tcPr>
                <w:p w14:paraId="57E22222">
                  <w:pPr>
                    <w:pStyle w:val="40"/>
                    <w:spacing w:before="31"/>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243" w:type="pct"/>
                  <w:tcBorders>
                    <w:tl2br w:val="nil"/>
                    <w:tr2bl w:val="nil"/>
                  </w:tcBorders>
                  <w:vAlign w:val="center"/>
                </w:tcPr>
                <w:p w14:paraId="19445C3A">
                  <w:pPr>
                    <w:pStyle w:val="40"/>
                    <w:spacing w:before="31"/>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0.277</w:t>
                  </w:r>
                </w:p>
              </w:tc>
              <w:tc>
                <w:tcPr>
                  <w:tcW w:w="263" w:type="pct"/>
                  <w:tcBorders>
                    <w:tl2br w:val="nil"/>
                    <w:tr2bl w:val="nil"/>
                  </w:tcBorders>
                  <w:vAlign w:val="center"/>
                </w:tcPr>
                <w:p w14:paraId="6E92E9CB">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0.139</w:t>
                  </w:r>
                </w:p>
              </w:tc>
              <w:tc>
                <w:tcPr>
                  <w:tcW w:w="311" w:type="pct"/>
                  <w:tcBorders>
                    <w:tl2br w:val="nil"/>
                    <w:tr2bl w:val="nil"/>
                  </w:tcBorders>
                  <w:vAlign w:val="center"/>
                </w:tcPr>
                <w:p w14:paraId="152010F4">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27.8</w:t>
                  </w:r>
                </w:p>
              </w:tc>
              <w:tc>
                <w:tcPr>
                  <w:tcW w:w="417" w:type="pct"/>
                  <w:vMerge w:val="continue"/>
                  <w:tcBorders>
                    <w:tl2br w:val="nil"/>
                    <w:tr2bl w:val="nil"/>
                  </w:tcBorders>
                  <w:vAlign w:val="center"/>
                </w:tcPr>
                <w:p w14:paraId="0A370C07">
                  <w:pPr>
                    <w:pStyle w:val="40"/>
                    <w:spacing w:before="31"/>
                    <w:rPr>
                      <w:rFonts w:ascii="Times New Roman" w:hAnsi="Times New Roman" w:cs="Times New Roman"/>
                      <w:color w:val="000000" w:themeColor="text1"/>
                      <w:highlight w:val="none"/>
                      <w14:textFill>
                        <w14:solidFill>
                          <w14:schemeClr w14:val="tx1"/>
                        </w14:solidFill>
                      </w14:textFill>
                    </w:rPr>
                  </w:pPr>
                </w:p>
              </w:tc>
              <w:tc>
                <w:tcPr>
                  <w:tcW w:w="276" w:type="pct"/>
                  <w:vMerge w:val="continue"/>
                  <w:tcBorders>
                    <w:tl2br w:val="nil"/>
                    <w:tr2bl w:val="nil"/>
                  </w:tcBorders>
                  <w:vAlign w:val="center"/>
                </w:tcPr>
                <w:p w14:paraId="7CD52289">
                  <w:pPr>
                    <w:pStyle w:val="40"/>
                    <w:spacing w:before="31"/>
                    <w:rPr>
                      <w:rFonts w:ascii="Times New Roman" w:hAnsi="Times New Roman" w:cs="Times New Roman"/>
                      <w:color w:val="000000" w:themeColor="text1"/>
                      <w:highlight w:val="none"/>
                      <w14:textFill>
                        <w14:solidFill>
                          <w14:schemeClr w14:val="tx1"/>
                        </w14:solidFill>
                      </w14:textFill>
                    </w:rPr>
                  </w:pPr>
                </w:p>
              </w:tc>
              <w:tc>
                <w:tcPr>
                  <w:tcW w:w="351" w:type="pct"/>
                  <w:vMerge w:val="continue"/>
                  <w:tcBorders>
                    <w:tl2br w:val="nil"/>
                    <w:tr2bl w:val="nil"/>
                  </w:tcBorders>
                  <w:vAlign w:val="center"/>
                </w:tcPr>
                <w:p w14:paraId="179AD23D">
                  <w:pPr>
                    <w:pStyle w:val="40"/>
                    <w:spacing w:before="31"/>
                    <w:rPr>
                      <w:rFonts w:ascii="Times New Roman" w:hAnsi="Times New Roman" w:cs="Times New Roman"/>
                      <w:color w:val="000000" w:themeColor="text1"/>
                      <w:highlight w:val="none"/>
                      <w14:textFill>
                        <w14:solidFill>
                          <w14:schemeClr w14:val="tx1"/>
                        </w14:solidFill>
                      </w14:textFill>
                    </w:rPr>
                  </w:pPr>
                </w:p>
              </w:tc>
              <w:tc>
                <w:tcPr>
                  <w:tcW w:w="263" w:type="pct"/>
                  <w:tcBorders>
                    <w:tl2br w:val="nil"/>
                    <w:tr2bl w:val="nil"/>
                  </w:tcBorders>
                  <w:vAlign w:val="center"/>
                </w:tcPr>
                <w:p w14:paraId="29803A5D">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0.277</w:t>
                  </w:r>
                </w:p>
              </w:tc>
              <w:tc>
                <w:tcPr>
                  <w:tcW w:w="283" w:type="pct"/>
                  <w:tcBorders>
                    <w:tl2br w:val="nil"/>
                    <w:tr2bl w:val="nil"/>
                  </w:tcBorders>
                  <w:vAlign w:val="center"/>
                </w:tcPr>
                <w:p w14:paraId="374BD136">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0.139</w:t>
                  </w:r>
                </w:p>
              </w:tc>
              <w:tc>
                <w:tcPr>
                  <w:tcW w:w="300" w:type="pct"/>
                  <w:tcBorders>
                    <w:tl2br w:val="nil"/>
                    <w:tr2bl w:val="nil"/>
                  </w:tcBorders>
                  <w:vAlign w:val="center"/>
                </w:tcPr>
                <w:p w14:paraId="72A5CCC5">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27.8</w:t>
                  </w:r>
                </w:p>
              </w:tc>
              <w:tc>
                <w:tcPr>
                  <w:tcW w:w="322" w:type="pct"/>
                  <w:vMerge w:val="continue"/>
                  <w:tcBorders>
                    <w:tl2br w:val="nil"/>
                    <w:tr2bl w:val="nil"/>
                  </w:tcBorders>
                  <w:vAlign w:val="center"/>
                </w:tcPr>
                <w:p w14:paraId="5DAD9EB2">
                  <w:pPr>
                    <w:pStyle w:val="40"/>
                    <w:spacing w:before="31"/>
                    <w:rPr>
                      <w:color w:val="000000" w:themeColor="text1"/>
                      <w:highlight w:val="none"/>
                      <w14:textFill>
                        <w14:solidFill>
                          <w14:schemeClr w14:val="tx1"/>
                        </w14:solidFill>
                      </w14:textFill>
                    </w:rPr>
                  </w:pPr>
                </w:p>
              </w:tc>
            </w:tr>
          </w:tbl>
          <w:p w14:paraId="7550CBC5">
            <w:pPr>
              <w:pStyle w:val="8"/>
              <w:keepNext w:val="0"/>
              <w:keepLines w:val="0"/>
              <w:spacing w:before="156" w:after="0"/>
              <w:rPr>
                <w:rFonts w:eastAsia="宋体" w:cs="Times New Roman"/>
                <w:color w:val="000000" w:themeColor="text1"/>
                <w:sz w:val="24"/>
                <w:highlight w:val="none"/>
                <w14:textFill>
                  <w14:solidFill>
                    <w14:schemeClr w14:val="tx1"/>
                  </w14:solidFill>
                </w14:textFill>
              </w:rPr>
            </w:pPr>
            <w:bookmarkStart w:id="13" w:name="_Ref20382"/>
            <w:r>
              <w:rPr>
                <w:rFonts w:eastAsia="宋体" w:cs="Times New Roman"/>
                <w:color w:val="000000" w:themeColor="text1"/>
                <w:sz w:val="24"/>
                <w:highlight w:val="none"/>
                <w14:textFill>
                  <w14:solidFill>
                    <w14:schemeClr w14:val="tx1"/>
                  </w14:solidFill>
                </w14:textFill>
              </w:rPr>
              <w:t>表4-</w:t>
            </w:r>
            <w:r>
              <w:rPr>
                <w:rFonts w:eastAsia="宋体" w:cs="Times New Roman"/>
                <w:color w:val="000000" w:themeColor="text1"/>
                <w:sz w:val="24"/>
                <w:highlight w:val="none"/>
                <w14:textFill>
                  <w14:solidFill>
                    <w14:schemeClr w14:val="tx1"/>
                  </w14:solidFill>
                </w14:textFill>
              </w:rPr>
              <w:fldChar w:fldCharType="begin"/>
            </w:r>
            <w:r>
              <w:rPr>
                <w:rFonts w:eastAsia="宋体" w:cs="Times New Roman"/>
                <w:color w:val="000000" w:themeColor="text1"/>
                <w:sz w:val="24"/>
                <w:highlight w:val="none"/>
                <w14:textFill>
                  <w14:solidFill>
                    <w14:schemeClr w14:val="tx1"/>
                  </w14:solidFill>
                </w14:textFill>
              </w:rPr>
              <w:instrText xml:space="preserve"> SEQ 表4- \* ARABIC </w:instrText>
            </w:r>
            <w:r>
              <w:rPr>
                <w:rFonts w:eastAsia="宋体" w:cs="Times New Roman"/>
                <w:color w:val="000000" w:themeColor="text1"/>
                <w:sz w:val="24"/>
                <w:highlight w:val="none"/>
                <w14:textFill>
                  <w14:solidFill>
                    <w14:schemeClr w14:val="tx1"/>
                  </w14:solidFill>
                </w14:textFill>
              </w:rPr>
              <w:fldChar w:fldCharType="separate"/>
            </w:r>
            <w:r>
              <w:rPr>
                <w:rFonts w:eastAsia="宋体" w:cs="Times New Roman"/>
                <w:color w:val="000000" w:themeColor="text1"/>
                <w:sz w:val="24"/>
                <w:highlight w:val="none"/>
                <w14:textFill>
                  <w14:solidFill>
                    <w14:schemeClr w14:val="tx1"/>
                  </w14:solidFill>
                </w14:textFill>
              </w:rPr>
              <w:t>2</w:t>
            </w:r>
            <w:r>
              <w:rPr>
                <w:rFonts w:eastAsia="宋体" w:cs="Times New Roman"/>
                <w:color w:val="000000" w:themeColor="text1"/>
                <w:sz w:val="24"/>
                <w:highlight w:val="none"/>
                <w14:textFill>
                  <w14:solidFill>
                    <w14:schemeClr w14:val="tx1"/>
                  </w14:solidFill>
                </w14:textFill>
              </w:rPr>
              <w:fldChar w:fldCharType="end"/>
            </w:r>
            <w:bookmarkEnd w:id="13"/>
            <w:r>
              <w:rPr>
                <w:rFonts w:hint="eastAsia" w:eastAsia="宋体" w:cs="Times New Roman"/>
                <w:color w:val="000000" w:themeColor="text1"/>
                <w:sz w:val="24"/>
                <w:highlight w:val="none"/>
                <w14:textFill>
                  <w14:solidFill>
                    <w14:schemeClr w14:val="tx1"/>
                  </w14:solidFill>
                </w14:textFill>
              </w:rPr>
              <w:t>项目排放口基本情况一览表</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17"/>
              <w:gridCol w:w="1145"/>
              <w:gridCol w:w="1991"/>
              <w:gridCol w:w="1337"/>
              <w:gridCol w:w="1172"/>
              <w:gridCol w:w="914"/>
              <w:gridCol w:w="886"/>
              <w:gridCol w:w="983"/>
              <w:gridCol w:w="1240"/>
              <w:gridCol w:w="3073"/>
            </w:tblGrid>
            <w:tr w14:paraId="7B500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17" w:type="dxa"/>
                  <w:vMerge w:val="restart"/>
                  <w:tcBorders>
                    <w:tl2br w:val="nil"/>
                    <w:tr2bl w:val="nil"/>
                  </w:tcBorders>
                  <w:tcMar>
                    <w:top w:w="0" w:type="dxa"/>
                    <w:left w:w="57" w:type="dxa"/>
                    <w:bottom w:w="0" w:type="dxa"/>
                    <w:right w:w="57" w:type="dxa"/>
                  </w:tcMar>
                  <w:vAlign w:val="center"/>
                </w:tcPr>
                <w:p w14:paraId="37A647EB">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排气筒</w:t>
                  </w:r>
                </w:p>
              </w:tc>
              <w:tc>
                <w:tcPr>
                  <w:tcW w:w="1145" w:type="dxa"/>
                  <w:vMerge w:val="restart"/>
                  <w:tcBorders>
                    <w:tl2br w:val="nil"/>
                    <w:tr2bl w:val="nil"/>
                  </w:tcBorders>
                  <w:tcMar>
                    <w:top w:w="0" w:type="dxa"/>
                    <w:left w:w="57" w:type="dxa"/>
                    <w:bottom w:w="0" w:type="dxa"/>
                    <w:right w:w="57" w:type="dxa"/>
                  </w:tcMar>
                  <w:vAlign w:val="center"/>
                </w:tcPr>
                <w:p w14:paraId="0121C5E3">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污染源</w:t>
                  </w:r>
                </w:p>
              </w:tc>
              <w:tc>
                <w:tcPr>
                  <w:tcW w:w="1991" w:type="dxa"/>
                  <w:vMerge w:val="restart"/>
                  <w:tcBorders>
                    <w:tl2br w:val="nil"/>
                    <w:tr2bl w:val="nil"/>
                  </w:tcBorders>
                  <w:tcMar>
                    <w:top w:w="0" w:type="dxa"/>
                    <w:left w:w="57" w:type="dxa"/>
                    <w:bottom w:w="0" w:type="dxa"/>
                    <w:right w:w="57" w:type="dxa"/>
                  </w:tcMar>
                  <w:vAlign w:val="center"/>
                </w:tcPr>
                <w:p w14:paraId="07B13BD5">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污染物</w:t>
                  </w:r>
                </w:p>
              </w:tc>
              <w:tc>
                <w:tcPr>
                  <w:tcW w:w="2509" w:type="dxa"/>
                  <w:gridSpan w:val="2"/>
                  <w:tcBorders>
                    <w:tl2br w:val="nil"/>
                    <w:tr2bl w:val="nil"/>
                  </w:tcBorders>
                  <w:tcMar>
                    <w:top w:w="0" w:type="dxa"/>
                    <w:left w:w="57" w:type="dxa"/>
                    <w:bottom w:w="0" w:type="dxa"/>
                    <w:right w:w="57" w:type="dxa"/>
                  </w:tcMar>
                  <w:vAlign w:val="center"/>
                </w:tcPr>
                <w:p w14:paraId="35510DDB">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地理坐标</w:t>
                  </w:r>
                </w:p>
              </w:tc>
              <w:tc>
                <w:tcPr>
                  <w:tcW w:w="914" w:type="dxa"/>
                  <w:vMerge w:val="restart"/>
                  <w:tcBorders>
                    <w:tl2br w:val="nil"/>
                    <w:tr2bl w:val="nil"/>
                  </w:tcBorders>
                  <w:tcMar>
                    <w:top w:w="0" w:type="dxa"/>
                    <w:left w:w="57" w:type="dxa"/>
                    <w:bottom w:w="0" w:type="dxa"/>
                    <w:right w:w="57" w:type="dxa"/>
                  </w:tcMar>
                  <w:vAlign w:val="center"/>
                </w:tcPr>
                <w:p w14:paraId="018D67BC">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排气筒高度m</w:t>
                  </w:r>
                </w:p>
              </w:tc>
              <w:tc>
                <w:tcPr>
                  <w:tcW w:w="886" w:type="dxa"/>
                  <w:vMerge w:val="restart"/>
                  <w:tcBorders>
                    <w:tl2br w:val="nil"/>
                    <w:tr2bl w:val="nil"/>
                  </w:tcBorders>
                  <w:tcMar>
                    <w:top w:w="0" w:type="dxa"/>
                    <w:left w:w="57" w:type="dxa"/>
                    <w:bottom w:w="0" w:type="dxa"/>
                    <w:right w:w="57" w:type="dxa"/>
                  </w:tcMar>
                  <w:vAlign w:val="center"/>
                </w:tcPr>
                <w:p w14:paraId="28D158F9">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排气筒内径m</w:t>
                  </w:r>
                </w:p>
              </w:tc>
              <w:tc>
                <w:tcPr>
                  <w:tcW w:w="983" w:type="dxa"/>
                  <w:vMerge w:val="restart"/>
                  <w:tcBorders>
                    <w:tl2br w:val="nil"/>
                    <w:tr2bl w:val="nil"/>
                  </w:tcBorders>
                  <w:tcMar>
                    <w:top w:w="0" w:type="dxa"/>
                    <w:left w:w="57" w:type="dxa"/>
                    <w:bottom w:w="0" w:type="dxa"/>
                    <w:right w:w="57" w:type="dxa"/>
                  </w:tcMar>
                  <w:vAlign w:val="center"/>
                </w:tcPr>
                <w:p w14:paraId="024F1719">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温度（℃）</w:t>
                  </w:r>
                </w:p>
              </w:tc>
              <w:tc>
                <w:tcPr>
                  <w:tcW w:w="1240" w:type="dxa"/>
                  <w:vMerge w:val="restart"/>
                  <w:tcBorders>
                    <w:tl2br w:val="nil"/>
                    <w:tr2bl w:val="nil"/>
                  </w:tcBorders>
                  <w:tcMar>
                    <w:top w:w="0" w:type="dxa"/>
                    <w:left w:w="57" w:type="dxa"/>
                    <w:bottom w:w="0" w:type="dxa"/>
                    <w:right w:w="57" w:type="dxa"/>
                  </w:tcMar>
                  <w:vAlign w:val="center"/>
                </w:tcPr>
                <w:p w14:paraId="2F35DE1E">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类型</w:t>
                  </w:r>
                </w:p>
              </w:tc>
              <w:tc>
                <w:tcPr>
                  <w:tcW w:w="3073" w:type="dxa"/>
                  <w:vMerge w:val="restart"/>
                  <w:tcBorders>
                    <w:tl2br w:val="nil"/>
                    <w:tr2bl w:val="nil"/>
                  </w:tcBorders>
                  <w:tcMar>
                    <w:top w:w="0" w:type="dxa"/>
                    <w:left w:w="57" w:type="dxa"/>
                    <w:bottom w:w="0" w:type="dxa"/>
                    <w:right w:w="57" w:type="dxa"/>
                  </w:tcMar>
                  <w:vAlign w:val="center"/>
                </w:tcPr>
                <w:p w14:paraId="4096FC0B">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排放标准</w:t>
                  </w:r>
                </w:p>
              </w:tc>
            </w:tr>
            <w:tr w14:paraId="6A58C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917" w:type="dxa"/>
                  <w:vMerge w:val="continue"/>
                  <w:tcBorders>
                    <w:tl2br w:val="nil"/>
                    <w:tr2bl w:val="nil"/>
                  </w:tcBorders>
                  <w:tcMar>
                    <w:top w:w="0" w:type="dxa"/>
                    <w:left w:w="57" w:type="dxa"/>
                    <w:bottom w:w="0" w:type="dxa"/>
                    <w:right w:w="57" w:type="dxa"/>
                  </w:tcMar>
                </w:tcPr>
                <w:p w14:paraId="4802AC80">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145" w:type="dxa"/>
                  <w:vMerge w:val="continue"/>
                  <w:tcBorders>
                    <w:tl2br w:val="nil"/>
                    <w:tr2bl w:val="nil"/>
                  </w:tcBorders>
                  <w:tcMar>
                    <w:top w:w="0" w:type="dxa"/>
                    <w:left w:w="57" w:type="dxa"/>
                    <w:bottom w:w="0" w:type="dxa"/>
                    <w:right w:w="57" w:type="dxa"/>
                  </w:tcMar>
                </w:tcPr>
                <w:p w14:paraId="29A0926D">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991" w:type="dxa"/>
                  <w:vMerge w:val="continue"/>
                  <w:tcBorders>
                    <w:tl2br w:val="nil"/>
                    <w:tr2bl w:val="nil"/>
                  </w:tcBorders>
                  <w:tcMar>
                    <w:top w:w="0" w:type="dxa"/>
                    <w:left w:w="57" w:type="dxa"/>
                    <w:bottom w:w="0" w:type="dxa"/>
                    <w:right w:w="57" w:type="dxa"/>
                  </w:tcMar>
                </w:tcPr>
                <w:p w14:paraId="101E36F8">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337" w:type="dxa"/>
                  <w:tcBorders>
                    <w:tl2br w:val="nil"/>
                    <w:tr2bl w:val="nil"/>
                  </w:tcBorders>
                  <w:tcMar>
                    <w:top w:w="0" w:type="dxa"/>
                    <w:left w:w="57" w:type="dxa"/>
                    <w:bottom w:w="0" w:type="dxa"/>
                    <w:right w:w="57" w:type="dxa"/>
                  </w:tcMar>
                  <w:vAlign w:val="center"/>
                </w:tcPr>
                <w:p w14:paraId="722F73A0">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经度</w:t>
                  </w:r>
                </w:p>
              </w:tc>
              <w:tc>
                <w:tcPr>
                  <w:tcW w:w="1172" w:type="dxa"/>
                  <w:tcBorders>
                    <w:tl2br w:val="nil"/>
                    <w:tr2bl w:val="nil"/>
                  </w:tcBorders>
                  <w:tcMar>
                    <w:top w:w="0" w:type="dxa"/>
                    <w:left w:w="57" w:type="dxa"/>
                    <w:bottom w:w="0" w:type="dxa"/>
                    <w:right w:w="57" w:type="dxa"/>
                  </w:tcMar>
                  <w:vAlign w:val="center"/>
                </w:tcPr>
                <w:p w14:paraId="2173AF6C">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纬度</w:t>
                  </w:r>
                </w:p>
              </w:tc>
              <w:tc>
                <w:tcPr>
                  <w:tcW w:w="914" w:type="dxa"/>
                  <w:vMerge w:val="continue"/>
                  <w:tcBorders>
                    <w:tl2br w:val="nil"/>
                    <w:tr2bl w:val="nil"/>
                  </w:tcBorders>
                  <w:tcMar>
                    <w:top w:w="0" w:type="dxa"/>
                    <w:left w:w="57" w:type="dxa"/>
                    <w:bottom w:w="0" w:type="dxa"/>
                    <w:right w:w="57" w:type="dxa"/>
                  </w:tcMar>
                </w:tcPr>
                <w:p w14:paraId="6E1D8418">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886" w:type="dxa"/>
                  <w:vMerge w:val="continue"/>
                  <w:tcBorders>
                    <w:tl2br w:val="nil"/>
                    <w:tr2bl w:val="nil"/>
                  </w:tcBorders>
                  <w:tcMar>
                    <w:top w:w="0" w:type="dxa"/>
                    <w:left w:w="57" w:type="dxa"/>
                    <w:bottom w:w="0" w:type="dxa"/>
                    <w:right w:w="57" w:type="dxa"/>
                  </w:tcMar>
                </w:tcPr>
                <w:p w14:paraId="7D617FF4">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983" w:type="dxa"/>
                  <w:vMerge w:val="continue"/>
                  <w:tcBorders>
                    <w:tl2br w:val="nil"/>
                    <w:tr2bl w:val="nil"/>
                  </w:tcBorders>
                  <w:tcMar>
                    <w:top w:w="0" w:type="dxa"/>
                    <w:left w:w="57" w:type="dxa"/>
                    <w:bottom w:w="0" w:type="dxa"/>
                    <w:right w:w="57" w:type="dxa"/>
                  </w:tcMar>
                </w:tcPr>
                <w:p w14:paraId="2076C1EF">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240" w:type="dxa"/>
                  <w:vMerge w:val="continue"/>
                  <w:tcBorders>
                    <w:tl2br w:val="nil"/>
                    <w:tr2bl w:val="nil"/>
                  </w:tcBorders>
                  <w:tcMar>
                    <w:top w:w="0" w:type="dxa"/>
                    <w:left w:w="57" w:type="dxa"/>
                    <w:bottom w:w="0" w:type="dxa"/>
                    <w:right w:w="57" w:type="dxa"/>
                  </w:tcMar>
                </w:tcPr>
                <w:p w14:paraId="06FA9EE8">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3073" w:type="dxa"/>
                  <w:vMerge w:val="continue"/>
                  <w:tcBorders>
                    <w:tl2br w:val="nil"/>
                    <w:tr2bl w:val="nil"/>
                  </w:tcBorders>
                  <w:tcMar>
                    <w:top w:w="0" w:type="dxa"/>
                    <w:left w:w="57" w:type="dxa"/>
                    <w:bottom w:w="0" w:type="dxa"/>
                    <w:right w:w="57" w:type="dxa"/>
                  </w:tcMar>
                </w:tcPr>
                <w:p w14:paraId="57AEDCC8">
                  <w:pPr>
                    <w:pStyle w:val="40"/>
                    <w:spacing w:before="31"/>
                    <w:rPr>
                      <w:rFonts w:ascii="Times New Roman" w:hAnsi="Times New Roman" w:eastAsia="宋体" w:cs="Times New Roman"/>
                      <w:color w:val="000000" w:themeColor="text1"/>
                      <w:highlight w:val="none"/>
                      <w14:textFill>
                        <w14:solidFill>
                          <w14:schemeClr w14:val="tx1"/>
                        </w14:solidFill>
                      </w14:textFill>
                    </w:rPr>
                  </w:pPr>
                </w:p>
              </w:tc>
            </w:tr>
            <w:tr w14:paraId="006F5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7" w:type="dxa"/>
                  <w:tcBorders>
                    <w:tl2br w:val="nil"/>
                    <w:tr2bl w:val="nil"/>
                  </w:tcBorders>
                  <w:tcMar>
                    <w:top w:w="0" w:type="dxa"/>
                    <w:left w:w="57" w:type="dxa"/>
                    <w:bottom w:w="0" w:type="dxa"/>
                    <w:right w:w="57" w:type="dxa"/>
                  </w:tcMar>
                  <w:vAlign w:val="center"/>
                </w:tcPr>
                <w:p w14:paraId="6C03839D">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DA00</w:t>
                  </w:r>
                  <w:r>
                    <w:rPr>
                      <w:rFonts w:hint="eastAsia" w:ascii="Times New Roman" w:hAnsi="Times New Roman" w:eastAsia="宋体" w:cs="Times New Roman"/>
                      <w:color w:val="000000" w:themeColor="text1"/>
                      <w:highlight w:val="none"/>
                      <w14:textFill>
                        <w14:solidFill>
                          <w14:schemeClr w14:val="tx1"/>
                        </w14:solidFill>
                      </w14:textFill>
                    </w:rPr>
                    <w:t>1</w:t>
                  </w:r>
                </w:p>
              </w:tc>
              <w:tc>
                <w:tcPr>
                  <w:tcW w:w="1145" w:type="dxa"/>
                  <w:tcBorders>
                    <w:tl2br w:val="nil"/>
                    <w:tr2bl w:val="nil"/>
                  </w:tcBorders>
                  <w:tcMar>
                    <w:top w:w="0" w:type="dxa"/>
                    <w:left w:w="57" w:type="dxa"/>
                    <w:bottom w:w="0" w:type="dxa"/>
                    <w:right w:w="57" w:type="dxa"/>
                  </w:tcMar>
                  <w:vAlign w:val="center"/>
                </w:tcPr>
                <w:p w14:paraId="5DDD0DC0">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抛丸废气</w:t>
                  </w:r>
                </w:p>
              </w:tc>
              <w:tc>
                <w:tcPr>
                  <w:tcW w:w="1991" w:type="dxa"/>
                  <w:tcBorders>
                    <w:tl2br w:val="nil"/>
                    <w:tr2bl w:val="nil"/>
                  </w:tcBorders>
                  <w:tcMar>
                    <w:top w:w="0" w:type="dxa"/>
                    <w:left w:w="57" w:type="dxa"/>
                    <w:bottom w:w="0" w:type="dxa"/>
                    <w:right w:w="57" w:type="dxa"/>
                  </w:tcMar>
                  <w:vAlign w:val="center"/>
                </w:tcPr>
                <w:p w14:paraId="0465785D">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w:t>
                  </w:r>
                </w:p>
              </w:tc>
              <w:tc>
                <w:tcPr>
                  <w:tcW w:w="1337" w:type="dxa"/>
                  <w:tcBorders>
                    <w:tl2br w:val="nil"/>
                    <w:tr2bl w:val="nil"/>
                  </w:tcBorders>
                  <w:tcMar>
                    <w:top w:w="0" w:type="dxa"/>
                    <w:left w:w="57" w:type="dxa"/>
                    <w:bottom w:w="0" w:type="dxa"/>
                    <w:right w:w="57" w:type="dxa"/>
                  </w:tcMar>
                  <w:vAlign w:val="center"/>
                </w:tcPr>
                <w:p w14:paraId="43C733B1">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106.316586</w:t>
                  </w:r>
                </w:p>
              </w:tc>
              <w:tc>
                <w:tcPr>
                  <w:tcW w:w="1172" w:type="dxa"/>
                  <w:tcBorders>
                    <w:tl2br w:val="nil"/>
                    <w:tr2bl w:val="nil"/>
                  </w:tcBorders>
                  <w:tcMar>
                    <w:top w:w="0" w:type="dxa"/>
                    <w:left w:w="57" w:type="dxa"/>
                    <w:bottom w:w="0" w:type="dxa"/>
                    <w:right w:w="57" w:type="dxa"/>
                  </w:tcMar>
                  <w:vAlign w:val="center"/>
                </w:tcPr>
                <w:p w14:paraId="4C16F81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29.333349</w:t>
                  </w:r>
                </w:p>
              </w:tc>
              <w:tc>
                <w:tcPr>
                  <w:tcW w:w="914" w:type="dxa"/>
                  <w:tcBorders>
                    <w:tl2br w:val="nil"/>
                    <w:tr2bl w:val="nil"/>
                  </w:tcBorders>
                  <w:tcMar>
                    <w:top w:w="0" w:type="dxa"/>
                    <w:left w:w="57" w:type="dxa"/>
                    <w:bottom w:w="0" w:type="dxa"/>
                    <w:right w:w="57" w:type="dxa"/>
                  </w:tcMar>
                  <w:vAlign w:val="center"/>
                </w:tcPr>
                <w:p w14:paraId="2837C486">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15</w:t>
                  </w:r>
                </w:p>
              </w:tc>
              <w:tc>
                <w:tcPr>
                  <w:tcW w:w="886" w:type="dxa"/>
                  <w:tcBorders>
                    <w:tl2br w:val="nil"/>
                    <w:tr2bl w:val="nil"/>
                  </w:tcBorders>
                  <w:tcMar>
                    <w:top w:w="0" w:type="dxa"/>
                    <w:left w:w="57" w:type="dxa"/>
                    <w:bottom w:w="0" w:type="dxa"/>
                    <w:right w:w="57" w:type="dxa"/>
                  </w:tcMar>
                  <w:vAlign w:val="center"/>
                </w:tcPr>
                <w:p w14:paraId="7E7B176D">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0.4</w:t>
                  </w:r>
                </w:p>
              </w:tc>
              <w:tc>
                <w:tcPr>
                  <w:tcW w:w="983" w:type="dxa"/>
                  <w:tcBorders>
                    <w:tl2br w:val="nil"/>
                    <w:tr2bl w:val="nil"/>
                  </w:tcBorders>
                  <w:tcMar>
                    <w:top w:w="0" w:type="dxa"/>
                    <w:left w:w="57" w:type="dxa"/>
                    <w:bottom w:w="0" w:type="dxa"/>
                    <w:right w:w="57" w:type="dxa"/>
                  </w:tcMar>
                  <w:vAlign w:val="center"/>
                </w:tcPr>
                <w:p w14:paraId="533EAD21">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25</w:t>
                  </w:r>
                </w:p>
              </w:tc>
              <w:tc>
                <w:tcPr>
                  <w:tcW w:w="1240" w:type="dxa"/>
                  <w:tcBorders>
                    <w:tl2br w:val="nil"/>
                    <w:tr2bl w:val="nil"/>
                  </w:tcBorders>
                  <w:tcMar>
                    <w:top w:w="0" w:type="dxa"/>
                    <w:left w:w="57" w:type="dxa"/>
                    <w:bottom w:w="0" w:type="dxa"/>
                    <w:right w:w="57" w:type="dxa"/>
                  </w:tcMar>
                  <w:vAlign w:val="center"/>
                </w:tcPr>
                <w:p w14:paraId="2684A0A2">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一般排放口</w:t>
                  </w:r>
                </w:p>
              </w:tc>
              <w:tc>
                <w:tcPr>
                  <w:tcW w:w="3073" w:type="dxa"/>
                  <w:tcBorders>
                    <w:tl2br w:val="nil"/>
                    <w:tr2bl w:val="nil"/>
                  </w:tcBorders>
                  <w:tcMar>
                    <w:top w:w="0" w:type="dxa"/>
                    <w:left w:w="57" w:type="dxa"/>
                    <w:bottom w:w="0" w:type="dxa"/>
                    <w:right w:w="57" w:type="dxa"/>
                  </w:tcMar>
                  <w:vAlign w:val="center"/>
                </w:tcPr>
                <w:p w14:paraId="491331EE">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r w14:paraId="52797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7" w:type="dxa"/>
                  <w:tcBorders>
                    <w:tl2br w:val="nil"/>
                    <w:tr2bl w:val="nil"/>
                  </w:tcBorders>
                  <w:tcMar>
                    <w:top w:w="0" w:type="dxa"/>
                    <w:left w:w="57" w:type="dxa"/>
                    <w:bottom w:w="0" w:type="dxa"/>
                    <w:right w:w="57" w:type="dxa"/>
                  </w:tcMar>
                  <w:vAlign w:val="center"/>
                </w:tcPr>
                <w:p w14:paraId="4994886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DA00</w:t>
                  </w:r>
                  <w:r>
                    <w:rPr>
                      <w:rFonts w:hint="eastAsia" w:ascii="Times New Roman" w:hAnsi="Times New Roman" w:eastAsia="宋体" w:cs="Times New Roman"/>
                      <w:color w:val="000000" w:themeColor="text1"/>
                      <w:highlight w:val="none"/>
                      <w14:textFill>
                        <w14:solidFill>
                          <w14:schemeClr w14:val="tx1"/>
                        </w14:solidFill>
                      </w14:textFill>
                    </w:rPr>
                    <w:t>2</w:t>
                  </w:r>
                </w:p>
              </w:tc>
              <w:tc>
                <w:tcPr>
                  <w:tcW w:w="1145" w:type="dxa"/>
                  <w:tcBorders>
                    <w:tl2br w:val="nil"/>
                    <w:tr2bl w:val="nil"/>
                  </w:tcBorders>
                  <w:tcMar>
                    <w:top w:w="0" w:type="dxa"/>
                    <w:left w:w="57" w:type="dxa"/>
                    <w:bottom w:w="0" w:type="dxa"/>
                    <w:right w:w="57" w:type="dxa"/>
                  </w:tcMar>
                  <w:vAlign w:val="center"/>
                </w:tcPr>
                <w:p w14:paraId="62410F1D">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喷粉废气</w:t>
                  </w:r>
                </w:p>
              </w:tc>
              <w:tc>
                <w:tcPr>
                  <w:tcW w:w="1991" w:type="dxa"/>
                  <w:tcBorders>
                    <w:tl2br w:val="nil"/>
                    <w:tr2bl w:val="nil"/>
                  </w:tcBorders>
                  <w:tcMar>
                    <w:top w:w="0" w:type="dxa"/>
                    <w:left w:w="57" w:type="dxa"/>
                    <w:bottom w:w="0" w:type="dxa"/>
                    <w:right w:w="57" w:type="dxa"/>
                  </w:tcMar>
                  <w:vAlign w:val="center"/>
                </w:tcPr>
                <w:p w14:paraId="74EDA5F8">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w:t>
                  </w:r>
                </w:p>
              </w:tc>
              <w:tc>
                <w:tcPr>
                  <w:tcW w:w="1337" w:type="dxa"/>
                  <w:tcBorders>
                    <w:tl2br w:val="nil"/>
                    <w:tr2bl w:val="nil"/>
                  </w:tcBorders>
                  <w:tcMar>
                    <w:top w:w="0" w:type="dxa"/>
                    <w:left w:w="57" w:type="dxa"/>
                    <w:bottom w:w="0" w:type="dxa"/>
                    <w:right w:w="57" w:type="dxa"/>
                  </w:tcMar>
                  <w:vAlign w:val="center"/>
                </w:tcPr>
                <w:p w14:paraId="5C05248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106.316414</w:t>
                  </w:r>
                </w:p>
              </w:tc>
              <w:tc>
                <w:tcPr>
                  <w:tcW w:w="1172" w:type="dxa"/>
                  <w:tcBorders>
                    <w:tl2br w:val="nil"/>
                    <w:tr2bl w:val="nil"/>
                  </w:tcBorders>
                  <w:tcMar>
                    <w:top w:w="0" w:type="dxa"/>
                    <w:left w:w="57" w:type="dxa"/>
                    <w:bottom w:w="0" w:type="dxa"/>
                    <w:right w:w="57" w:type="dxa"/>
                  </w:tcMar>
                  <w:vAlign w:val="center"/>
                </w:tcPr>
                <w:p w14:paraId="4C569486">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29.333340</w:t>
                  </w:r>
                </w:p>
              </w:tc>
              <w:tc>
                <w:tcPr>
                  <w:tcW w:w="914" w:type="dxa"/>
                  <w:tcBorders>
                    <w:tl2br w:val="nil"/>
                    <w:tr2bl w:val="nil"/>
                  </w:tcBorders>
                  <w:tcMar>
                    <w:top w:w="0" w:type="dxa"/>
                    <w:left w:w="57" w:type="dxa"/>
                    <w:bottom w:w="0" w:type="dxa"/>
                    <w:right w:w="57" w:type="dxa"/>
                  </w:tcMar>
                  <w:vAlign w:val="center"/>
                </w:tcPr>
                <w:p w14:paraId="308CB7D7">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15</w:t>
                  </w:r>
                </w:p>
              </w:tc>
              <w:tc>
                <w:tcPr>
                  <w:tcW w:w="886" w:type="dxa"/>
                  <w:tcBorders>
                    <w:tl2br w:val="nil"/>
                    <w:tr2bl w:val="nil"/>
                  </w:tcBorders>
                  <w:tcMar>
                    <w:top w:w="0" w:type="dxa"/>
                    <w:left w:w="57" w:type="dxa"/>
                    <w:bottom w:w="0" w:type="dxa"/>
                    <w:right w:w="57" w:type="dxa"/>
                  </w:tcMar>
                  <w:vAlign w:val="center"/>
                </w:tcPr>
                <w:p w14:paraId="217580CF">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0.5</w:t>
                  </w:r>
                </w:p>
              </w:tc>
              <w:tc>
                <w:tcPr>
                  <w:tcW w:w="983" w:type="dxa"/>
                  <w:tcBorders>
                    <w:tl2br w:val="nil"/>
                    <w:tr2bl w:val="nil"/>
                  </w:tcBorders>
                  <w:tcMar>
                    <w:top w:w="0" w:type="dxa"/>
                    <w:left w:w="57" w:type="dxa"/>
                    <w:bottom w:w="0" w:type="dxa"/>
                    <w:right w:w="57" w:type="dxa"/>
                  </w:tcMar>
                  <w:vAlign w:val="center"/>
                </w:tcPr>
                <w:p w14:paraId="33DB468A">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25</w:t>
                  </w:r>
                </w:p>
              </w:tc>
              <w:tc>
                <w:tcPr>
                  <w:tcW w:w="1240" w:type="dxa"/>
                  <w:tcBorders>
                    <w:tl2br w:val="nil"/>
                    <w:tr2bl w:val="nil"/>
                  </w:tcBorders>
                  <w:tcMar>
                    <w:top w:w="0" w:type="dxa"/>
                    <w:left w:w="57" w:type="dxa"/>
                    <w:bottom w:w="0" w:type="dxa"/>
                    <w:right w:w="57" w:type="dxa"/>
                  </w:tcMar>
                  <w:vAlign w:val="center"/>
                </w:tcPr>
                <w:p w14:paraId="7E2DDE97">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一般排放口</w:t>
                  </w:r>
                </w:p>
              </w:tc>
              <w:tc>
                <w:tcPr>
                  <w:tcW w:w="3073" w:type="dxa"/>
                  <w:tcBorders>
                    <w:tl2br w:val="nil"/>
                    <w:tr2bl w:val="nil"/>
                  </w:tcBorders>
                  <w:tcMar>
                    <w:top w:w="0" w:type="dxa"/>
                    <w:left w:w="57" w:type="dxa"/>
                    <w:bottom w:w="0" w:type="dxa"/>
                    <w:right w:w="57" w:type="dxa"/>
                  </w:tcMar>
                  <w:vAlign w:val="center"/>
                </w:tcPr>
                <w:p w14:paraId="40C14B7B">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r w14:paraId="7AF95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98" w:hRule="atLeast"/>
              </w:trPr>
              <w:tc>
                <w:tcPr>
                  <w:tcW w:w="917" w:type="dxa"/>
                  <w:vMerge w:val="restart"/>
                  <w:tcBorders>
                    <w:tl2br w:val="nil"/>
                    <w:tr2bl w:val="nil"/>
                  </w:tcBorders>
                  <w:tcMar>
                    <w:top w:w="0" w:type="dxa"/>
                    <w:left w:w="57" w:type="dxa"/>
                    <w:bottom w:w="0" w:type="dxa"/>
                    <w:right w:w="57" w:type="dxa"/>
                  </w:tcMar>
                  <w:vAlign w:val="center"/>
                </w:tcPr>
                <w:p w14:paraId="187C91F2">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DA00</w:t>
                  </w:r>
                  <w:r>
                    <w:rPr>
                      <w:rFonts w:hint="eastAsia" w:ascii="Times New Roman" w:hAnsi="Times New Roman" w:eastAsia="宋体" w:cs="Times New Roman"/>
                      <w:color w:val="000000" w:themeColor="text1"/>
                      <w:highlight w:val="none"/>
                      <w14:textFill>
                        <w14:solidFill>
                          <w14:schemeClr w14:val="tx1"/>
                        </w14:solidFill>
                      </w14:textFill>
                    </w:rPr>
                    <w:t>3</w:t>
                  </w:r>
                </w:p>
              </w:tc>
              <w:tc>
                <w:tcPr>
                  <w:tcW w:w="1145" w:type="dxa"/>
                  <w:vMerge w:val="restart"/>
                  <w:tcBorders>
                    <w:tl2br w:val="nil"/>
                    <w:tr2bl w:val="nil"/>
                  </w:tcBorders>
                  <w:tcMar>
                    <w:top w:w="0" w:type="dxa"/>
                    <w:left w:w="57" w:type="dxa"/>
                    <w:bottom w:w="0" w:type="dxa"/>
                    <w:right w:w="57" w:type="dxa"/>
                  </w:tcMar>
                  <w:vAlign w:val="center"/>
                </w:tcPr>
                <w:p w14:paraId="7DF7A6A2">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固化废气</w:t>
                  </w:r>
                </w:p>
              </w:tc>
              <w:tc>
                <w:tcPr>
                  <w:tcW w:w="1991" w:type="dxa"/>
                  <w:tcBorders>
                    <w:tl2br w:val="nil"/>
                    <w:tr2bl w:val="nil"/>
                  </w:tcBorders>
                  <w:tcMar>
                    <w:top w:w="0" w:type="dxa"/>
                    <w:left w:w="57" w:type="dxa"/>
                    <w:bottom w:w="0" w:type="dxa"/>
                    <w:right w:w="57" w:type="dxa"/>
                  </w:tcMar>
                  <w:vAlign w:val="center"/>
                </w:tcPr>
                <w:p w14:paraId="20C09E1F">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非甲烷总烃</w:t>
                  </w:r>
                </w:p>
              </w:tc>
              <w:tc>
                <w:tcPr>
                  <w:tcW w:w="1337" w:type="dxa"/>
                  <w:vMerge w:val="restart"/>
                  <w:tcBorders>
                    <w:tl2br w:val="nil"/>
                    <w:tr2bl w:val="nil"/>
                  </w:tcBorders>
                  <w:tcMar>
                    <w:top w:w="0" w:type="dxa"/>
                    <w:left w:w="57" w:type="dxa"/>
                    <w:bottom w:w="0" w:type="dxa"/>
                    <w:right w:w="57" w:type="dxa"/>
                  </w:tcMar>
                  <w:vAlign w:val="center"/>
                </w:tcPr>
                <w:p w14:paraId="187EDC1D">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106.316511</w:t>
                  </w:r>
                </w:p>
              </w:tc>
              <w:tc>
                <w:tcPr>
                  <w:tcW w:w="1172" w:type="dxa"/>
                  <w:vMerge w:val="restart"/>
                  <w:tcBorders>
                    <w:tl2br w:val="nil"/>
                    <w:tr2bl w:val="nil"/>
                  </w:tcBorders>
                  <w:tcMar>
                    <w:top w:w="0" w:type="dxa"/>
                    <w:left w:w="57" w:type="dxa"/>
                    <w:bottom w:w="0" w:type="dxa"/>
                    <w:right w:w="57" w:type="dxa"/>
                  </w:tcMar>
                  <w:vAlign w:val="center"/>
                </w:tcPr>
                <w:p w14:paraId="55CEF7A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29.333348</w:t>
                  </w:r>
                </w:p>
              </w:tc>
              <w:tc>
                <w:tcPr>
                  <w:tcW w:w="914" w:type="dxa"/>
                  <w:vMerge w:val="restart"/>
                  <w:tcBorders>
                    <w:tl2br w:val="nil"/>
                    <w:tr2bl w:val="nil"/>
                  </w:tcBorders>
                  <w:tcMar>
                    <w:top w:w="0" w:type="dxa"/>
                    <w:left w:w="57" w:type="dxa"/>
                    <w:bottom w:w="0" w:type="dxa"/>
                    <w:right w:w="57" w:type="dxa"/>
                  </w:tcMar>
                  <w:vAlign w:val="center"/>
                </w:tcPr>
                <w:p w14:paraId="7FFEFD68">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15</w:t>
                  </w:r>
                </w:p>
              </w:tc>
              <w:tc>
                <w:tcPr>
                  <w:tcW w:w="886" w:type="dxa"/>
                  <w:vMerge w:val="restart"/>
                  <w:tcBorders>
                    <w:tl2br w:val="nil"/>
                    <w:tr2bl w:val="nil"/>
                  </w:tcBorders>
                  <w:tcMar>
                    <w:top w:w="0" w:type="dxa"/>
                    <w:left w:w="57" w:type="dxa"/>
                    <w:bottom w:w="0" w:type="dxa"/>
                    <w:right w:w="57" w:type="dxa"/>
                  </w:tcMar>
                  <w:vAlign w:val="center"/>
                </w:tcPr>
                <w:p w14:paraId="744C6CC6">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0.4</w:t>
                  </w:r>
                </w:p>
              </w:tc>
              <w:tc>
                <w:tcPr>
                  <w:tcW w:w="983" w:type="dxa"/>
                  <w:vMerge w:val="restart"/>
                  <w:tcBorders>
                    <w:tl2br w:val="nil"/>
                    <w:tr2bl w:val="nil"/>
                  </w:tcBorders>
                  <w:tcMar>
                    <w:top w:w="0" w:type="dxa"/>
                    <w:left w:w="57" w:type="dxa"/>
                    <w:bottom w:w="0" w:type="dxa"/>
                    <w:right w:w="57" w:type="dxa"/>
                  </w:tcMar>
                  <w:vAlign w:val="center"/>
                </w:tcPr>
                <w:p w14:paraId="32F5DAA5">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25</w:t>
                  </w:r>
                </w:p>
              </w:tc>
              <w:tc>
                <w:tcPr>
                  <w:tcW w:w="1240" w:type="dxa"/>
                  <w:vMerge w:val="restart"/>
                  <w:tcBorders>
                    <w:tl2br w:val="nil"/>
                    <w:tr2bl w:val="nil"/>
                  </w:tcBorders>
                  <w:tcMar>
                    <w:top w:w="0" w:type="dxa"/>
                    <w:left w:w="57" w:type="dxa"/>
                    <w:bottom w:w="0" w:type="dxa"/>
                    <w:right w:w="57" w:type="dxa"/>
                  </w:tcMar>
                  <w:vAlign w:val="center"/>
                </w:tcPr>
                <w:p w14:paraId="1CD1C961">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一般排放口</w:t>
                  </w:r>
                </w:p>
              </w:tc>
              <w:tc>
                <w:tcPr>
                  <w:tcW w:w="3073" w:type="dxa"/>
                  <w:tcBorders>
                    <w:tl2br w:val="nil"/>
                    <w:tr2bl w:val="nil"/>
                  </w:tcBorders>
                  <w:tcMar>
                    <w:top w:w="0" w:type="dxa"/>
                    <w:left w:w="57" w:type="dxa"/>
                    <w:bottom w:w="0" w:type="dxa"/>
                    <w:right w:w="57" w:type="dxa"/>
                  </w:tcMar>
                  <w:vAlign w:val="center"/>
                </w:tcPr>
                <w:p w14:paraId="3727551F">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《摩托车及汽车配件制造表面涂装大气污染物排放标准》（DB50/660-2016）</w:t>
                  </w:r>
                </w:p>
              </w:tc>
            </w:tr>
            <w:tr w14:paraId="33EC0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917" w:type="dxa"/>
                  <w:vMerge w:val="continue"/>
                  <w:tcBorders>
                    <w:tl2br w:val="nil"/>
                    <w:tr2bl w:val="nil"/>
                  </w:tcBorders>
                  <w:tcMar>
                    <w:top w:w="0" w:type="dxa"/>
                    <w:left w:w="57" w:type="dxa"/>
                    <w:bottom w:w="0" w:type="dxa"/>
                    <w:right w:w="57" w:type="dxa"/>
                  </w:tcMar>
                  <w:vAlign w:val="center"/>
                </w:tcPr>
                <w:p w14:paraId="4AF1623D">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145" w:type="dxa"/>
                  <w:vMerge w:val="continue"/>
                  <w:tcBorders>
                    <w:tl2br w:val="nil"/>
                    <w:tr2bl w:val="nil"/>
                  </w:tcBorders>
                  <w:tcMar>
                    <w:top w:w="0" w:type="dxa"/>
                    <w:left w:w="57" w:type="dxa"/>
                    <w:bottom w:w="0" w:type="dxa"/>
                    <w:right w:w="57" w:type="dxa"/>
                  </w:tcMar>
                  <w:vAlign w:val="center"/>
                </w:tcPr>
                <w:p w14:paraId="2952A0B1">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991" w:type="dxa"/>
                  <w:tcBorders>
                    <w:tl2br w:val="nil"/>
                    <w:tr2bl w:val="nil"/>
                  </w:tcBorders>
                  <w:tcMar>
                    <w:top w:w="0" w:type="dxa"/>
                    <w:left w:w="57" w:type="dxa"/>
                    <w:bottom w:w="0" w:type="dxa"/>
                    <w:right w:w="57" w:type="dxa"/>
                  </w:tcMar>
                  <w:vAlign w:val="center"/>
                </w:tcPr>
                <w:p w14:paraId="61EB7AAB">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颗粒物、二氧化硫、氮氧化物</w:t>
                  </w:r>
                </w:p>
              </w:tc>
              <w:tc>
                <w:tcPr>
                  <w:tcW w:w="1337" w:type="dxa"/>
                  <w:vMerge w:val="continue"/>
                  <w:tcBorders>
                    <w:tl2br w:val="nil"/>
                    <w:tr2bl w:val="nil"/>
                  </w:tcBorders>
                  <w:tcMar>
                    <w:top w:w="0" w:type="dxa"/>
                    <w:left w:w="57" w:type="dxa"/>
                    <w:bottom w:w="0" w:type="dxa"/>
                    <w:right w:w="57" w:type="dxa"/>
                  </w:tcMar>
                  <w:vAlign w:val="center"/>
                </w:tcPr>
                <w:p w14:paraId="21CDE031">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172" w:type="dxa"/>
                  <w:vMerge w:val="continue"/>
                  <w:tcBorders>
                    <w:tl2br w:val="nil"/>
                    <w:tr2bl w:val="nil"/>
                  </w:tcBorders>
                  <w:tcMar>
                    <w:top w:w="0" w:type="dxa"/>
                    <w:left w:w="57" w:type="dxa"/>
                    <w:bottom w:w="0" w:type="dxa"/>
                    <w:right w:w="57" w:type="dxa"/>
                  </w:tcMar>
                  <w:vAlign w:val="center"/>
                </w:tcPr>
                <w:p w14:paraId="721E8B1E">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914" w:type="dxa"/>
                  <w:vMerge w:val="continue"/>
                  <w:tcBorders>
                    <w:tl2br w:val="nil"/>
                    <w:tr2bl w:val="nil"/>
                  </w:tcBorders>
                  <w:tcMar>
                    <w:top w:w="0" w:type="dxa"/>
                    <w:left w:w="57" w:type="dxa"/>
                    <w:bottom w:w="0" w:type="dxa"/>
                    <w:right w:w="57" w:type="dxa"/>
                  </w:tcMar>
                  <w:vAlign w:val="center"/>
                </w:tcPr>
                <w:p w14:paraId="18CBFD81">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886" w:type="dxa"/>
                  <w:vMerge w:val="continue"/>
                  <w:tcBorders>
                    <w:tl2br w:val="nil"/>
                    <w:tr2bl w:val="nil"/>
                  </w:tcBorders>
                  <w:tcMar>
                    <w:top w:w="0" w:type="dxa"/>
                    <w:left w:w="57" w:type="dxa"/>
                    <w:bottom w:w="0" w:type="dxa"/>
                    <w:right w:w="57" w:type="dxa"/>
                  </w:tcMar>
                  <w:vAlign w:val="center"/>
                </w:tcPr>
                <w:p w14:paraId="64C8FE3A">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983" w:type="dxa"/>
                  <w:vMerge w:val="continue"/>
                  <w:tcBorders>
                    <w:tl2br w:val="nil"/>
                    <w:tr2bl w:val="nil"/>
                  </w:tcBorders>
                  <w:tcMar>
                    <w:top w:w="0" w:type="dxa"/>
                    <w:left w:w="57" w:type="dxa"/>
                    <w:bottom w:w="0" w:type="dxa"/>
                    <w:right w:w="57" w:type="dxa"/>
                  </w:tcMar>
                  <w:vAlign w:val="center"/>
                </w:tcPr>
                <w:p w14:paraId="0DCDD209">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240" w:type="dxa"/>
                  <w:vMerge w:val="continue"/>
                  <w:tcBorders>
                    <w:tl2br w:val="nil"/>
                    <w:tr2bl w:val="nil"/>
                  </w:tcBorders>
                  <w:tcMar>
                    <w:top w:w="0" w:type="dxa"/>
                    <w:left w:w="57" w:type="dxa"/>
                    <w:bottom w:w="0" w:type="dxa"/>
                    <w:right w:w="57" w:type="dxa"/>
                  </w:tcMar>
                  <w:vAlign w:val="center"/>
                </w:tcPr>
                <w:p w14:paraId="2BFF6A61">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3073" w:type="dxa"/>
                  <w:tcBorders>
                    <w:tl2br w:val="nil"/>
                    <w:tr2bl w:val="nil"/>
                  </w:tcBorders>
                  <w:tcMar>
                    <w:top w:w="0" w:type="dxa"/>
                    <w:left w:w="57" w:type="dxa"/>
                    <w:bottom w:w="0" w:type="dxa"/>
                    <w:right w:w="57" w:type="dxa"/>
                  </w:tcMar>
                  <w:vAlign w:val="center"/>
                </w:tcPr>
                <w:p w14:paraId="00A0CD2E">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bl>
          <w:p w14:paraId="01763A76">
            <w:pPr>
              <w:pStyle w:val="43"/>
              <w:ind w:firstLine="0" w:firstLineChars="0"/>
              <w:rPr>
                <w:color w:val="000000" w:themeColor="text1"/>
                <w:highlight w:val="none"/>
                <w14:textFill>
                  <w14:solidFill>
                    <w14:schemeClr w14:val="tx1"/>
                  </w14:solidFill>
                </w14:textFill>
              </w:rPr>
            </w:pPr>
          </w:p>
        </w:tc>
      </w:tr>
    </w:tbl>
    <w:p w14:paraId="2BA73D78">
      <w:pPr>
        <w:pStyle w:val="24"/>
        <w:rPr>
          <w:color w:val="000000" w:themeColor="text1"/>
          <w:highlight w:val="none"/>
          <w14:textFill>
            <w14:solidFill>
              <w14:schemeClr w14:val="tx1"/>
            </w14:solidFill>
          </w14:textFill>
        </w:rPr>
        <w:sectPr>
          <w:pgSz w:w="16838" w:h="11906" w:orient="landscape"/>
          <w:pgMar w:top="1514" w:right="1440" w:bottom="1344" w:left="1440" w:header="851" w:footer="992" w:gutter="0"/>
          <w:pgNumType w:fmt="numberInDash"/>
          <w:cols w:space="0" w:num="1"/>
          <w:docGrid w:type="lines" w:linePitch="312" w:charSpace="0"/>
        </w:sectPr>
      </w:pPr>
    </w:p>
    <w:tbl>
      <w:tblPr>
        <w:tblStyle w:val="26"/>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0"/>
        <w:gridCol w:w="8569"/>
      </w:tblGrid>
      <w:tr w14:paraId="3D2E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173" w:hRule="atLeast"/>
          <w:jc w:val="center"/>
        </w:trPr>
        <w:tc>
          <w:tcPr>
            <w:tcW w:w="322" w:type="pct"/>
            <w:tcMar>
              <w:left w:w="28" w:type="dxa"/>
              <w:right w:w="28" w:type="dxa"/>
            </w:tcMar>
            <w:vAlign w:val="center"/>
          </w:tcPr>
          <w:p w14:paraId="49EDE315">
            <w:pPr>
              <w:pStyle w:val="48"/>
              <w:spacing w:before="93" w:after="93"/>
              <w:rPr>
                <w:rFonts w:cs="宋体"/>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运营期环境影响和保护措施</w:t>
            </w:r>
          </w:p>
        </w:tc>
        <w:tc>
          <w:tcPr>
            <w:tcW w:w="4677" w:type="pct"/>
            <w:vAlign w:val="center"/>
          </w:tcPr>
          <w:p w14:paraId="462D8933">
            <w:pPr>
              <w:spacing w:line="360" w:lineRule="auto"/>
              <w:ind w:firstLine="482" w:firstLineChars="200"/>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1）源强核算过程简述：</w:t>
            </w:r>
          </w:p>
          <w:p w14:paraId="5BF54AEF">
            <w:pPr>
              <w:spacing w:line="360" w:lineRule="auto"/>
              <w:ind w:firstLine="482"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（1）抛丸废气（G1）</w:t>
            </w:r>
            <w:r>
              <w:rPr>
                <w:rFonts w:hint="eastAsia" w:ascii="Times New Roman" w:hAnsi="Times New Roman" w:eastAsia="宋体" w:cs="宋体"/>
                <w:color w:val="000000" w:themeColor="text1"/>
                <w:sz w:val="24"/>
                <w:highlight w:val="none"/>
                <w14:textFill>
                  <w14:solidFill>
                    <w14:schemeClr w14:val="tx1"/>
                  </w14:solidFill>
                </w14:textFill>
              </w:rPr>
              <w:t>：</w:t>
            </w:r>
          </w:p>
          <w:p w14:paraId="6C4891C2">
            <w:pPr>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项目使用1台抛丸机对冲焊件进行预处置，</w:t>
            </w:r>
            <w:r>
              <w:rPr>
                <w:rFonts w:hint="eastAsia" w:ascii="Times New Roman" w:hAnsi="Times New Roman" w:eastAsia="宋体" w:cs="宋体"/>
                <w:color w:val="000000" w:themeColor="text1"/>
                <w:sz w:val="24"/>
                <w:highlight w:val="none"/>
                <w:lang w:eastAsia="zh-CN"/>
                <w14:textFill>
                  <w14:solidFill>
                    <w14:schemeClr w14:val="tx1"/>
                  </w14:solidFill>
                </w14:textFill>
              </w:rPr>
              <w:t>除去</w:t>
            </w:r>
            <w:r>
              <w:rPr>
                <w:rFonts w:hint="eastAsia" w:ascii="Times New Roman" w:hAnsi="Times New Roman" w:eastAsia="宋体" w:cs="宋体"/>
                <w:color w:val="000000" w:themeColor="text1"/>
                <w:sz w:val="24"/>
                <w:highlight w:val="none"/>
                <w14:textFill>
                  <w14:solidFill>
                    <w14:schemeClr w14:val="tx1"/>
                  </w14:solidFill>
                </w14:textFill>
              </w:rPr>
              <w:t>工件表面杂质、提高工件表面光滑度，产生抛丸废气，主要污染物为颗粒物。项目需抛丸处理工件共计20万件/a，钢圈毛坯平均单重约</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3</w:t>
            </w:r>
            <w:r>
              <w:rPr>
                <w:rFonts w:hint="eastAsia" w:ascii="Times New Roman" w:hAnsi="Times New Roman" w:eastAsia="宋体" w:cs="宋体"/>
                <w:color w:val="000000" w:themeColor="text1"/>
                <w:sz w:val="24"/>
                <w:highlight w:val="none"/>
                <w14:textFill>
                  <w14:solidFill>
                    <w14:schemeClr w14:val="tx1"/>
                  </w14:solidFill>
                </w14:textFill>
              </w:rPr>
              <w:t>kg/件，抛丸工件重量约</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6</w:t>
            </w:r>
            <w:r>
              <w:rPr>
                <w:rFonts w:hint="eastAsia" w:ascii="Times New Roman" w:hAnsi="Times New Roman" w:eastAsia="宋体" w:cs="宋体"/>
                <w:color w:val="000000" w:themeColor="text1"/>
                <w:sz w:val="24"/>
                <w:highlight w:val="none"/>
                <w14:textFill>
                  <w14:solidFill>
                    <w14:schemeClr w14:val="tx1"/>
                  </w14:solidFill>
                </w14:textFill>
              </w:rPr>
              <w:t>00t/a。根据设备产能匹配性分析，年工作时间</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1667</w:t>
            </w:r>
            <w:r>
              <w:rPr>
                <w:rFonts w:hint="eastAsia" w:ascii="Times New Roman" w:hAnsi="Times New Roman" w:eastAsia="宋体" w:cs="宋体"/>
                <w:color w:val="000000" w:themeColor="text1"/>
                <w:sz w:val="24"/>
                <w:highlight w:val="none"/>
                <w14:textFill>
                  <w14:solidFill>
                    <w14:schemeClr w14:val="tx1"/>
                  </w14:solidFill>
                </w14:textFill>
              </w:rPr>
              <w:t>h/a。污染物产生源强计算如下表所示。</w:t>
            </w:r>
          </w:p>
          <w:p w14:paraId="370C9EA3">
            <w:pPr>
              <w:pStyle w:val="44"/>
              <w:spacing w:beforeLines="0" w:line="360" w:lineRule="auto"/>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表4-</w:t>
            </w:r>
            <w:r>
              <w:rPr>
                <w:rFonts w:hint="eastAsia" w:ascii="Times New Roman" w:hAnsi="Times New Roman" w:eastAsia="宋体"/>
                <w:color w:val="000000" w:themeColor="text1"/>
                <w:sz w:val="24"/>
                <w:highlight w:val="none"/>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 xml:space="preserve">  项目抛丸废气源强计算表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70"/>
              <w:gridCol w:w="607"/>
              <w:gridCol w:w="633"/>
              <w:gridCol w:w="740"/>
              <w:gridCol w:w="928"/>
              <w:gridCol w:w="818"/>
              <w:gridCol w:w="3954"/>
            </w:tblGrid>
            <w:tr w14:paraId="21728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55" w:type="pct"/>
                  <w:tcBorders>
                    <w:tl2br w:val="nil"/>
                    <w:tr2bl w:val="nil"/>
                  </w:tcBorders>
                  <w:vAlign w:val="center"/>
                </w:tcPr>
                <w:p w14:paraId="7A2EA110">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编号</w:t>
                  </w:r>
                </w:p>
              </w:tc>
              <w:tc>
                <w:tcPr>
                  <w:tcW w:w="359" w:type="pct"/>
                  <w:tcBorders>
                    <w:tl2br w:val="nil"/>
                    <w:tr2bl w:val="nil"/>
                  </w:tcBorders>
                  <w:vAlign w:val="center"/>
                </w:tcPr>
                <w:p w14:paraId="69E5D873">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污染源</w:t>
                  </w:r>
                </w:p>
              </w:tc>
              <w:tc>
                <w:tcPr>
                  <w:tcW w:w="374" w:type="pct"/>
                  <w:tcBorders>
                    <w:tl2br w:val="nil"/>
                    <w:tr2bl w:val="nil"/>
                  </w:tcBorders>
                  <w:vAlign w:val="center"/>
                </w:tcPr>
                <w:p w14:paraId="31AD9483">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污染物</w:t>
                  </w:r>
                </w:p>
              </w:tc>
              <w:tc>
                <w:tcPr>
                  <w:tcW w:w="438" w:type="pct"/>
                  <w:tcBorders>
                    <w:tl2br w:val="nil"/>
                    <w:tr2bl w:val="nil"/>
                  </w:tcBorders>
                  <w:vAlign w:val="center"/>
                </w:tcPr>
                <w:p w14:paraId="6B272C2C">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产污系数</w:t>
                  </w:r>
                </w:p>
              </w:tc>
              <w:tc>
                <w:tcPr>
                  <w:tcW w:w="549" w:type="pct"/>
                  <w:tcBorders>
                    <w:tl2br w:val="nil"/>
                    <w:tr2bl w:val="nil"/>
                  </w:tcBorders>
                  <w:vAlign w:val="center"/>
                </w:tcPr>
                <w:p w14:paraId="58D671DE">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加工量</w:t>
                  </w:r>
                  <w:r>
                    <w:rPr>
                      <w:rFonts w:ascii="Times New Roman" w:hAnsi="Times New Roman" w:eastAsia="宋体" w:cs="Times New Roman"/>
                      <w:b/>
                      <w:bCs/>
                      <w:color w:val="000000" w:themeColor="text1"/>
                      <w:highlight w:val="none"/>
                      <w14:textFill>
                        <w14:solidFill>
                          <w14:schemeClr w14:val="tx1"/>
                        </w14:solidFill>
                      </w14:textFill>
                    </w:rPr>
                    <w:br w:type="textWrapping"/>
                  </w:r>
                  <w:r>
                    <w:rPr>
                      <w:rFonts w:ascii="Times New Roman" w:hAnsi="Times New Roman" w:eastAsia="宋体" w:cs="Times New Roman"/>
                      <w:b/>
                      <w:bCs/>
                      <w:color w:val="000000" w:themeColor="text1"/>
                      <w:highlight w:val="none"/>
                      <w14:textFill>
                        <w14:solidFill>
                          <w14:schemeClr w14:val="tx1"/>
                        </w14:solidFill>
                      </w14:textFill>
                    </w:rPr>
                    <w:t>t/a</w:t>
                  </w:r>
                </w:p>
              </w:tc>
              <w:tc>
                <w:tcPr>
                  <w:tcW w:w="484" w:type="pct"/>
                  <w:tcBorders>
                    <w:tl2br w:val="nil"/>
                    <w:tr2bl w:val="nil"/>
                  </w:tcBorders>
                  <w:vAlign w:val="center"/>
                </w:tcPr>
                <w:p w14:paraId="35DB426B">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产生量</w:t>
                  </w:r>
                  <w:r>
                    <w:rPr>
                      <w:rFonts w:ascii="Times New Roman" w:hAnsi="Times New Roman" w:eastAsia="宋体" w:cs="Times New Roman"/>
                      <w:b/>
                      <w:bCs/>
                      <w:color w:val="000000" w:themeColor="text1"/>
                      <w:highlight w:val="none"/>
                      <w14:textFill>
                        <w14:solidFill>
                          <w14:schemeClr w14:val="tx1"/>
                        </w14:solidFill>
                      </w14:textFill>
                    </w:rPr>
                    <w:br w:type="textWrapping"/>
                  </w:r>
                  <w:r>
                    <w:rPr>
                      <w:rFonts w:ascii="Times New Roman" w:hAnsi="Times New Roman" w:eastAsia="宋体" w:cs="Times New Roman"/>
                      <w:b/>
                      <w:bCs/>
                      <w:color w:val="000000" w:themeColor="text1"/>
                      <w:highlight w:val="none"/>
                      <w14:textFill>
                        <w14:solidFill>
                          <w14:schemeClr w14:val="tx1"/>
                        </w14:solidFill>
                      </w14:textFill>
                    </w:rPr>
                    <w:t>t/a</w:t>
                  </w:r>
                </w:p>
              </w:tc>
              <w:tc>
                <w:tcPr>
                  <w:tcW w:w="2339" w:type="pct"/>
                  <w:tcBorders>
                    <w:tl2br w:val="nil"/>
                    <w:tr2bl w:val="nil"/>
                  </w:tcBorders>
                  <w:vAlign w:val="center"/>
                </w:tcPr>
                <w:p w14:paraId="378FC482">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产污系数来源</w:t>
                  </w:r>
                </w:p>
              </w:tc>
            </w:tr>
            <w:tr w14:paraId="06682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55" w:type="pct"/>
                  <w:tcBorders>
                    <w:tl2br w:val="nil"/>
                    <w:tr2bl w:val="nil"/>
                  </w:tcBorders>
                  <w:vAlign w:val="center"/>
                </w:tcPr>
                <w:p w14:paraId="42AD9B17">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G1</w:t>
                  </w:r>
                </w:p>
              </w:tc>
              <w:tc>
                <w:tcPr>
                  <w:tcW w:w="359" w:type="pct"/>
                  <w:tcBorders>
                    <w:tl2br w:val="nil"/>
                    <w:tr2bl w:val="nil"/>
                  </w:tcBorders>
                  <w:vAlign w:val="center"/>
                </w:tcPr>
                <w:p w14:paraId="192389AA">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抛丸废气</w:t>
                  </w:r>
                </w:p>
              </w:tc>
              <w:tc>
                <w:tcPr>
                  <w:tcW w:w="374" w:type="pct"/>
                  <w:tcBorders>
                    <w:tl2br w:val="nil"/>
                    <w:tr2bl w:val="nil"/>
                  </w:tcBorders>
                  <w:vAlign w:val="center"/>
                </w:tcPr>
                <w:p w14:paraId="0364FD1A">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颗粒物</w:t>
                  </w:r>
                </w:p>
              </w:tc>
              <w:tc>
                <w:tcPr>
                  <w:tcW w:w="438" w:type="pct"/>
                  <w:tcBorders>
                    <w:tl2br w:val="nil"/>
                    <w:tr2bl w:val="nil"/>
                  </w:tcBorders>
                  <w:vAlign w:val="center"/>
                </w:tcPr>
                <w:p w14:paraId="544E86B7">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2.19千克/吨-原料</w:t>
                  </w:r>
                </w:p>
              </w:tc>
              <w:tc>
                <w:tcPr>
                  <w:tcW w:w="549" w:type="pct"/>
                  <w:tcBorders>
                    <w:tl2br w:val="nil"/>
                    <w:tr2bl w:val="nil"/>
                  </w:tcBorders>
                  <w:vAlign w:val="center"/>
                </w:tcPr>
                <w:p w14:paraId="63930421">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6</w:t>
                  </w:r>
                  <w:r>
                    <w:rPr>
                      <w:rFonts w:hint="eastAsia" w:ascii="Times New Roman" w:hAnsi="Times New Roman" w:cs="Times New Roman"/>
                      <w:color w:val="000000" w:themeColor="text1"/>
                      <w:highlight w:val="none"/>
                      <w14:textFill>
                        <w14:solidFill>
                          <w14:schemeClr w14:val="tx1"/>
                        </w14:solidFill>
                      </w14:textFill>
                    </w:rPr>
                    <w:t>00</w:t>
                  </w:r>
                </w:p>
              </w:tc>
              <w:tc>
                <w:tcPr>
                  <w:tcW w:w="484" w:type="pct"/>
                  <w:tcBorders>
                    <w:tl2br w:val="nil"/>
                    <w:tr2bl w:val="nil"/>
                  </w:tcBorders>
                  <w:vAlign w:val="center"/>
                </w:tcPr>
                <w:p w14:paraId="1A12442D">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1.314</w:t>
                  </w:r>
                </w:p>
              </w:tc>
              <w:tc>
                <w:tcPr>
                  <w:tcW w:w="2339" w:type="pct"/>
                  <w:tcBorders>
                    <w:tl2br w:val="nil"/>
                    <w:tr2bl w:val="nil"/>
                  </w:tcBorders>
                  <w:vAlign w:val="center"/>
                </w:tcPr>
                <w:p w14:paraId="49CE3230">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《排放源统计调查产排污核算方法和系数手册》中“机械行业系数手册”，预处理抛丸粉尘产生系数为2.19千克/吨-原料</w:t>
                  </w:r>
                </w:p>
              </w:tc>
            </w:tr>
          </w:tbl>
          <w:p w14:paraId="656C4680">
            <w:pPr>
              <w:spacing w:line="368"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抛丸废气分别经设备自带袋式除尘器处置后引入1根15m高排气筒DA001排放。抛丸机工作时较为密闭，废气收集效率以</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100</w:t>
            </w:r>
            <w:r>
              <w:rPr>
                <w:rFonts w:hint="eastAsia" w:ascii="Times New Roman" w:hAnsi="Times New Roman" w:eastAsia="宋体" w:cs="宋体"/>
                <w:color w:val="000000" w:themeColor="text1"/>
                <w:sz w:val="24"/>
                <w:highlight w:val="none"/>
                <w14:textFill>
                  <w14:solidFill>
                    <w14:schemeClr w14:val="tx1"/>
                  </w14:solidFill>
                </w14:textFill>
              </w:rPr>
              <w:t>%计。布袋除尘器处置效率按</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95</w:t>
            </w:r>
            <w:r>
              <w:rPr>
                <w:rFonts w:hint="eastAsia" w:ascii="Times New Roman" w:hAnsi="Times New Roman" w:eastAsia="宋体" w:cs="宋体"/>
                <w:color w:val="000000" w:themeColor="text1"/>
                <w:sz w:val="24"/>
                <w:highlight w:val="none"/>
                <w14:textFill>
                  <w14:solidFill>
                    <w14:schemeClr w14:val="tx1"/>
                  </w14:solidFill>
                </w14:textFill>
              </w:rPr>
              <w:t>%</w:t>
            </w:r>
            <w:r>
              <w:rPr>
                <w:rFonts w:hint="eastAsia" w:ascii="Times New Roman" w:hAnsi="Times New Roman" w:eastAsia="宋体" w:cs="宋体"/>
                <w:color w:val="000000" w:themeColor="text1"/>
                <w:sz w:val="24"/>
                <w:highlight w:val="none"/>
                <w:lang w:eastAsia="zh-CN"/>
                <w14:textFill>
                  <w14:solidFill>
                    <w14:schemeClr w14:val="tx1"/>
                  </w14:solidFill>
                </w14:textFill>
              </w:rPr>
              <w:t>计</w:t>
            </w:r>
            <w:r>
              <w:rPr>
                <w:rFonts w:hint="eastAsia" w:ascii="Times New Roman" w:hAnsi="Times New Roman" w:eastAsia="宋体" w:cs="宋体"/>
                <w:color w:val="000000" w:themeColor="text1"/>
                <w:sz w:val="24"/>
                <w:highlight w:val="none"/>
                <w14:textFill>
                  <w14:solidFill>
                    <w14:schemeClr w14:val="tx1"/>
                  </w14:solidFill>
                </w14:textFill>
              </w:rPr>
              <w:t>，风机风量5000m</w:t>
            </w:r>
            <w:r>
              <w:rPr>
                <w:rFonts w:hint="eastAsia" w:ascii="Times New Roman" w:hAnsi="Times New Roman" w:eastAsia="宋体" w:cs="宋体"/>
                <w:color w:val="000000" w:themeColor="text1"/>
                <w:sz w:val="24"/>
                <w:highlight w:val="none"/>
                <w:vertAlign w:val="superscript"/>
                <w14:textFill>
                  <w14:solidFill>
                    <w14:schemeClr w14:val="tx1"/>
                  </w14:solidFill>
                </w14:textFill>
              </w:rPr>
              <w:t>3</w:t>
            </w:r>
            <w:r>
              <w:rPr>
                <w:rFonts w:hint="eastAsia" w:ascii="Times New Roman" w:hAnsi="Times New Roman" w:eastAsia="宋体" w:cs="宋体"/>
                <w:color w:val="000000" w:themeColor="text1"/>
                <w:sz w:val="24"/>
                <w:highlight w:val="none"/>
                <w14:textFill>
                  <w14:solidFill>
                    <w14:schemeClr w14:val="tx1"/>
                  </w14:solidFill>
                </w14:textFill>
              </w:rPr>
              <w:t>/h。则抛丸废气排放情况如下表：</w:t>
            </w:r>
          </w:p>
          <w:p w14:paraId="05D9822E">
            <w:pPr>
              <w:pStyle w:val="44"/>
              <w:spacing w:before="156"/>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表4-</w:t>
            </w:r>
            <w:r>
              <w:rPr>
                <w:rFonts w:hint="eastAsia" w:ascii="Times New Roman" w:hAnsi="Times New Roman" w:eastAsia="宋体"/>
                <w:color w:val="000000" w:themeColor="text1"/>
                <w:sz w:val="24"/>
                <w:highlight w:val="none"/>
                <w14:textFill>
                  <w14:solidFill>
                    <w14:schemeClr w14:val="tx1"/>
                  </w14:solidFill>
                </w14:textFill>
              </w:rPr>
              <w:t>4  项目抛丸废气排放情况一览表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7"/>
              <w:gridCol w:w="567"/>
              <w:gridCol w:w="811"/>
              <w:gridCol w:w="768"/>
              <w:gridCol w:w="689"/>
              <w:gridCol w:w="566"/>
              <w:gridCol w:w="688"/>
              <w:gridCol w:w="864"/>
              <w:gridCol w:w="661"/>
              <w:gridCol w:w="661"/>
              <w:gridCol w:w="715"/>
              <w:gridCol w:w="794"/>
            </w:tblGrid>
            <w:tr w14:paraId="229E6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4" w:type="pct"/>
                  <w:vMerge w:val="restart"/>
                  <w:tcBorders>
                    <w:tl2br w:val="nil"/>
                    <w:tr2bl w:val="nil"/>
                  </w:tcBorders>
                  <w:vAlign w:val="center"/>
                </w:tcPr>
                <w:p w14:paraId="0463E4D9">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污染源</w:t>
                  </w:r>
                </w:p>
              </w:tc>
              <w:tc>
                <w:tcPr>
                  <w:tcW w:w="335" w:type="pct"/>
                  <w:vMerge w:val="restart"/>
                  <w:tcBorders>
                    <w:tl2br w:val="nil"/>
                    <w:tr2bl w:val="nil"/>
                  </w:tcBorders>
                  <w:vAlign w:val="center"/>
                </w:tcPr>
                <w:p w14:paraId="074F0CE9">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污染物</w:t>
                  </w:r>
                </w:p>
              </w:tc>
              <w:tc>
                <w:tcPr>
                  <w:tcW w:w="479" w:type="pct"/>
                  <w:vMerge w:val="restart"/>
                  <w:tcBorders>
                    <w:tl2br w:val="nil"/>
                    <w:tr2bl w:val="nil"/>
                  </w:tcBorders>
                  <w:vAlign w:val="center"/>
                </w:tcPr>
                <w:p w14:paraId="7EAF0355">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排放时间h/a</w:t>
                  </w:r>
                </w:p>
              </w:tc>
              <w:tc>
                <w:tcPr>
                  <w:tcW w:w="454" w:type="pct"/>
                  <w:vMerge w:val="restart"/>
                  <w:tcBorders>
                    <w:tl2br w:val="nil"/>
                    <w:tr2bl w:val="nil"/>
                  </w:tcBorders>
                  <w:vAlign w:val="center"/>
                </w:tcPr>
                <w:p w14:paraId="1B1FD907">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产生量t/a</w:t>
                  </w:r>
                </w:p>
              </w:tc>
              <w:tc>
                <w:tcPr>
                  <w:tcW w:w="407" w:type="pct"/>
                  <w:vMerge w:val="restart"/>
                  <w:tcBorders>
                    <w:tl2br w:val="nil"/>
                    <w:tr2bl w:val="nil"/>
                  </w:tcBorders>
                  <w:vAlign w:val="center"/>
                </w:tcPr>
                <w:p w14:paraId="2FD5B2D7">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收集效率</w:t>
                  </w:r>
                </w:p>
              </w:tc>
              <w:tc>
                <w:tcPr>
                  <w:tcW w:w="334" w:type="pct"/>
                  <w:vMerge w:val="restart"/>
                  <w:tcBorders>
                    <w:tl2br w:val="nil"/>
                    <w:tr2bl w:val="nil"/>
                  </w:tcBorders>
                  <w:vAlign w:val="center"/>
                </w:tcPr>
                <w:p w14:paraId="343ABF05">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处置效率</w:t>
                  </w:r>
                </w:p>
              </w:tc>
              <w:tc>
                <w:tcPr>
                  <w:tcW w:w="407" w:type="pct"/>
                  <w:vMerge w:val="restart"/>
                  <w:tcBorders>
                    <w:tl2br w:val="nil"/>
                    <w:tr2bl w:val="nil"/>
                  </w:tcBorders>
                  <w:vAlign w:val="center"/>
                </w:tcPr>
                <w:p w14:paraId="4CBEDF48">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风量m</w:t>
                  </w:r>
                  <w:r>
                    <w:rPr>
                      <w:rFonts w:ascii="Times New Roman" w:hAnsi="Times New Roman" w:cs="Times New Roman"/>
                      <w:b/>
                      <w:bCs/>
                      <w:color w:val="000000" w:themeColor="text1"/>
                      <w:highlight w:val="none"/>
                      <w:vertAlign w:val="superscript"/>
                      <w14:textFill>
                        <w14:solidFill>
                          <w14:schemeClr w14:val="tx1"/>
                        </w14:solidFill>
                      </w14:textFill>
                    </w:rPr>
                    <w:t>3</w:t>
                  </w:r>
                  <w:r>
                    <w:rPr>
                      <w:rFonts w:ascii="Times New Roman" w:hAnsi="Times New Roman" w:cs="Times New Roman"/>
                      <w:b/>
                      <w:bCs/>
                      <w:color w:val="000000" w:themeColor="text1"/>
                      <w:highlight w:val="none"/>
                      <w14:textFill>
                        <w14:solidFill>
                          <w14:schemeClr w14:val="tx1"/>
                        </w14:solidFill>
                      </w14:textFill>
                    </w:rPr>
                    <w:t>/h</w:t>
                  </w:r>
                </w:p>
              </w:tc>
              <w:tc>
                <w:tcPr>
                  <w:tcW w:w="511" w:type="pct"/>
                  <w:vMerge w:val="restart"/>
                  <w:tcBorders>
                    <w:tl2br w:val="nil"/>
                    <w:tr2bl w:val="nil"/>
                  </w:tcBorders>
                  <w:vAlign w:val="center"/>
                </w:tcPr>
                <w:p w14:paraId="5188BD66">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无组织排放量</w:t>
                  </w:r>
                </w:p>
              </w:tc>
              <w:tc>
                <w:tcPr>
                  <w:tcW w:w="1205" w:type="pct"/>
                  <w:gridSpan w:val="3"/>
                  <w:tcBorders>
                    <w:tl2br w:val="nil"/>
                    <w:tr2bl w:val="nil"/>
                  </w:tcBorders>
                  <w:vAlign w:val="center"/>
                </w:tcPr>
                <w:p w14:paraId="05D6CFA5">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有组织排放</w:t>
                  </w:r>
                </w:p>
              </w:tc>
              <w:tc>
                <w:tcPr>
                  <w:tcW w:w="469" w:type="pct"/>
                  <w:vMerge w:val="restart"/>
                  <w:tcBorders>
                    <w:tl2br w:val="nil"/>
                    <w:tr2bl w:val="nil"/>
                  </w:tcBorders>
                  <w:vAlign w:val="center"/>
                </w:tcPr>
                <w:p w14:paraId="1CE89B66">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排气筒编号</w:t>
                  </w:r>
                </w:p>
              </w:tc>
            </w:tr>
            <w:tr w14:paraId="5BCB6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8" w:hRule="atLeast"/>
                <w:jc w:val="center"/>
              </w:trPr>
              <w:tc>
                <w:tcPr>
                  <w:tcW w:w="394" w:type="pct"/>
                  <w:vMerge w:val="continue"/>
                  <w:tcBorders>
                    <w:tl2br w:val="nil"/>
                    <w:tr2bl w:val="nil"/>
                  </w:tcBorders>
                  <w:vAlign w:val="center"/>
                </w:tcPr>
                <w:p w14:paraId="3150C936">
                  <w:pPr>
                    <w:pStyle w:val="40"/>
                    <w:spacing w:before="31"/>
                    <w:rPr>
                      <w:rFonts w:ascii="Times New Roman" w:hAnsi="Times New Roman" w:cs="Times New Roman"/>
                      <w:color w:val="000000" w:themeColor="text1"/>
                      <w:highlight w:val="none"/>
                      <w14:textFill>
                        <w14:solidFill>
                          <w14:schemeClr w14:val="tx1"/>
                        </w14:solidFill>
                      </w14:textFill>
                    </w:rPr>
                  </w:pPr>
                </w:p>
              </w:tc>
              <w:tc>
                <w:tcPr>
                  <w:tcW w:w="335" w:type="pct"/>
                  <w:vMerge w:val="continue"/>
                  <w:tcBorders>
                    <w:tl2br w:val="nil"/>
                    <w:tr2bl w:val="nil"/>
                  </w:tcBorders>
                  <w:vAlign w:val="center"/>
                </w:tcPr>
                <w:p w14:paraId="0343F81C">
                  <w:pPr>
                    <w:pStyle w:val="40"/>
                    <w:spacing w:before="31"/>
                    <w:rPr>
                      <w:rFonts w:ascii="Times New Roman" w:hAnsi="Times New Roman" w:cs="Times New Roman"/>
                      <w:color w:val="000000" w:themeColor="text1"/>
                      <w:highlight w:val="none"/>
                      <w14:textFill>
                        <w14:solidFill>
                          <w14:schemeClr w14:val="tx1"/>
                        </w14:solidFill>
                      </w14:textFill>
                    </w:rPr>
                  </w:pPr>
                </w:p>
              </w:tc>
              <w:tc>
                <w:tcPr>
                  <w:tcW w:w="479" w:type="pct"/>
                  <w:vMerge w:val="continue"/>
                  <w:tcBorders>
                    <w:tl2br w:val="nil"/>
                    <w:tr2bl w:val="nil"/>
                  </w:tcBorders>
                  <w:vAlign w:val="center"/>
                </w:tcPr>
                <w:p w14:paraId="6191F554">
                  <w:pPr>
                    <w:pStyle w:val="40"/>
                    <w:spacing w:before="31"/>
                    <w:rPr>
                      <w:rFonts w:ascii="Times New Roman" w:hAnsi="Times New Roman" w:cs="Times New Roman"/>
                      <w:color w:val="000000" w:themeColor="text1"/>
                      <w:highlight w:val="none"/>
                      <w14:textFill>
                        <w14:solidFill>
                          <w14:schemeClr w14:val="tx1"/>
                        </w14:solidFill>
                      </w14:textFill>
                    </w:rPr>
                  </w:pPr>
                </w:p>
              </w:tc>
              <w:tc>
                <w:tcPr>
                  <w:tcW w:w="454" w:type="pct"/>
                  <w:vMerge w:val="continue"/>
                  <w:tcBorders>
                    <w:tl2br w:val="nil"/>
                    <w:tr2bl w:val="nil"/>
                  </w:tcBorders>
                  <w:vAlign w:val="center"/>
                </w:tcPr>
                <w:p w14:paraId="377D8956">
                  <w:pPr>
                    <w:pStyle w:val="40"/>
                    <w:spacing w:before="31"/>
                    <w:rPr>
                      <w:rFonts w:ascii="Times New Roman" w:hAnsi="Times New Roman" w:cs="Times New Roman"/>
                      <w:color w:val="000000" w:themeColor="text1"/>
                      <w:highlight w:val="none"/>
                      <w14:textFill>
                        <w14:solidFill>
                          <w14:schemeClr w14:val="tx1"/>
                        </w14:solidFill>
                      </w14:textFill>
                    </w:rPr>
                  </w:pPr>
                </w:p>
              </w:tc>
              <w:tc>
                <w:tcPr>
                  <w:tcW w:w="407" w:type="pct"/>
                  <w:vMerge w:val="continue"/>
                  <w:tcBorders>
                    <w:tl2br w:val="nil"/>
                    <w:tr2bl w:val="nil"/>
                  </w:tcBorders>
                  <w:vAlign w:val="center"/>
                </w:tcPr>
                <w:p w14:paraId="660A6F59">
                  <w:pPr>
                    <w:pStyle w:val="40"/>
                    <w:spacing w:before="31"/>
                    <w:rPr>
                      <w:rFonts w:ascii="Times New Roman" w:hAnsi="Times New Roman" w:cs="Times New Roman"/>
                      <w:color w:val="000000" w:themeColor="text1"/>
                      <w:highlight w:val="none"/>
                      <w14:textFill>
                        <w14:solidFill>
                          <w14:schemeClr w14:val="tx1"/>
                        </w14:solidFill>
                      </w14:textFill>
                    </w:rPr>
                  </w:pPr>
                </w:p>
              </w:tc>
              <w:tc>
                <w:tcPr>
                  <w:tcW w:w="334" w:type="pct"/>
                  <w:vMerge w:val="continue"/>
                  <w:tcBorders>
                    <w:tl2br w:val="nil"/>
                    <w:tr2bl w:val="nil"/>
                  </w:tcBorders>
                  <w:vAlign w:val="center"/>
                </w:tcPr>
                <w:p w14:paraId="395E91A2">
                  <w:pPr>
                    <w:pStyle w:val="40"/>
                    <w:spacing w:before="31"/>
                    <w:rPr>
                      <w:rFonts w:ascii="Times New Roman" w:hAnsi="Times New Roman" w:cs="Times New Roman"/>
                      <w:color w:val="000000" w:themeColor="text1"/>
                      <w:highlight w:val="none"/>
                      <w14:textFill>
                        <w14:solidFill>
                          <w14:schemeClr w14:val="tx1"/>
                        </w14:solidFill>
                      </w14:textFill>
                    </w:rPr>
                  </w:pPr>
                </w:p>
              </w:tc>
              <w:tc>
                <w:tcPr>
                  <w:tcW w:w="407" w:type="pct"/>
                  <w:vMerge w:val="continue"/>
                  <w:tcBorders>
                    <w:tl2br w:val="nil"/>
                    <w:tr2bl w:val="nil"/>
                  </w:tcBorders>
                  <w:vAlign w:val="center"/>
                </w:tcPr>
                <w:p w14:paraId="7C05C7B1">
                  <w:pPr>
                    <w:pStyle w:val="40"/>
                    <w:spacing w:before="31"/>
                    <w:rPr>
                      <w:rFonts w:ascii="Times New Roman" w:hAnsi="Times New Roman" w:cs="Times New Roman"/>
                      <w:color w:val="000000" w:themeColor="text1"/>
                      <w:highlight w:val="none"/>
                      <w14:textFill>
                        <w14:solidFill>
                          <w14:schemeClr w14:val="tx1"/>
                        </w14:solidFill>
                      </w14:textFill>
                    </w:rPr>
                  </w:pPr>
                </w:p>
              </w:tc>
              <w:tc>
                <w:tcPr>
                  <w:tcW w:w="511" w:type="pct"/>
                  <w:vMerge w:val="continue"/>
                  <w:tcBorders>
                    <w:tl2br w:val="nil"/>
                    <w:tr2bl w:val="nil"/>
                  </w:tcBorders>
                  <w:vAlign w:val="center"/>
                </w:tcPr>
                <w:p w14:paraId="04CADB53">
                  <w:pPr>
                    <w:pStyle w:val="40"/>
                    <w:spacing w:before="31"/>
                    <w:rPr>
                      <w:rFonts w:ascii="Times New Roman" w:hAnsi="Times New Roman" w:cs="Times New Roman"/>
                      <w:color w:val="000000" w:themeColor="text1"/>
                      <w:highlight w:val="none"/>
                      <w14:textFill>
                        <w14:solidFill>
                          <w14:schemeClr w14:val="tx1"/>
                        </w14:solidFill>
                      </w14:textFill>
                    </w:rPr>
                  </w:pPr>
                </w:p>
              </w:tc>
              <w:tc>
                <w:tcPr>
                  <w:tcW w:w="391" w:type="pct"/>
                  <w:tcBorders>
                    <w:tl2br w:val="nil"/>
                    <w:tr2bl w:val="nil"/>
                  </w:tcBorders>
                  <w:vAlign w:val="center"/>
                </w:tcPr>
                <w:p w14:paraId="754CA2BE">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量t/a</w:t>
                  </w:r>
                </w:p>
              </w:tc>
              <w:tc>
                <w:tcPr>
                  <w:tcW w:w="391" w:type="pct"/>
                  <w:tcBorders>
                    <w:tl2br w:val="nil"/>
                    <w:tr2bl w:val="nil"/>
                  </w:tcBorders>
                  <w:vAlign w:val="center"/>
                </w:tcPr>
                <w:p w14:paraId="180C3794">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速率kg/h</w:t>
                  </w:r>
                </w:p>
              </w:tc>
              <w:tc>
                <w:tcPr>
                  <w:tcW w:w="423" w:type="pct"/>
                  <w:tcBorders>
                    <w:tl2br w:val="nil"/>
                    <w:tr2bl w:val="nil"/>
                  </w:tcBorders>
                  <w:vAlign w:val="center"/>
                </w:tcPr>
                <w:p w14:paraId="27BCF99D">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浓度mg/m</w:t>
                  </w:r>
                  <w:r>
                    <w:rPr>
                      <w:rFonts w:ascii="Times New Roman" w:hAnsi="Times New Roman" w:cs="Times New Roman"/>
                      <w:b/>
                      <w:bCs/>
                      <w:color w:val="000000" w:themeColor="text1"/>
                      <w:highlight w:val="none"/>
                      <w:vertAlign w:val="superscript"/>
                      <w14:textFill>
                        <w14:solidFill>
                          <w14:schemeClr w14:val="tx1"/>
                        </w14:solidFill>
                      </w14:textFill>
                    </w:rPr>
                    <w:t>3</w:t>
                  </w:r>
                </w:p>
              </w:tc>
              <w:tc>
                <w:tcPr>
                  <w:tcW w:w="469" w:type="pct"/>
                  <w:vMerge w:val="continue"/>
                  <w:tcBorders>
                    <w:tl2br w:val="nil"/>
                    <w:tr2bl w:val="nil"/>
                  </w:tcBorders>
                  <w:vAlign w:val="center"/>
                </w:tcPr>
                <w:p w14:paraId="17C0D581">
                  <w:pPr>
                    <w:pStyle w:val="40"/>
                    <w:spacing w:before="31"/>
                    <w:rPr>
                      <w:rFonts w:ascii="Times New Roman" w:hAnsi="Times New Roman" w:cs="Times New Roman"/>
                      <w:color w:val="000000" w:themeColor="text1"/>
                      <w:highlight w:val="none"/>
                      <w14:textFill>
                        <w14:solidFill>
                          <w14:schemeClr w14:val="tx1"/>
                        </w14:solidFill>
                      </w14:textFill>
                    </w:rPr>
                  </w:pPr>
                </w:p>
              </w:tc>
            </w:tr>
            <w:tr w14:paraId="3BD09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4" w:type="pct"/>
                  <w:tcBorders>
                    <w:tl2br w:val="nil"/>
                    <w:tr2bl w:val="nil"/>
                  </w:tcBorders>
                  <w:vAlign w:val="center"/>
                </w:tcPr>
                <w:p w14:paraId="24E2C84C">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抛丸废气</w:t>
                  </w:r>
                </w:p>
              </w:tc>
              <w:tc>
                <w:tcPr>
                  <w:tcW w:w="335" w:type="pct"/>
                  <w:tcBorders>
                    <w:tl2br w:val="nil"/>
                    <w:tr2bl w:val="nil"/>
                  </w:tcBorders>
                  <w:vAlign w:val="center"/>
                </w:tcPr>
                <w:p w14:paraId="2B2AD7F7">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颗粒物</w:t>
                  </w:r>
                </w:p>
              </w:tc>
              <w:tc>
                <w:tcPr>
                  <w:tcW w:w="479" w:type="pct"/>
                  <w:tcBorders>
                    <w:tl2br w:val="nil"/>
                    <w:tr2bl w:val="nil"/>
                  </w:tcBorders>
                  <w:vAlign w:val="center"/>
                </w:tcPr>
                <w:p w14:paraId="25ABD5BB">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1667</w:t>
                  </w:r>
                </w:p>
              </w:tc>
              <w:tc>
                <w:tcPr>
                  <w:tcW w:w="454" w:type="pct"/>
                  <w:tcBorders>
                    <w:tl2br w:val="nil"/>
                    <w:tr2bl w:val="nil"/>
                  </w:tcBorders>
                  <w:vAlign w:val="center"/>
                </w:tcPr>
                <w:p w14:paraId="4C3326D9">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1.314</w:t>
                  </w:r>
                </w:p>
              </w:tc>
              <w:tc>
                <w:tcPr>
                  <w:tcW w:w="407" w:type="pct"/>
                  <w:tcBorders>
                    <w:tl2br w:val="nil"/>
                    <w:tr2bl w:val="nil"/>
                  </w:tcBorders>
                  <w:vAlign w:val="center"/>
                </w:tcPr>
                <w:p w14:paraId="61662A59">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100%</w:t>
                  </w:r>
                </w:p>
              </w:tc>
              <w:tc>
                <w:tcPr>
                  <w:tcW w:w="334" w:type="pct"/>
                  <w:tcBorders>
                    <w:tl2br w:val="nil"/>
                    <w:tr2bl w:val="nil"/>
                  </w:tcBorders>
                  <w:vAlign w:val="center"/>
                </w:tcPr>
                <w:p w14:paraId="2773782B">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9</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ascii="Times New Roman" w:hAnsi="Times New Roman" w:cs="Times New Roman"/>
                      <w:color w:val="000000" w:themeColor="text1"/>
                      <w:highlight w:val="none"/>
                      <w14:textFill>
                        <w14:solidFill>
                          <w14:schemeClr w14:val="tx1"/>
                        </w14:solidFill>
                      </w14:textFill>
                    </w:rPr>
                    <w:t>%</w:t>
                  </w:r>
                </w:p>
              </w:tc>
              <w:tc>
                <w:tcPr>
                  <w:tcW w:w="407" w:type="pct"/>
                  <w:tcBorders>
                    <w:tl2br w:val="nil"/>
                    <w:tr2bl w:val="nil"/>
                  </w:tcBorders>
                  <w:vAlign w:val="center"/>
                </w:tcPr>
                <w:p w14:paraId="13D5C950">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5</w:t>
                  </w:r>
                  <w:r>
                    <w:rPr>
                      <w:rFonts w:ascii="Times New Roman" w:hAnsi="Times New Roman" w:cs="Times New Roman"/>
                      <w:color w:val="000000" w:themeColor="text1"/>
                      <w:highlight w:val="none"/>
                      <w14:textFill>
                        <w14:solidFill>
                          <w14:schemeClr w14:val="tx1"/>
                        </w14:solidFill>
                      </w14:textFill>
                    </w:rPr>
                    <w:t>000</w:t>
                  </w:r>
                </w:p>
              </w:tc>
              <w:tc>
                <w:tcPr>
                  <w:tcW w:w="511" w:type="pct"/>
                  <w:tcBorders>
                    <w:tl2br w:val="nil"/>
                    <w:tr2bl w:val="nil"/>
                  </w:tcBorders>
                  <w:vAlign w:val="center"/>
                </w:tcPr>
                <w:p w14:paraId="0B98C4AD">
                  <w:pPr>
                    <w:pStyle w:val="40"/>
                    <w:spacing w:before="31"/>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391" w:type="pct"/>
                  <w:tcBorders>
                    <w:tl2br w:val="nil"/>
                    <w:tr2bl w:val="nil"/>
                  </w:tcBorders>
                  <w:vAlign w:val="center"/>
                </w:tcPr>
                <w:p w14:paraId="7EBDE6AD">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0.066</w:t>
                  </w:r>
                </w:p>
              </w:tc>
              <w:tc>
                <w:tcPr>
                  <w:tcW w:w="391" w:type="pct"/>
                  <w:tcBorders>
                    <w:tl2br w:val="nil"/>
                    <w:tr2bl w:val="nil"/>
                  </w:tcBorders>
                  <w:vAlign w:val="center"/>
                </w:tcPr>
                <w:p w14:paraId="56478623">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0.0</w:t>
                  </w:r>
                  <w:r>
                    <w:rPr>
                      <w:rFonts w:hint="eastAsia" w:ascii="Times New Roman" w:hAnsi="Times New Roman" w:cs="Times New Roman"/>
                      <w:color w:val="000000" w:themeColor="text1"/>
                      <w:highlight w:val="none"/>
                      <w:lang w:val="en-US" w:eastAsia="zh-CN"/>
                      <w14:textFill>
                        <w14:solidFill>
                          <w14:schemeClr w14:val="tx1"/>
                        </w14:solidFill>
                      </w14:textFill>
                    </w:rPr>
                    <w:t>4</w:t>
                  </w:r>
                </w:p>
              </w:tc>
              <w:tc>
                <w:tcPr>
                  <w:tcW w:w="423" w:type="pct"/>
                  <w:tcBorders>
                    <w:tl2br w:val="nil"/>
                    <w:tr2bl w:val="nil"/>
                  </w:tcBorders>
                  <w:vAlign w:val="center"/>
                </w:tcPr>
                <w:p w14:paraId="10F1E055">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8</w:t>
                  </w:r>
                </w:p>
              </w:tc>
              <w:tc>
                <w:tcPr>
                  <w:tcW w:w="469" w:type="pct"/>
                  <w:tcBorders>
                    <w:tl2br w:val="nil"/>
                    <w:tr2bl w:val="nil"/>
                  </w:tcBorders>
                  <w:vAlign w:val="center"/>
                </w:tcPr>
                <w:p w14:paraId="2A37DAC5">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DA00</w:t>
                  </w:r>
                  <w:r>
                    <w:rPr>
                      <w:rFonts w:hint="eastAsia" w:ascii="Times New Roman" w:hAnsi="Times New Roman" w:cs="Times New Roman"/>
                      <w:color w:val="000000" w:themeColor="text1"/>
                      <w:highlight w:val="none"/>
                      <w14:textFill>
                        <w14:solidFill>
                          <w14:schemeClr w14:val="tx1"/>
                        </w14:solidFill>
                      </w14:textFill>
                    </w:rPr>
                    <w:t>1</w:t>
                  </w:r>
                </w:p>
              </w:tc>
            </w:tr>
          </w:tbl>
          <w:p w14:paraId="4B9AD220">
            <w:pPr>
              <w:spacing w:line="368" w:lineRule="auto"/>
              <w:ind w:firstLine="482" w:firstLineChars="200"/>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（2）投料废气G2</w:t>
            </w:r>
          </w:p>
          <w:p w14:paraId="0D7BF191">
            <w:pPr>
              <w:spacing w:line="368"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项目塑料粉末开袋和落料过程中产生少量投料废气，塑粉投加的次数较少，主要采用泵送方式，因此投料粉尘产生量较少，厂区内无组织排放，本评价仅进行定量分析。</w:t>
            </w:r>
          </w:p>
          <w:p w14:paraId="66EEF647">
            <w:pPr>
              <w:spacing w:line="368" w:lineRule="auto"/>
              <w:ind w:firstLine="482" w:firstLineChars="200"/>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（3）喷粉废气G3</w:t>
            </w:r>
          </w:p>
          <w:p w14:paraId="786B013E">
            <w:pPr>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喷粉工序将工件放置在半密闭的喷塑房内（仅进出件处开口）由人工向工件进行喷塑，喷塑过程中塑粉附着率约为</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70</w:t>
            </w:r>
            <w:r>
              <w:rPr>
                <w:rFonts w:hint="eastAsia" w:ascii="Times New Roman" w:hAnsi="Times New Roman" w:eastAsia="宋体" w:cs="宋体"/>
                <w:color w:val="000000" w:themeColor="text1"/>
                <w:sz w:val="24"/>
                <w:highlight w:val="none"/>
                <w14:textFill>
                  <w14:solidFill>
                    <w14:schemeClr w14:val="tx1"/>
                  </w14:solidFill>
                </w14:textFill>
              </w:rPr>
              <w:t>%，产生喷粉废气，主要污染物为颗粒物。</w:t>
            </w:r>
            <w:r>
              <w:rPr>
                <w:rFonts w:hint="eastAsia" w:ascii="Times New Roman" w:hAnsi="Times New Roman" w:cs="Times New Roman"/>
                <w:color w:val="000000" w:themeColor="text1"/>
                <w:sz w:val="24"/>
                <w:highlight w:val="none"/>
                <w14:textFill>
                  <w14:solidFill>
                    <w14:schemeClr w14:val="tx1"/>
                  </w14:solidFill>
                </w14:textFill>
              </w:rPr>
              <w:t>喷粉工序共设置5把（1用4备）喷枪，根据设备参数，每把喷枪的喷粉能力约为</w:t>
            </w:r>
            <w:r>
              <w:rPr>
                <w:rFonts w:hint="eastAsia" w:ascii="Times New Roman" w:hAnsi="Times New Roman" w:cs="Times New Roman"/>
                <w:color w:val="000000" w:themeColor="text1"/>
                <w:sz w:val="24"/>
                <w:highlight w:val="none"/>
                <w:lang w:val="en-US" w:eastAsia="zh-CN"/>
                <w14:textFill>
                  <w14:solidFill>
                    <w14:schemeClr w14:val="tx1"/>
                  </w14:solidFill>
                </w14:textFill>
              </w:rPr>
              <w:t>80</w:t>
            </w:r>
            <w:r>
              <w:rPr>
                <w:rFonts w:hint="eastAsia" w:ascii="Times New Roman" w:hAnsi="Times New Roman" w:cs="Times New Roman"/>
                <w:color w:val="000000" w:themeColor="text1"/>
                <w:sz w:val="24"/>
                <w:highlight w:val="none"/>
                <w14:textFill>
                  <w14:solidFill>
                    <w14:schemeClr w14:val="tx1"/>
                  </w14:solidFill>
                </w14:textFill>
              </w:rPr>
              <w:t>g/min，根据</w:t>
            </w:r>
            <w:r>
              <w:rPr>
                <w:rFonts w:hint="eastAsia" w:ascii="Times New Roman" w:hAnsi="Times New Roman" w:cs="Times New Roman"/>
                <w:color w:val="000000" w:themeColor="text1"/>
                <w:sz w:val="24"/>
                <w:highlight w:val="none"/>
                <w:lang w:eastAsia="zh-CN"/>
                <w14:textFill>
                  <w14:solidFill>
                    <w14:schemeClr w14:val="tx1"/>
                  </w14:solidFill>
                </w14:textFill>
              </w:rPr>
              <w:t>物料平衡</w:t>
            </w:r>
            <w:r>
              <w:rPr>
                <w:rFonts w:hint="eastAsia" w:ascii="Times New Roman" w:hAnsi="Times New Roman" w:cs="Times New Roman"/>
                <w:color w:val="000000" w:themeColor="text1"/>
                <w:sz w:val="24"/>
                <w:highlight w:val="none"/>
                <w14:textFill>
                  <w14:solidFill>
                    <w14:schemeClr w14:val="tx1"/>
                  </w14:solidFill>
                </w14:textFill>
              </w:rPr>
              <w:t>核算，项目</w:t>
            </w:r>
            <w:r>
              <w:rPr>
                <w:rFonts w:hint="eastAsia" w:ascii="Times New Roman" w:hAnsi="Times New Roman" w:cs="Times New Roman"/>
                <w:color w:val="000000" w:themeColor="text1"/>
                <w:sz w:val="24"/>
                <w:highlight w:val="none"/>
                <w:lang w:eastAsia="zh-CN"/>
                <w14:textFill>
                  <w14:solidFill>
                    <w14:schemeClr w14:val="tx1"/>
                  </w14:solidFill>
                </w14:textFill>
              </w:rPr>
              <w:t>喷粉</w:t>
            </w:r>
            <w:r>
              <w:rPr>
                <w:rFonts w:hint="eastAsia" w:ascii="Times New Roman" w:hAnsi="Times New Roman" w:cs="Times New Roman"/>
                <w:color w:val="000000" w:themeColor="text1"/>
                <w:sz w:val="24"/>
                <w:highlight w:val="none"/>
                <w14:textFill>
                  <w14:solidFill>
                    <w14:schemeClr w14:val="tx1"/>
                  </w14:solidFill>
                </w14:textFill>
              </w:rPr>
              <w:t>量为</w:t>
            </w:r>
            <w:r>
              <w:rPr>
                <w:rFonts w:hint="eastAsia" w:ascii="Times New Roman" w:hAnsi="Times New Roman" w:cs="Times New Roman"/>
                <w:color w:val="000000" w:themeColor="text1"/>
                <w:sz w:val="24"/>
                <w:highlight w:val="none"/>
                <w:lang w:val="en-US" w:eastAsia="zh-CN"/>
                <w14:textFill>
                  <w14:solidFill>
                    <w14:schemeClr w14:val="tx1"/>
                  </w14:solidFill>
                </w14:textFill>
              </w:rPr>
              <w:t>9.12</w:t>
            </w:r>
            <w:r>
              <w:rPr>
                <w:rFonts w:hint="eastAsia" w:ascii="Times New Roman" w:hAnsi="Times New Roman" w:cs="Times New Roman"/>
                <w:color w:val="000000" w:themeColor="text1"/>
                <w:sz w:val="24"/>
                <w:highlight w:val="none"/>
                <w14:textFill>
                  <w14:solidFill>
                    <w14:schemeClr w14:val="tx1"/>
                  </w14:solidFill>
                </w14:textFill>
              </w:rPr>
              <w:t>t/a</w:t>
            </w:r>
            <w:r>
              <w:rPr>
                <w:rFonts w:hint="eastAsia" w:ascii="Times New Roman" w:hAnsi="Times New Roman" w:eastAsia="宋体" w:cs="宋体"/>
                <w:color w:val="000000" w:themeColor="text1"/>
                <w:sz w:val="24"/>
                <w:highlight w:val="none"/>
                <w14:textFill>
                  <w14:solidFill>
                    <w14:schemeClr w14:val="tx1"/>
                  </w14:solidFill>
                </w14:textFill>
              </w:rPr>
              <w:t>。污染物产生源强计算如下表所示。</w:t>
            </w:r>
          </w:p>
          <w:p w14:paraId="588DCE37">
            <w:pPr>
              <w:pStyle w:val="44"/>
              <w:spacing w:beforeLines="0" w:line="360" w:lineRule="auto"/>
              <w:rPr>
                <w:rFonts w:ascii="Times New Roman" w:hAnsi="Times New Roman" w:eastAsia="宋体"/>
                <w:color w:val="000000" w:themeColor="text1"/>
                <w:sz w:val="24"/>
                <w:highlight w:val="none"/>
                <w14:textFill>
                  <w14:solidFill>
                    <w14:schemeClr w14:val="tx1"/>
                  </w14:solidFill>
                </w14:textFill>
              </w:rPr>
            </w:pPr>
          </w:p>
          <w:p w14:paraId="3C1BA69A">
            <w:pPr>
              <w:pStyle w:val="44"/>
              <w:spacing w:beforeLines="0" w:line="360" w:lineRule="auto"/>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表4-</w:t>
            </w:r>
            <w:r>
              <w:rPr>
                <w:rFonts w:ascii="Times New Roman" w:hAnsi="Times New Roman" w:eastAsia="宋体"/>
                <w:color w:val="000000" w:themeColor="text1"/>
                <w:sz w:val="24"/>
                <w:highlight w:val="none"/>
                <w14:textFill>
                  <w14:solidFill>
                    <w14:schemeClr w14:val="tx1"/>
                  </w14:solidFill>
                </w14:textFill>
              </w:rPr>
              <w:fldChar w:fldCharType="begin"/>
            </w:r>
            <w:r>
              <w:rPr>
                <w:rFonts w:ascii="Times New Roman" w:hAnsi="Times New Roman" w:eastAsia="宋体"/>
                <w:color w:val="000000" w:themeColor="text1"/>
                <w:sz w:val="24"/>
                <w:highlight w:val="none"/>
                <w14:textFill>
                  <w14:solidFill>
                    <w14:schemeClr w14:val="tx1"/>
                  </w14:solidFill>
                </w14:textFill>
              </w:rPr>
              <w:instrText xml:space="preserve"> SEQ 表4- \* ARABIC </w:instrText>
            </w:r>
            <w:r>
              <w:rPr>
                <w:rFonts w:ascii="Times New Roman" w:hAnsi="Times New Roman" w:eastAsia="宋体"/>
                <w:color w:val="000000" w:themeColor="text1"/>
                <w:sz w:val="24"/>
                <w:highlight w:val="none"/>
                <w14:textFill>
                  <w14:solidFill>
                    <w14:schemeClr w14:val="tx1"/>
                  </w14:solidFill>
                </w14:textFill>
              </w:rPr>
              <w:fldChar w:fldCharType="separate"/>
            </w:r>
            <w:r>
              <w:rPr>
                <w:rFonts w:hint="eastAsia" w:ascii="Times New Roman" w:hAnsi="Times New Roman" w:eastAsia="宋体"/>
                <w:color w:val="000000" w:themeColor="text1"/>
                <w:sz w:val="24"/>
                <w:highlight w:val="none"/>
                <w14:textFill>
                  <w14:solidFill>
                    <w14:schemeClr w14:val="tx1"/>
                  </w14:solidFill>
                </w14:textFill>
              </w:rPr>
              <w:t>5</w:t>
            </w:r>
            <w:r>
              <w:rPr>
                <w:rFonts w:ascii="Times New Roman" w:hAnsi="Times New Roman" w:eastAsia="宋体"/>
                <w:color w:val="000000" w:themeColor="text1"/>
                <w:sz w:val="24"/>
                <w:highlight w:val="none"/>
                <w14:textFill>
                  <w14:solidFill>
                    <w14:schemeClr w14:val="tx1"/>
                  </w14:solidFill>
                </w14:textFill>
              </w:rPr>
              <w:fldChar w:fldCharType="end"/>
            </w:r>
            <w:r>
              <w:rPr>
                <w:rFonts w:hint="eastAsia" w:ascii="Times New Roman" w:hAnsi="Times New Roman" w:eastAsia="宋体"/>
                <w:color w:val="000000" w:themeColor="text1"/>
                <w:sz w:val="24"/>
                <w:highlight w:val="none"/>
                <w14:textFill>
                  <w14:solidFill>
                    <w14:schemeClr w14:val="tx1"/>
                  </w14:solidFill>
                </w14:textFill>
              </w:rPr>
              <w:t xml:space="preserve">  项目喷粉废气源强计算表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12"/>
              <w:gridCol w:w="770"/>
              <w:gridCol w:w="742"/>
              <w:gridCol w:w="810"/>
              <w:gridCol w:w="810"/>
              <w:gridCol w:w="794"/>
              <w:gridCol w:w="3913"/>
            </w:tblGrid>
            <w:tr w14:paraId="792CB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1" w:type="pct"/>
                  <w:tcBorders>
                    <w:tl2br w:val="nil"/>
                    <w:tr2bl w:val="nil"/>
                  </w:tcBorders>
                  <w:vAlign w:val="center"/>
                </w:tcPr>
                <w:p w14:paraId="0BD33E30">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编号</w:t>
                  </w:r>
                </w:p>
              </w:tc>
              <w:tc>
                <w:tcPr>
                  <w:tcW w:w="455" w:type="pct"/>
                  <w:tcBorders>
                    <w:tl2br w:val="nil"/>
                    <w:tr2bl w:val="nil"/>
                  </w:tcBorders>
                  <w:vAlign w:val="center"/>
                </w:tcPr>
                <w:p w14:paraId="42055B8E">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污染源</w:t>
                  </w:r>
                </w:p>
              </w:tc>
              <w:tc>
                <w:tcPr>
                  <w:tcW w:w="439" w:type="pct"/>
                  <w:tcBorders>
                    <w:tl2br w:val="nil"/>
                    <w:tr2bl w:val="nil"/>
                  </w:tcBorders>
                  <w:vAlign w:val="center"/>
                </w:tcPr>
                <w:p w14:paraId="62961F31">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污染物</w:t>
                  </w:r>
                </w:p>
              </w:tc>
              <w:tc>
                <w:tcPr>
                  <w:tcW w:w="479" w:type="pct"/>
                  <w:tcBorders>
                    <w:tl2br w:val="nil"/>
                    <w:tr2bl w:val="nil"/>
                  </w:tcBorders>
                  <w:vAlign w:val="center"/>
                </w:tcPr>
                <w:p w14:paraId="34377504">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产污系数</w:t>
                  </w:r>
                </w:p>
              </w:tc>
              <w:tc>
                <w:tcPr>
                  <w:tcW w:w="479" w:type="pct"/>
                  <w:tcBorders>
                    <w:tl2br w:val="nil"/>
                    <w:tr2bl w:val="nil"/>
                  </w:tcBorders>
                  <w:vAlign w:val="center"/>
                </w:tcPr>
                <w:p w14:paraId="4E90E89A">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lang w:eastAsia="zh-CN"/>
                      <w14:textFill>
                        <w14:solidFill>
                          <w14:schemeClr w14:val="tx1"/>
                        </w14:solidFill>
                      </w14:textFill>
                    </w:rPr>
                    <w:t>喷粉量</w:t>
                  </w:r>
                  <w:r>
                    <w:rPr>
                      <w:rFonts w:ascii="Times New Roman" w:hAnsi="Times New Roman" w:eastAsia="宋体" w:cs="Times New Roman"/>
                      <w:b/>
                      <w:bCs/>
                      <w:color w:val="000000" w:themeColor="text1"/>
                      <w:highlight w:val="none"/>
                      <w14:textFill>
                        <w14:solidFill>
                          <w14:schemeClr w14:val="tx1"/>
                        </w14:solidFill>
                      </w14:textFill>
                    </w:rPr>
                    <w:t>t/a</w:t>
                  </w:r>
                </w:p>
              </w:tc>
              <w:tc>
                <w:tcPr>
                  <w:tcW w:w="470" w:type="pct"/>
                  <w:tcBorders>
                    <w:tl2br w:val="nil"/>
                    <w:tr2bl w:val="nil"/>
                  </w:tcBorders>
                  <w:vAlign w:val="center"/>
                </w:tcPr>
                <w:p w14:paraId="28384718">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产生量</w:t>
                  </w:r>
                  <w:r>
                    <w:rPr>
                      <w:rFonts w:ascii="Times New Roman" w:hAnsi="Times New Roman" w:eastAsia="宋体" w:cs="Times New Roman"/>
                      <w:b/>
                      <w:bCs/>
                      <w:color w:val="000000" w:themeColor="text1"/>
                      <w:highlight w:val="none"/>
                      <w14:textFill>
                        <w14:solidFill>
                          <w14:schemeClr w14:val="tx1"/>
                        </w14:solidFill>
                      </w14:textFill>
                    </w:rPr>
                    <w:br w:type="textWrapping"/>
                  </w:r>
                  <w:r>
                    <w:rPr>
                      <w:rFonts w:ascii="Times New Roman" w:hAnsi="Times New Roman" w:eastAsia="宋体" w:cs="Times New Roman"/>
                      <w:b/>
                      <w:bCs/>
                      <w:color w:val="000000" w:themeColor="text1"/>
                      <w:highlight w:val="none"/>
                      <w14:textFill>
                        <w14:solidFill>
                          <w14:schemeClr w14:val="tx1"/>
                        </w14:solidFill>
                      </w14:textFill>
                    </w:rPr>
                    <w:t>t/a</w:t>
                  </w:r>
                </w:p>
              </w:tc>
              <w:tc>
                <w:tcPr>
                  <w:tcW w:w="2314" w:type="pct"/>
                  <w:tcBorders>
                    <w:tl2br w:val="nil"/>
                    <w:tr2bl w:val="nil"/>
                  </w:tcBorders>
                  <w:vAlign w:val="center"/>
                </w:tcPr>
                <w:p w14:paraId="120C33D2">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产污系数来源</w:t>
                  </w:r>
                </w:p>
              </w:tc>
            </w:tr>
            <w:tr w14:paraId="2F813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1" w:type="pct"/>
                  <w:tcBorders>
                    <w:tl2br w:val="nil"/>
                    <w:tr2bl w:val="nil"/>
                  </w:tcBorders>
                  <w:vAlign w:val="center"/>
                </w:tcPr>
                <w:p w14:paraId="43D2AF5D">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G2</w:t>
                  </w:r>
                </w:p>
              </w:tc>
              <w:tc>
                <w:tcPr>
                  <w:tcW w:w="455" w:type="pct"/>
                  <w:tcBorders>
                    <w:tl2br w:val="nil"/>
                    <w:tr2bl w:val="nil"/>
                  </w:tcBorders>
                  <w:vAlign w:val="center"/>
                </w:tcPr>
                <w:p w14:paraId="049E6D1D">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喷粉废气</w:t>
                  </w:r>
                </w:p>
              </w:tc>
              <w:tc>
                <w:tcPr>
                  <w:tcW w:w="439" w:type="pct"/>
                  <w:tcBorders>
                    <w:tl2br w:val="nil"/>
                    <w:tr2bl w:val="nil"/>
                  </w:tcBorders>
                  <w:vAlign w:val="center"/>
                </w:tcPr>
                <w:p w14:paraId="4CCC9B58">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w:t>
                  </w:r>
                </w:p>
              </w:tc>
              <w:tc>
                <w:tcPr>
                  <w:tcW w:w="479" w:type="pct"/>
                  <w:tcBorders>
                    <w:tl2br w:val="nil"/>
                    <w:tr2bl w:val="nil"/>
                  </w:tcBorders>
                  <w:vAlign w:val="center"/>
                </w:tcPr>
                <w:p w14:paraId="60706671">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300kg/t-原料</w:t>
                  </w:r>
                </w:p>
              </w:tc>
              <w:tc>
                <w:tcPr>
                  <w:tcW w:w="479" w:type="pct"/>
                  <w:tcBorders>
                    <w:tl2br w:val="nil"/>
                    <w:tr2bl w:val="nil"/>
                  </w:tcBorders>
                  <w:vAlign w:val="center"/>
                </w:tcPr>
                <w:p w14:paraId="5316F755">
                  <w:pPr>
                    <w:pStyle w:val="40"/>
                    <w:spacing w:before="31"/>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9.12</w:t>
                  </w:r>
                </w:p>
              </w:tc>
              <w:tc>
                <w:tcPr>
                  <w:tcW w:w="470" w:type="pct"/>
                  <w:tcBorders>
                    <w:tl2br w:val="nil"/>
                    <w:tr2bl w:val="nil"/>
                  </w:tcBorders>
                  <w:vAlign w:val="center"/>
                </w:tcPr>
                <w:p w14:paraId="331B6281">
                  <w:pPr>
                    <w:pStyle w:val="40"/>
                    <w:spacing w:before="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2.736</w:t>
                  </w:r>
                </w:p>
              </w:tc>
              <w:tc>
                <w:tcPr>
                  <w:tcW w:w="2314" w:type="pct"/>
                  <w:tcBorders>
                    <w:tl2br w:val="nil"/>
                    <w:tr2bl w:val="nil"/>
                  </w:tcBorders>
                  <w:vAlign w:val="center"/>
                </w:tcPr>
                <w:p w14:paraId="3C9EB48C">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《排放源统计调查产排污核算方法和系数手册》中</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机械行业系数手册</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，涂装喷塑工序颗粒物产生系数为300kg/t-原料</w:t>
                  </w:r>
                </w:p>
              </w:tc>
            </w:tr>
          </w:tbl>
          <w:p w14:paraId="0AFBC19E">
            <w:pPr>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项目喷粉室是半封闭的、不易积聚粉末的、具有良好机械通风不外逸粉末并设有回收装置，底部自带吸口，收集效率可达</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90</w:t>
            </w:r>
            <w:r>
              <w:rPr>
                <w:rFonts w:hint="eastAsia" w:ascii="Times New Roman" w:hAnsi="Times New Roman" w:eastAsia="宋体" w:cs="宋体"/>
                <w:color w:val="000000" w:themeColor="text1"/>
                <w:sz w:val="24"/>
                <w:highlight w:val="none"/>
                <w14:textFill>
                  <w14:solidFill>
                    <w14:schemeClr w14:val="tx1"/>
                  </w14:solidFill>
                </w14:textFill>
              </w:rPr>
              <w:t>%，未收集污染物车间无组织排放。通过设备自带塑粉回收系统，将未附着的塑粉分别收集至喷粉线自带的滤筒除尘器回收，回收率约为80%，由1根</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15</w:t>
            </w:r>
            <w:r>
              <w:rPr>
                <w:rFonts w:hint="eastAsia" w:ascii="Times New Roman" w:hAnsi="Times New Roman" w:eastAsia="宋体" w:cs="宋体"/>
                <w:color w:val="000000" w:themeColor="text1"/>
                <w:sz w:val="24"/>
                <w:highlight w:val="none"/>
                <w14:textFill>
                  <w14:solidFill>
                    <w14:schemeClr w14:val="tx1"/>
                  </w14:solidFill>
                </w14:textFill>
              </w:rPr>
              <w:t>m高排气筒DA002排放，喷粉</w:t>
            </w:r>
            <w:r>
              <w:rPr>
                <w:rFonts w:hint="eastAsia" w:ascii="Times New Roman" w:hAnsi="Times New Roman" w:eastAsia="宋体" w:cs="宋体"/>
                <w:color w:val="000000" w:themeColor="text1"/>
                <w:sz w:val="24"/>
                <w:highlight w:val="none"/>
                <w:lang w:eastAsia="zh-CN"/>
                <w14:textFill>
                  <w14:solidFill>
                    <w14:schemeClr w14:val="tx1"/>
                  </w14:solidFill>
                </w14:textFill>
              </w:rPr>
              <w:t>设施</w:t>
            </w:r>
            <w:r>
              <w:rPr>
                <w:rFonts w:hint="eastAsia" w:ascii="Times New Roman" w:hAnsi="Times New Roman" w:eastAsia="宋体" w:cs="宋体"/>
                <w:color w:val="000000" w:themeColor="text1"/>
                <w:sz w:val="24"/>
                <w:highlight w:val="none"/>
                <w14:textFill>
                  <w14:solidFill>
                    <w14:schemeClr w14:val="tx1"/>
                  </w14:solidFill>
                </w14:textFill>
              </w:rPr>
              <w:t>自带风机风量8000m</w:t>
            </w:r>
            <w:r>
              <w:rPr>
                <w:rFonts w:hint="eastAsia" w:ascii="Times New Roman" w:hAnsi="Times New Roman" w:eastAsia="宋体" w:cs="宋体"/>
                <w:color w:val="000000" w:themeColor="text1"/>
                <w:sz w:val="24"/>
                <w:highlight w:val="none"/>
                <w:vertAlign w:val="superscript"/>
                <w14:textFill>
                  <w14:solidFill>
                    <w14:schemeClr w14:val="tx1"/>
                  </w14:solidFill>
                </w14:textFill>
              </w:rPr>
              <w:t>3</w:t>
            </w:r>
            <w:r>
              <w:rPr>
                <w:rFonts w:hint="eastAsia" w:ascii="Times New Roman" w:hAnsi="Times New Roman" w:eastAsia="宋体" w:cs="宋体"/>
                <w:color w:val="000000" w:themeColor="text1"/>
                <w:sz w:val="24"/>
                <w:highlight w:val="none"/>
                <w14:textFill>
                  <w14:solidFill>
                    <w14:schemeClr w14:val="tx1"/>
                  </w14:solidFill>
                </w14:textFill>
              </w:rPr>
              <w:t>/h，则喷粉废气排放情况如下表：</w:t>
            </w:r>
          </w:p>
          <w:p w14:paraId="773F8092">
            <w:pPr>
              <w:pStyle w:val="44"/>
              <w:spacing w:beforeLines="0" w:line="360" w:lineRule="auto"/>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表4-</w:t>
            </w:r>
            <w:r>
              <w:rPr>
                <w:rFonts w:hint="eastAsia" w:ascii="Times New Roman" w:hAnsi="Times New Roman" w:eastAsia="宋体"/>
                <w:color w:val="000000" w:themeColor="text1"/>
                <w:sz w:val="24"/>
                <w:highlight w:val="none"/>
                <w14:textFill>
                  <w14:solidFill>
                    <w14:schemeClr w14:val="tx1"/>
                  </w14:solidFill>
                </w14:textFill>
              </w:rPr>
              <w:t>6  项目喷粉废气排放情况一览表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5"/>
              <w:gridCol w:w="567"/>
              <w:gridCol w:w="811"/>
              <w:gridCol w:w="768"/>
              <w:gridCol w:w="689"/>
              <w:gridCol w:w="567"/>
              <w:gridCol w:w="689"/>
              <w:gridCol w:w="860"/>
              <w:gridCol w:w="663"/>
              <w:gridCol w:w="659"/>
              <w:gridCol w:w="719"/>
              <w:gridCol w:w="794"/>
            </w:tblGrid>
            <w:tr w14:paraId="5A3CB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3" w:type="pct"/>
                  <w:vMerge w:val="restart"/>
                  <w:tcBorders>
                    <w:tl2br w:val="nil"/>
                    <w:tr2bl w:val="nil"/>
                  </w:tcBorders>
                  <w:vAlign w:val="center"/>
                </w:tcPr>
                <w:p w14:paraId="5A344764">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污染源</w:t>
                  </w:r>
                </w:p>
              </w:tc>
              <w:tc>
                <w:tcPr>
                  <w:tcW w:w="335" w:type="pct"/>
                  <w:vMerge w:val="restart"/>
                  <w:tcBorders>
                    <w:tl2br w:val="nil"/>
                    <w:tr2bl w:val="nil"/>
                  </w:tcBorders>
                  <w:vAlign w:val="center"/>
                </w:tcPr>
                <w:p w14:paraId="22A3A5F7">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污染物</w:t>
                  </w:r>
                </w:p>
              </w:tc>
              <w:tc>
                <w:tcPr>
                  <w:tcW w:w="479" w:type="pct"/>
                  <w:vMerge w:val="restart"/>
                  <w:tcBorders>
                    <w:tl2br w:val="nil"/>
                    <w:tr2bl w:val="nil"/>
                  </w:tcBorders>
                  <w:vAlign w:val="center"/>
                </w:tcPr>
                <w:p w14:paraId="7B22B803">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排放时间h/a</w:t>
                  </w:r>
                </w:p>
              </w:tc>
              <w:tc>
                <w:tcPr>
                  <w:tcW w:w="454" w:type="pct"/>
                  <w:vMerge w:val="restart"/>
                  <w:tcBorders>
                    <w:tl2br w:val="nil"/>
                    <w:tr2bl w:val="nil"/>
                  </w:tcBorders>
                  <w:vAlign w:val="center"/>
                </w:tcPr>
                <w:p w14:paraId="7DFA4FA2">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产生量t/a</w:t>
                  </w:r>
                </w:p>
              </w:tc>
              <w:tc>
                <w:tcPr>
                  <w:tcW w:w="407" w:type="pct"/>
                  <w:vMerge w:val="restart"/>
                  <w:tcBorders>
                    <w:tl2br w:val="nil"/>
                    <w:tr2bl w:val="nil"/>
                  </w:tcBorders>
                  <w:vAlign w:val="center"/>
                </w:tcPr>
                <w:p w14:paraId="06CE067F">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收集效率</w:t>
                  </w:r>
                </w:p>
              </w:tc>
              <w:tc>
                <w:tcPr>
                  <w:tcW w:w="335" w:type="pct"/>
                  <w:vMerge w:val="restart"/>
                  <w:tcBorders>
                    <w:tl2br w:val="nil"/>
                    <w:tr2bl w:val="nil"/>
                  </w:tcBorders>
                  <w:vAlign w:val="center"/>
                </w:tcPr>
                <w:p w14:paraId="28DBE75E">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处置效率</w:t>
                  </w:r>
                </w:p>
              </w:tc>
              <w:tc>
                <w:tcPr>
                  <w:tcW w:w="407" w:type="pct"/>
                  <w:vMerge w:val="restart"/>
                  <w:tcBorders>
                    <w:tl2br w:val="nil"/>
                    <w:tr2bl w:val="nil"/>
                  </w:tcBorders>
                  <w:vAlign w:val="center"/>
                </w:tcPr>
                <w:p w14:paraId="1747C197">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风量m</w:t>
                  </w:r>
                  <w:r>
                    <w:rPr>
                      <w:rFonts w:ascii="Times New Roman" w:hAnsi="Times New Roman" w:cs="Times New Roman"/>
                      <w:b/>
                      <w:bCs/>
                      <w:color w:val="000000" w:themeColor="text1"/>
                      <w:highlight w:val="none"/>
                      <w:vertAlign w:val="superscript"/>
                      <w14:textFill>
                        <w14:solidFill>
                          <w14:schemeClr w14:val="tx1"/>
                        </w14:solidFill>
                      </w14:textFill>
                    </w:rPr>
                    <w:t>3</w:t>
                  </w:r>
                  <w:r>
                    <w:rPr>
                      <w:rFonts w:ascii="Times New Roman" w:hAnsi="Times New Roman" w:cs="Times New Roman"/>
                      <w:b/>
                      <w:bCs/>
                      <w:color w:val="000000" w:themeColor="text1"/>
                      <w:highlight w:val="none"/>
                      <w14:textFill>
                        <w14:solidFill>
                          <w14:schemeClr w14:val="tx1"/>
                        </w14:solidFill>
                      </w14:textFill>
                    </w:rPr>
                    <w:t>/h</w:t>
                  </w:r>
                </w:p>
              </w:tc>
              <w:tc>
                <w:tcPr>
                  <w:tcW w:w="508" w:type="pct"/>
                  <w:vMerge w:val="restart"/>
                  <w:tcBorders>
                    <w:tl2br w:val="nil"/>
                    <w:tr2bl w:val="nil"/>
                  </w:tcBorders>
                  <w:vAlign w:val="center"/>
                </w:tcPr>
                <w:p w14:paraId="36DA796D">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无组织排放量</w:t>
                  </w:r>
                </w:p>
              </w:tc>
              <w:tc>
                <w:tcPr>
                  <w:tcW w:w="1207" w:type="pct"/>
                  <w:gridSpan w:val="3"/>
                  <w:tcBorders>
                    <w:tl2br w:val="nil"/>
                    <w:tr2bl w:val="nil"/>
                  </w:tcBorders>
                  <w:vAlign w:val="center"/>
                </w:tcPr>
                <w:p w14:paraId="76710D95">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有组织排放</w:t>
                  </w:r>
                </w:p>
              </w:tc>
              <w:tc>
                <w:tcPr>
                  <w:tcW w:w="469" w:type="pct"/>
                  <w:vMerge w:val="restart"/>
                  <w:tcBorders>
                    <w:tl2br w:val="nil"/>
                    <w:tr2bl w:val="nil"/>
                  </w:tcBorders>
                  <w:vAlign w:val="center"/>
                </w:tcPr>
                <w:p w14:paraId="6A22F5CD">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排气筒编号</w:t>
                  </w:r>
                </w:p>
              </w:tc>
            </w:tr>
            <w:tr w14:paraId="28481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8" w:hRule="atLeast"/>
                <w:jc w:val="center"/>
              </w:trPr>
              <w:tc>
                <w:tcPr>
                  <w:tcW w:w="393" w:type="pct"/>
                  <w:vMerge w:val="continue"/>
                  <w:tcBorders>
                    <w:tl2br w:val="nil"/>
                    <w:tr2bl w:val="nil"/>
                  </w:tcBorders>
                  <w:vAlign w:val="center"/>
                </w:tcPr>
                <w:p w14:paraId="6541C3D0">
                  <w:pPr>
                    <w:pStyle w:val="40"/>
                    <w:spacing w:before="31"/>
                    <w:rPr>
                      <w:rFonts w:ascii="Times New Roman" w:hAnsi="Times New Roman" w:cs="Times New Roman"/>
                      <w:color w:val="000000" w:themeColor="text1"/>
                      <w:highlight w:val="none"/>
                      <w14:textFill>
                        <w14:solidFill>
                          <w14:schemeClr w14:val="tx1"/>
                        </w14:solidFill>
                      </w14:textFill>
                    </w:rPr>
                  </w:pPr>
                </w:p>
              </w:tc>
              <w:tc>
                <w:tcPr>
                  <w:tcW w:w="335" w:type="pct"/>
                  <w:vMerge w:val="continue"/>
                  <w:tcBorders>
                    <w:tl2br w:val="nil"/>
                    <w:tr2bl w:val="nil"/>
                  </w:tcBorders>
                  <w:vAlign w:val="center"/>
                </w:tcPr>
                <w:p w14:paraId="2701F07C">
                  <w:pPr>
                    <w:pStyle w:val="40"/>
                    <w:spacing w:before="31"/>
                    <w:rPr>
                      <w:rFonts w:ascii="Times New Roman" w:hAnsi="Times New Roman" w:cs="Times New Roman"/>
                      <w:color w:val="000000" w:themeColor="text1"/>
                      <w:highlight w:val="none"/>
                      <w14:textFill>
                        <w14:solidFill>
                          <w14:schemeClr w14:val="tx1"/>
                        </w14:solidFill>
                      </w14:textFill>
                    </w:rPr>
                  </w:pPr>
                </w:p>
              </w:tc>
              <w:tc>
                <w:tcPr>
                  <w:tcW w:w="479" w:type="pct"/>
                  <w:vMerge w:val="continue"/>
                  <w:tcBorders>
                    <w:tl2br w:val="nil"/>
                    <w:tr2bl w:val="nil"/>
                  </w:tcBorders>
                  <w:vAlign w:val="center"/>
                </w:tcPr>
                <w:p w14:paraId="10738A6F">
                  <w:pPr>
                    <w:pStyle w:val="40"/>
                    <w:spacing w:before="31"/>
                    <w:rPr>
                      <w:rFonts w:ascii="Times New Roman" w:hAnsi="Times New Roman" w:cs="Times New Roman"/>
                      <w:color w:val="000000" w:themeColor="text1"/>
                      <w:highlight w:val="none"/>
                      <w14:textFill>
                        <w14:solidFill>
                          <w14:schemeClr w14:val="tx1"/>
                        </w14:solidFill>
                      </w14:textFill>
                    </w:rPr>
                  </w:pPr>
                </w:p>
              </w:tc>
              <w:tc>
                <w:tcPr>
                  <w:tcW w:w="454" w:type="pct"/>
                  <w:vMerge w:val="continue"/>
                  <w:tcBorders>
                    <w:tl2br w:val="nil"/>
                    <w:tr2bl w:val="nil"/>
                  </w:tcBorders>
                  <w:vAlign w:val="center"/>
                </w:tcPr>
                <w:p w14:paraId="3B927F71">
                  <w:pPr>
                    <w:pStyle w:val="40"/>
                    <w:spacing w:before="31"/>
                    <w:rPr>
                      <w:rFonts w:ascii="Times New Roman" w:hAnsi="Times New Roman" w:cs="Times New Roman"/>
                      <w:color w:val="000000" w:themeColor="text1"/>
                      <w:highlight w:val="none"/>
                      <w14:textFill>
                        <w14:solidFill>
                          <w14:schemeClr w14:val="tx1"/>
                        </w14:solidFill>
                      </w14:textFill>
                    </w:rPr>
                  </w:pPr>
                </w:p>
              </w:tc>
              <w:tc>
                <w:tcPr>
                  <w:tcW w:w="407" w:type="pct"/>
                  <w:vMerge w:val="continue"/>
                  <w:tcBorders>
                    <w:tl2br w:val="nil"/>
                    <w:tr2bl w:val="nil"/>
                  </w:tcBorders>
                  <w:vAlign w:val="center"/>
                </w:tcPr>
                <w:p w14:paraId="7E2FF7F3">
                  <w:pPr>
                    <w:pStyle w:val="40"/>
                    <w:spacing w:before="31"/>
                    <w:rPr>
                      <w:rFonts w:ascii="Times New Roman" w:hAnsi="Times New Roman" w:cs="Times New Roman"/>
                      <w:color w:val="000000" w:themeColor="text1"/>
                      <w:highlight w:val="none"/>
                      <w14:textFill>
                        <w14:solidFill>
                          <w14:schemeClr w14:val="tx1"/>
                        </w14:solidFill>
                      </w14:textFill>
                    </w:rPr>
                  </w:pPr>
                </w:p>
              </w:tc>
              <w:tc>
                <w:tcPr>
                  <w:tcW w:w="335" w:type="pct"/>
                  <w:vMerge w:val="continue"/>
                  <w:tcBorders>
                    <w:tl2br w:val="nil"/>
                    <w:tr2bl w:val="nil"/>
                  </w:tcBorders>
                  <w:vAlign w:val="center"/>
                </w:tcPr>
                <w:p w14:paraId="114826AF">
                  <w:pPr>
                    <w:pStyle w:val="40"/>
                    <w:spacing w:before="31"/>
                    <w:rPr>
                      <w:rFonts w:ascii="Times New Roman" w:hAnsi="Times New Roman" w:cs="Times New Roman"/>
                      <w:color w:val="000000" w:themeColor="text1"/>
                      <w:highlight w:val="none"/>
                      <w14:textFill>
                        <w14:solidFill>
                          <w14:schemeClr w14:val="tx1"/>
                        </w14:solidFill>
                      </w14:textFill>
                    </w:rPr>
                  </w:pPr>
                </w:p>
              </w:tc>
              <w:tc>
                <w:tcPr>
                  <w:tcW w:w="407" w:type="pct"/>
                  <w:vMerge w:val="continue"/>
                  <w:tcBorders>
                    <w:tl2br w:val="nil"/>
                    <w:tr2bl w:val="nil"/>
                  </w:tcBorders>
                  <w:vAlign w:val="center"/>
                </w:tcPr>
                <w:p w14:paraId="1800AF5D">
                  <w:pPr>
                    <w:pStyle w:val="40"/>
                    <w:spacing w:before="31"/>
                    <w:rPr>
                      <w:rFonts w:ascii="Times New Roman" w:hAnsi="Times New Roman" w:cs="Times New Roman"/>
                      <w:color w:val="000000" w:themeColor="text1"/>
                      <w:highlight w:val="none"/>
                      <w14:textFill>
                        <w14:solidFill>
                          <w14:schemeClr w14:val="tx1"/>
                        </w14:solidFill>
                      </w14:textFill>
                    </w:rPr>
                  </w:pPr>
                </w:p>
              </w:tc>
              <w:tc>
                <w:tcPr>
                  <w:tcW w:w="508" w:type="pct"/>
                  <w:vMerge w:val="continue"/>
                  <w:tcBorders>
                    <w:tl2br w:val="nil"/>
                    <w:tr2bl w:val="nil"/>
                  </w:tcBorders>
                  <w:vAlign w:val="center"/>
                </w:tcPr>
                <w:p w14:paraId="6D544791">
                  <w:pPr>
                    <w:pStyle w:val="40"/>
                    <w:spacing w:before="31"/>
                    <w:rPr>
                      <w:rFonts w:ascii="Times New Roman" w:hAnsi="Times New Roman" w:cs="Times New Roman"/>
                      <w:color w:val="000000" w:themeColor="text1"/>
                      <w:highlight w:val="none"/>
                      <w14:textFill>
                        <w14:solidFill>
                          <w14:schemeClr w14:val="tx1"/>
                        </w14:solidFill>
                      </w14:textFill>
                    </w:rPr>
                  </w:pPr>
                </w:p>
              </w:tc>
              <w:tc>
                <w:tcPr>
                  <w:tcW w:w="392" w:type="pct"/>
                  <w:tcBorders>
                    <w:tl2br w:val="nil"/>
                    <w:tr2bl w:val="nil"/>
                  </w:tcBorders>
                  <w:vAlign w:val="center"/>
                </w:tcPr>
                <w:p w14:paraId="554A7C23">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量t/a</w:t>
                  </w:r>
                </w:p>
              </w:tc>
              <w:tc>
                <w:tcPr>
                  <w:tcW w:w="389" w:type="pct"/>
                  <w:tcBorders>
                    <w:tl2br w:val="nil"/>
                    <w:tr2bl w:val="nil"/>
                  </w:tcBorders>
                  <w:vAlign w:val="center"/>
                </w:tcPr>
                <w:p w14:paraId="25892B4D">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速率kg/h</w:t>
                  </w:r>
                </w:p>
              </w:tc>
              <w:tc>
                <w:tcPr>
                  <w:tcW w:w="425" w:type="pct"/>
                  <w:tcBorders>
                    <w:tl2br w:val="nil"/>
                    <w:tr2bl w:val="nil"/>
                  </w:tcBorders>
                  <w:vAlign w:val="center"/>
                </w:tcPr>
                <w:p w14:paraId="1A4EE19F">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浓度mg/m</w:t>
                  </w:r>
                  <w:r>
                    <w:rPr>
                      <w:rFonts w:ascii="Times New Roman" w:hAnsi="Times New Roman" w:cs="Times New Roman"/>
                      <w:b/>
                      <w:bCs/>
                      <w:color w:val="000000" w:themeColor="text1"/>
                      <w:highlight w:val="none"/>
                      <w:vertAlign w:val="superscript"/>
                      <w14:textFill>
                        <w14:solidFill>
                          <w14:schemeClr w14:val="tx1"/>
                        </w14:solidFill>
                      </w14:textFill>
                    </w:rPr>
                    <w:t>3</w:t>
                  </w:r>
                </w:p>
              </w:tc>
              <w:tc>
                <w:tcPr>
                  <w:tcW w:w="469" w:type="pct"/>
                  <w:vMerge w:val="continue"/>
                  <w:tcBorders>
                    <w:tl2br w:val="nil"/>
                    <w:tr2bl w:val="nil"/>
                  </w:tcBorders>
                  <w:vAlign w:val="center"/>
                </w:tcPr>
                <w:p w14:paraId="5F325086">
                  <w:pPr>
                    <w:pStyle w:val="40"/>
                    <w:spacing w:before="31"/>
                    <w:rPr>
                      <w:rFonts w:ascii="Times New Roman" w:hAnsi="Times New Roman" w:cs="Times New Roman"/>
                      <w:color w:val="000000" w:themeColor="text1"/>
                      <w:highlight w:val="none"/>
                      <w14:textFill>
                        <w14:solidFill>
                          <w14:schemeClr w14:val="tx1"/>
                        </w14:solidFill>
                      </w14:textFill>
                    </w:rPr>
                  </w:pPr>
                </w:p>
              </w:tc>
            </w:tr>
            <w:tr w14:paraId="33ECB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93" w:type="pct"/>
                  <w:tcBorders>
                    <w:tl2br w:val="nil"/>
                    <w:tr2bl w:val="nil"/>
                  </w:tcBorders>
                  <w:vAlign w:val="center"/>
                </w:tcPr>
                <w:p w14:paraId="704BFFD6">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喷粉废气</w:t>
                  </w:r>
                </w:p>
              </w:tc>
              <w:tc>
                <w:tcPr>
                  <w:tcW w:w="335" w:type="pct"/>
                  <w:tcBorders>
                    <w:tl2br w:val="nil"/>
                    <w:tr2bl w:val="nil"/>
                  </w:tcBorders>
                  <w:vAlign w:val="center"/>
                </w:tcPr>
                <w:p w14:paraId="2EA29A0C">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颗粒物</w:t>
                  </w:r>
                </w:p>
              </w:tc>
              <w:tc>
                <w:tcPr>
                  <w:tcW w:w="479" w:type="pct"/>
                  <w:tcBorders>
                    <w:tl2br w:val="nil"/>
                    <w:tr2bl w:val="nil"/>
                  </w:tcBorders>
                  <w:vAlign w:val="center"/>
                </w:tcPr>
                <w:p w14:paraId="2EFC8804">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2000</w:t>
                  </w:r>
                </w:p>
              </w:tc>
              <w:tc>
                <w:tcPr>
                  <w:tcW w:w="454" w:type="pct"/>
                  <w:tcBorders>
                    <w:tl2br w:val="nil"/>
                    <w:tr2bl w:val="nil"/>
                  </w:tcBorders>
                  <w:vAlign w:val="center"/>
                </w:tcPr>
                <w:p w14:paraId="28FACA23">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2.736</w:t>
                  </w:r>
                </w:p>
              </w:tc>
              <w:tc>
                <w:tcPr>
                  <w:tcW w:w="407" w:type="pct"/>
                  <w:tcBorders>
                    <w:tl2br w:val="nil"/>
                    <w:tr2bl w:val="nil"/>
                  </w:tcBorders>
                  <w:vAlign w:val="center"/>
                </w:tcPr>
                <w:p w14:paraId="38295B89">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90</w:t>
                  </w:r>
                  <w:r>
                    <w:rPr>
                      <w:rFonts w:ascii="Times New Roman" w:hAnsi="Times New Roman" w:cs="Times New Roman"/>
                      <w:color w:val="000000" w:themeColor="text1"/>
                      <w:highlight w:val="none"/>
                      <w14:textFill>
                        <w14:solidFill>
                          <w14:schemeClr w14:val="tx1"/>
                        </w14:solidFill>
                      </w14:textFill>
                    </w:rPr>
                    <w:t>%</w:t>
                  </w:r>
                </w:p>
              </w:tc>
              <w:tc>
                <w:tcPr>
                  <w:tcW w:w="335" w:type="pct"/>
                  <w:tcBorders>
                    <w:tl2br w:val="nil"/>
                    <w:tr2bl w:val="nil"/>
                  </w:tcBorders>
                  <w:vAlign w:val="center"/>
                </w:tcPr>
                <w:p w14:paraId="25A960CD">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80</w:t>
                  </w:r>
                  <w:r>
                    <w:rPr>
                      <w:rFonts w:ascii="Times New Roman" w:hAnsi="Times New Roman" w:cs="Times New Roman"/>
                      <w:color w:val="000000" w:themeColor="text1"/>
                      <w:highlight w:val="none"/>
                      <w14:textFill>
                        <w14:solidFill>
                          <w14:schemeClr w14:val="tx1"/>
                        </w14:solidFill>
                      </w14:textFill>
                    </w:rPr>
                    <w:t>%</w:t>
                  </w:r>
                </w:p>
              </w:tc>
              <w:tc>
                <w:tcPr>
                  <w:tcW w:w="407" w:type="pct"/>
                  <w:tcBorders>
                    <w:tl2br w:val="nil"/>
                    <w:tr2bl w:val="nil"/>
                  </w:tcBorders>
                  <w:vAlign w:val="center"/>
                </w:tcPr>
                <w:p w14:paraId="6DF35DA1">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8000</w:t>
                  </w:r>
                </w:p>
              </w:tc>
              <w:tc>
                <w:tcPr>
                  <w:tcW w:w="508" w:type="pct"/>
                  <w:tcBorders>
                    <w:tl2br w:val="nil"/>
                    <w:tr2bl w:val="nil"/>
                  </w:tcBorders>
                  <w:vAlign w:val="center"/>
                </w:tcPr>
                <w:p w14:paraId="2C5BDC6E">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0.274</w:t>
                  </w:r>
                </w:p>
              </w:tc>
              <w:tc>
                <w:tcPr>
                  <w:tcW w:w="392" w:type="pct"/>
                  <w:tcBorders>
                    <w:tl2br w:val="nil"/>
                    <w:tr2bl w:val="nil"/>
                  </w:tcBorders>
                  <w:vAlign w:val="center"/>
                </w:tcPr>
                <w:p w14:paraId="5B243403">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0.492</w:t>
                  </w:r>
                </w:p>
              </w:tc>
              <w:tc>
                <w:tcPr>
                  <w:tcW w:w="389" w:type="pct"/>
                  <w:tcBorders>
                    <w:tl2br w:val="nil"/>
                    <w:tr2bl w:val="nil"/>
                  </w:tcBorders>
                  <w:vAlign w:val="center"/>
                </w:tcPr>
                <w:p w14:paraId="16EC3EF1">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0.246</w:t>
                  </w:r>
                </w:p>
              </w:tc>
              <w:tc>
                <w:tcPr>
                  <w:tcW w:w="425" w:type="pct"/>
                  <w:tcBorders>
                    <w:tl2br w:val="nil"/>
                    <w:tr2bl w:val="nil"/>
                  </w:tcBorders>
                  <w:vAlign w:val="center"/>
                </w:tcPr>
                <w:p w14:paraId="003773F4">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30.1</w:t>
                  </w:r>
                </w:p>
              </w:tc>
              <w:tc>
                <w:tcPr>
                  <w:tcW w:w="469" w:type="pct"/>
                  <w:tcBorders>
                    <w:tl2br w:val="nil"/>
                    <w:tr2bl w:val="nil"/>
                  </w:tcBorders>
                  <w:vAlign w:val="center"/>
                </w:tcPr>
                <w:p w14:paraId="6A68074B">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DA00</w:t>
                  </w:r>
                  <w:r>
                    <w:rPr>
                      <w:rFonts w:hint="eastAsia" w:ascii="Times New Roman" w:hAnsi="Times New Roman" w:cs="Times New Roman"/>
                      <w:color w:val="000000" w:themeColor="text1"/>
                      <w:highlight w:val="none"/>
                      <w14:textFill>
                        <w14:solidFill>
                          <w14:schemeClr w14:val="tx1"/>
                        </w14:solidFill>
                      </w14:textFill>
                    </w:rPr>
                    <w:t>2</w:t>
                  </w:r>
                </w:p>
              </w:tc>
            </w:tr>
          </w:tbl>
          <w:p w14:paraId="1B156365">
            <w:pPr>
              <w:spacing w:line="360" w:lineRule="auto"/>
              <w:ind w:firstLine="482" w:firstLineChars="200"/>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（4）固化废气G3</w:t>
            </w:r>
          </w:p>
          <w:p w14:paraId="1E92D004">
            <w:pPr>
              <w:spacing w:line="360" w:lineRule="auto"/>
              <w:ind w:firstLine="480" w:firstLineChars="200"/>
              <w:rPr>
                <w:rFonts w:ascii="Calibri" w:hAnsi="Calibri" w:eastAsia="宋体" w:cs="Calibri"/>
                <w:color w:val="000000" w:themeColor="text1"/>
                <w:sz w:val="24"/>
                <w:highlight w:val="none"/>
                <w14:textFill>
                  <w14:solidFill>
                    <w14:schemeClr w14:val="tx1"/>
                  </w14:solidFill>
                </w14:textFill>
              </w:rPr>
            </w:pPr>
            <w:r>
              <w:rPr>
                <w:rFonts w:hint="eastAsia" w:ascii="Calibri" w:hAnsi="Calibri" w:eastAsia="宋体" w:cs="Calibri"/>
                <w:color w:val="000000" w:themeColor="text1"/>
                <w:sz w:val="24"/>
                <w:highlight w:val="none"/>
                <w14:textFill>
                  <w14:solidFill>
                    <w14:schemeClr w14:val="tx1"/>
                  </w14:solidFill>
                </w14:textFill>
              </w:rPr>
              <w:t>固化工序将产生固化废气，主要污染物为塑粉加热过程中产生的非甲烷总烃，以及</w:t>
            </w:r>
            <w:r>
              <w:rPr>
                <w:rFonts w:hint="eastAsia" w:ascii="Calibri" w:hAnsi="Calibri" w:eastAsia="宋体" w:cs="Calibri"/>
                <w:color w:val="000000" w:themeColor="text1"/>
                <w:sz w:val="24"/>
                <w:highlight w:val="none"/>
                <w:lang w:eastAsia="zh-CN"/>
                <w14:textFill>
                  <w14:solidFill>
                    <w14:schemeClr w14:val="tx1"/>
                  </w14:solidFill>
                </w14:textFill>
              </w:rPr>
              <w:t>液体石蜡</w:t>
            </w:r>
            <w:r>
              <w:rPr>
                <w:rFonts w:hint="eastAsia" w:ascii="Calibri" w:hAnsi="Calibri" w:eastAsia="宋体" w:cs="Calibri"/>
                <w:color w:val="000000" w:themeColor="text1"/>
                <w:sz w:val="24"/>
                <w:highlight w:val="none"/>
                <w14:textFill>
                  <w14:solidFill>
                    <w14:schemeClr w14:val="tx1"/>
                  </w14:solidFill>
                </w14:textFill>
              </w:rPr>
              <w:t>燃烧产生的二氧化硫、氮氧化物、颗粒物。年加</w:t>
            </w:r>
            <w:r>
              <w:rPr>
                <w:rFonts w:ascii="Times New Roman" w:hAnsi="Times New Roman" w:eastAsia="宋体" w:cs="Times New Roman"/>
                <w:color w:val="000000" w:themeColor="text1"/>
                <w:sz w:val="24"/>
                <w:highlight w:val="none"/>
                <w14:textFill>
                  <w14:solidFill>
                    <w14:schemeClr w14:val="tx1"/>
                  </w14:solidFill>
                </w14:textFill>
              </w:rPr>
              <w:t>工时间</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按</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2000</w:t>
            </w:r>
            <w:r>
              <w:rPr>
                <w:rFonts w:ascii="Times New Roman" w:hAnsi="Times New Roman" w:eastAsia="宋体" w:cs="Times New Roman"/>
                <w:color w:val="000000" w:themeColor="text1"/>
                <w:sz w:val="24"/>
                <w:highlight w:val="none"/>
                <w14:textFill>
                  <w14:solidFill>
                    <w14:schemeClr w14:val="tx1"/>
                  </w14:solidFill>
                </w14:textFill>
              </w:rPr>
              <w:t>h</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计</w:t>
            </w:r>
            <w:r>
              <w:rPr>
                <w:rFonts w:ascii="Times New Roman" w:hAnsi="Times New Roman" w:eastAsia="宋体" w:cs="Times New Roman"/>
                <w:color w:val="000000" w:themeColor="text1"/>
                <w:sz w:val="24"/>
                <w:highlight w:val="none"/>
                <w14:textFill>
                  <w14:solidFill>
                    <w14:schemeClr w14:val="tx1"/>
                  </w14:solidFill>
                </w14:textFill>
              </w:rPr>
              <w:t>。</w:t>
            </w:r>
          </w:p>
          <w:p w14:paraId="0142F762">
            <w:pPr>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ascii="Calibri" w:hAnsi="Calibri" w:eastAsia="宋体" w:cs="Calibri"/>
                <w:color w:val="000000" w:themeColor="text1"/>
                <w:sz w:val="24"/>
                <w:highlight w:val="none"/>
                <w14:textFill>
                  <w14:solidFill>
                    <w14:schemeClr w14:val="tx1"/>
                  </w14:solidFill>
                </w14:textFill>
              </w:rPr>
              <w:fldChar w:fldCharType="begin"/>
            </w:r>
            <w:r>
              <w:rPr>
                <w:rFonts w:ascii="Calibri" w:hAnsi="Calibri" w:eastAsia="宋体" w:cs="Calibri"/>
                <w:color w:val="000000" w:themeColor="text1"/>
                <w:sz w:val="24"/>
                <w:highlight w:val="none"/>
                <w14:textFill>
                  <w14:solidFill>
                    <w14:schemeClr w14:val="tx1"/>
                  </w14:solidFill>
                </w14:textFill>
              </w:rPr>
              <w:instrText xml:space="preserve"> = 1 \* GB3 \* MERGEFORMAT </w:instrText>
            </w:r>
            <w:r>
              <w:rPr>
                <w:rFonts w:ascii="Calibri" w:hAnsi="Calibri" w:eastAsia="宋体" w:cs="Calibri"/>
                <w:color w:val="000000" w:themeColor="text1"/>
                <w:sz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①</w:t>
            </w:r>
            <w:r>
              <w:rPr>
                <w:rFonts w:ascii="Calibri" w:hAnsi="Calibri" w:eastAsia="宋体" w:cs="Calibri"/>
                <w:color w:val="000000" w:themeColor="text1"/>
                <w:sz w:val="24"/>
                <w:highlight w:val="none"/>
                <w14:textFill>
                  <w14:solidFill>
                    <w14:schemeClr w14:val="tx1"/>
                  </w14:solidFill>
                </w14:textFill>
              </w:rPr>
              <w:fldChar w:fldCharType="end"/>
            </w:r>
            <w:r>
              <w:rPr>
                <w:rFonts w:hint="eastAsia" w:ascii="Times New Roman" w:hAnsi="Times New Roman" w:eastAsia="宋体" w:cs="宋体"/>
                <w:color w:val="000000" w:themeColor="text1"/>
                <w:sz w:val="24"/>
                <w:highlight w:val="none"/>
                <w14:textFill>
                  <w14:solidFill>
                    <w14:schemeClr w14:val="tx1"/>
                  </w14:solidFill>
                </w14:textFill>
              </w:rPr>
              <w:t>非甲烷总烃</w:t>
            </w:r>
          </w:p>
          <w:p w14:paraId="01191A7C">
            <w:pPr>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项目使用烘道将粉末涂料加热，加热固化烘道温度180℃~220℃，在加热固化过程中，塑粉熔化产生有机废气，未达到塑粉分解温度，废气排放主要以非甲烷总烃计。根据</w:t>
            </w:r>
            <w:r>
              <w:rPr>
                <w:rFonts w:hint="eastAsia" w:ascii="Times New Roman" w:hAnsi="Times New Roman" w:eastAsia="宋体" w:cs="宋体"/>
                <w:color w:val="000000" w:themeColor="text1"/>
                <w:sz w:val="24"/>
                <w:highlight w:val="none"/>
                <w:lang w:eastAsia="zh-CN"/>
                <w14:textFill>
                  <w14:solidFill>
                    <w14:schemeClr w14:val="tx1"/>
                  </w14:solidFill>
                </w14:textFill>
              </w:rPr>
              <w:t>物料平衡核算，</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7.95</w:t>
            </w:r>
            <w:r>
              <w:rPr>
                <w:rFonts w:hint="eastAsia" w:ascii="Times New Roman" w:hAnsi="Times New Roman" w:eastAsia="宋体" w:cs="宋体"/>
                <w:color w:val="000000" w:themeColor="text1"/>
                <w:sz w:val="24"/>
                <w:highlight w:val="none"/>
                <w14:textFill>
                  <w14:solidFill>
                    <w14:schemeClr w14:val="tx1"/>
                  </w14:solidFill>
                </w14:textFill>
              </w:rPr>
              <w:t>t塑粉附着在工件进入固化工序。污染物产生源强计算如下表所示。</w:t>
            </w:r>
          </w:p>
          <w:p w14:paraId="3B19BD26">
            <w:pPr>
              <w:pStyle w:val="44"/>
              <w:spacing w:beforeLines="0" w:line="360" w:lineRule="auto"/>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表4-</w:t>
            </w:r>
            <w:r>
              <w:rPr>
                <w:rFonts w:ascii="Times New Roman" w:hAnsi="Times New Roman" w:eastAsia="宋体"/>
                <w:color w:val="000000" w:themeColor="text1"/>
                <w:sz w:val="24"/>
                <w:highlight w:val="none"/>
                <w14:textFill>
                  <w14:solidFill>
                    <w14:schemeClr w14:val="tx1"/>
                  </w14:solidFill>
                </w14:textFill>
              </w:rPr>
              <w:fldChar w:fldCharType="begin"/>
            </w:r>
            <w:r>
              <w:rPr>
                <w:rFonts w:ascii="Times New Roman" w:hAnsi="Times New Roman" w:eastAsia="宋体"/>
                <w:color w:val="000000" w:themeColor="text1"/>
                <w:sz w:val="24"/>
                <w:highlight w:val="none"/>
                <w14:textFill>
                  <w14:solidFill>
                    <w14:schemeClr w14:val="tx1"/>
                  </w14:solidFill>
                </w14:textFill>
              </w:rPr>
              <w:instrText xml:space="preserve"> SEQ 表4- \* ARABIC </w:instrText>
            </w:r>
            <w:r>
              <w:rPr>
                <w:rFonts w:ascii="Times New Roman" w:hAnsi="Times New Roman" w:eastAsia="宋体"/>
                <w:color w:val="000000" w:themeColor="text1"/>
                <w:sz w:val="24"/>
                <w:highlight w:val="none"/>
                <w14:textFill>
                  <w14:solidFill>
                    <w14:schemeClr w14:val="tx1"/>
                  </w14:solidFill>
                </w14:textFill>
              </w:rPr>
              <w:fldChar w:fldCharType="separate"/>
            </w:r>
            <w:r>
              <w:rPr>
                <w:rFonts w:hint="eastAsia" w:ascii="Times New Roman" w:hAnsi="Times New Roman" w:eastAsia="宋体"/>
                <w:color w:val="000000" w:themeColor="text1"/>
                <w:sz w:val="24"/>
                <w:highlight w:val="none"/>
                <w14:textFill>
                  <w14:solidFill>
                    <w14:schemeClr w14:val="tx1"/>
                  </w14:solidFill>
                </w14:textFill>
              </w:rPr>
              <w:t>7</w:t>
            </w:r>
            <w:r>
              <w:rPr>
                <w:rFonts w:ascii="Times New Roman" w:hAnsi="Times New Roman" w:eastAsia="宋体"/>
                <w:color w:val="000000" w:themeColor="text1"/>
                <w:sz w:val="24"/>
                <w:highlight w:val="none"/>
                <w14:textFill>
                  <w14:solidFill>
                    <w14:schemeClr w14:val="tx1"/>
                  </w14:solidFill>
                </w14:textFill>
              </w:rPr>
              <w:fldChar w:fldCharType="end"/>
            </w:r>
            <w:r>
              <w:rPr>
                <w:rFonts w:hint="eastAsia" w:ascii="Times New Roman" w:hAnsi="Times New Roman" w:eastAsia="宋体"/>
                <w:color w:val="000000" w:themeColor="text1"/>
                <w:sz w:val="24"/>
                <w:highlight w:val="none"/>
                <w14:textFill>
                  <w14:solidFill>
                    <w14:schemeClr w14:val="tx1"/>
                  </w14:solidFill>
                </w14:textFill>
              </w:rPr>
              <w:t xml:space="preserve">  项目喷粉线固化废气非甲烷总烃源强计算表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11"/>
              <w:gridCol w:w="614"/>
              <w:gridCol w:w="668"/>
              <w:gridCol w:w="569"/>
              <w:gridCol w:w="690"/>
              <w:gridCol w:w="667"/>
              <w:gridCol w:w="4621"/>
            </w:tblGrid>
            <w:tr w14:paraId="7801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61" w:type="pct"/>
                  <w:tcBorders>
                    <w:left w:val="single" w:color="auto" w:sz="4" w:space="0"/>
                    <w:right w:val="single" w:color="auto" w:sz="4" w:space="0"/>
                  </w:tcBorders>
                  <w:vAlign w:val="center"/>
                </w:tcPr>
                <w:p w14:paraId="657A1F53">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编号</w:t>
                  </w:r>
                </w:p>
              </w:tc>
              <w:tc>
                <w:tcPr>
                  <w:tcW w:w="363" w:type="pct"/>
                  <w:tcBorders>
                    <w:left w:val="single" w:color="auto" w:sz="4" w:space="0"/>
                    <w:right w:val="single" w:color="auto" w:sz="4" w:space="0"/>
                  </w:tcBorders>
                  <w:vAlign w:val="center"/>
                </w:tcPr>
                <w:p w14:paraId="19108D72">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污染源</w:t>
                  </w:r>
                </w:p>
              </w:tc>
              <w:tc>
                <w:tcPr>
                  <w:tcW w:w="395" w:type="pct"/>
                  <w:tcBorders>
                    <w:left w:val="single" w:color="auto" w:sz="4" w:space="0"/>
                    <w:right w:val="single" w:color="auto" w:sz="4" w:space="0"/>
                  </w:tcBorders>
                  <w:vAlign w:val="center"/>
                </w:tcPr>
                <w:p w14:paraId="2B0EFD2C">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污染物</w:t>
                  </w:r>
                </w:p>
              </w:tc>
              <w:tc>
                <w:tcPr>
                  <w:tcW w:w="337" w:type="pct"/>
                  <w:tcBorders>
                    <w:left w:val="single" w:color="auto" w:sz="4" w:space="0"/>
                    <w:right w:val="single" w:color="auto" w:sz="4" w:space="0"/>
                  </w:tcBorders>
                  <w:vAlign w:val="center"/>
                </w:tcPr>
                <w:p w14:paraId="791341A5">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产污系数</w:t>
                  </w:r>
                </w:p>
              </w:tc>
              <w:tc>
                <w:tcPr>
                  <w:tcW w:w="409" w:type="pct"/>
                  <w:tcBorders>
                    <w:left w:val="single" w:color="auto" w:sz="4" w:space="0"/>
                    <w:right w:val="single" w:color="auto" w:sz="4" w:space="0"/>
                  </w:tcBorders>
                  <w:vAlign w:val="center"/>
                </w:tcPr>
                <w:p w14:paraId="72CA4DC6">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塑粉量t/a</w:t>
                  </w:r>
                </w:p>
              </w:tc>
              <w:tc>
                <w:tcPr>
                  <w:tcW w:w="395" w:type="pct"/>
                  <w:tcBorders>
                    <w:left w:val="single" w:color="auto" w:sz="4" w:space="0"/>
                    <w:right w:val="single" w:color="auto" w:sz="4" w:space="0"/>
                  </w:tcBorders>
                  <w:vAlign w:val="center"/>
                </w:tcPr>
                <w:p w14:paraId="5616A86E">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产生量t/a</w:t>
                  </w:r>
                </w:p>
              </w:tc>
              <w:tc>
                <w:tcPr>
                  <w:tcW w:w="2736" w:type="pct"/>
                  <w:tcBorders>
                    <w:left w:val="single" w:color="auto" w:sz="4" w:space="0"/>
                    <w:right w:val="single" w:color="auto" w:sz="4" w:space="0"/>
                  </w:tcBorders>
                  <w:vAlign w:val="center"/>
                </w:tcPr>
                <w:p w14:paraId="3E485569">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产污系数来源</w:t>
                  </w:r>
                </w:p>
              </w:tc>
            </w:tr>
            <w:tr w14:paraId="60A0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1" w:type="pct"/>
                  <w:tcBorders>
                    <w:left w:val="single" w:color="auto" w:sz="4" w:space="0"/>
                    <w:right w:val="single" w:color="auto" w:sz="4" w:space="0"/>
                  </w:tcBorders>
                  <w:vAlign w:val="center"/>
                </w:tcPr>
                <w:p w14:paraId="680B381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G3</w:t>
                  </w:r>
                </w:p>
              </w:tc>
              <w:tc>
                <w:tcPr>
                  <w:tcW w:w="363" w:type="pct"/>
                  <w:tcBorders>
                    <w:left w:val="single" w:color="auto" w:sz="4" w:space="0"/>
                    <w:right w:val="single" w:color="auto" w:sz="4" w:space="0"/>
                  </w:tcBorders>
                  <w:vAlign w:val="center"/>
                </w:tcPr>
                <w:p w14:paraId="117321F9">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喷粉线固化废气</w:t>
                  </w:r>
                </w:p>
              </w:tc>
              <w:tc>
                <w:tcPr>
                  <w:tcW w:w="395" w:type="pct"/>
                  <w:tcBorders>
                    <w:left w:val="single" w:color="auto" w:sz="4" w:space="0"/>
                    <w:right w:val="single" w:color="auto" w:sz="4" w:space="0"/>
                  </w:tcBorders>
                  <w:vAlign w:val="center"/>
                </w:tcPr>
                <w:p w14:paraId="08EB049C">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非甲烷总烃</w:t>
                  </w:r>
                </w:p>
              </w:tc>
              <w:tc>
                <w:tcPr>
                  <w:tcW w:w="337" w:type="pct"/>
                  <w:tcBorders>
                    <w:left w:val="single" w:color="auto" w:sz="4" w:space="0"/>
                    <w:right w:val="single" w:color="auto" w:sz="4" w:space="0"/>
                  </w:tcBorders>
                  <w:vAlign w:val="center"/>
                </w:tcPr>
                <w:p w14:paraId="3B1C7C29">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塑粉的6‰</w:t>
                  </w:r>
                </w:p>
              </w:tc>
              <w:tc>
                <w:tcPr>
                  <w:tcW w:w="409" w:type="pct"/>
                  <w:tcBorders>
                    <w:left w:val="single" w:color="auto" w:sz="4" w:space="0"/>
                    <w:right w:val="single" w:color="auto" w:sz="4" w:space="0"/>
                  </w:tcBorders>
                  <w:vAlign w:val="center"/>
                </w:tcPr>
                <w:p w14:paraId="4ED4002B">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7.95</w:t>
                  </w:r>
                  <w:r>
                    <w:rPr>
                      <w:rFonts w:ascii="Times New Roman" w:hAnsi="Times New Roman" w:eastAsia="宋体" w:cs="Times New Roman"/>
                      <w:color w:val="000000" w:themeColor="text1"/>
                      <w:highlight w:val="none"/>
                      <w14:textFill>
                        <w14:solidFill>
                          <w14:schemeClr w14:val="tx1"/>
                        </w14:solidFill>
                      </w14:textFill>
                    </w:rPr>
                    <w:t>t</w:t>
                  </w:r>
                </w:p>
              </w:tc>
              <w:tc>
                <w:tcPr>
                  <w:tcW w:w="395" w:type="pct"/>
                  <w:tcBorders>
                    <w:left w:val="single" w:color="auto" w:sz="4" w:space="0"/>
                    <w:right w:val="single" w:color="auto" w:sz="4" w:space="0"/>
                  </w:tcBorders>
                  <w:vAlign w:val="center"/>
                </w:tcPr>
                <w:p w14:paraId="36175234">
                  <w:pPr>
                    <w:pStyle w:val="40"/>
                    <w:spacing w:before="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0.048</w:t>
                  </w:r>
                </w:p>
              </w:tc>
              <w:tc>
                <w:tcPr>
                  <w:tcW w:w="2736" w:type="pct"/>
                  <w:tcBorders>
                    <w:left w:val="single" w:color="auto" w:sz="4" w:space="0"/>
                    <w:right w:val="single" w:color="auto" w:sz="4" w:space="0"/>
                  </w:tcBorders>
                  <w:vAlign w:val="center"/>
                </w:tcPr>
                <w:p w14:paraId="37B973E7">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参考《喷塑行业污染物源强估算及治理方法探讨》（中国环境管理干部学院学报，第26卷，第6期，2016年12月），塑粉固化废气非甲烷总烃产生量约占塑粉的3‰－6‰，本</w:t>
                  </w:r>
                  <w:r>
                    <w:rPr>
                      <w:rFonts w:hint="eastAsia" w:ascii="Times New Roman" w:hAnsi="Times New Roman" w:eastAsia="宋体" w:cs="Times New Roman"/>
                      <w:color w:val="000000" w:themeColor="text1"/>
                      <w:highlight w:val="none"/>
                      <w14:textFill>
                        <w14:solidFill>
                          <w14:schemeClr w14:val="tx1"/>
                        </w14:solidFill>
                      </w14:textFill>
                    </w:rPr>
                    <w:t>评价</w:t>
                  </w:r>
                  <w:r>
                    <w:rPr>
                      <w:rFonts w:ascii="Times New Roman" w:hAnsi="Times New Roman" w:eastAsia="宋体" w:cs="Times New Roman"/>
                      <w:color w:val="000000" w:themeColor="text1"/>
                      <w:highlight w:val="none"/>
                      <w14:textFill>
                        <w14:solidFill>
                          <w14:schemeClr w14:val="tx1"/>
                        </w14:solidFill>
                      </w14:textFill>
                    </w:rPr>
                    <w:t>按6‰计</w:t>
                  </w:r>
                </w:p>
              </w:tc>
            </w:tr>
          </w:tbl>
          <w:p w14:paraId="7AAC1727">
            <w:pPr>
              <w:spacing w:line="368"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ascii="Calibri" w:hAnsi="Calibri" w:eastAsia="宋体" w:cs="Calibri"/>
                <w:color w:val="000000" w:themeColor="text1"/>
                <w:sz w:val="24"/>
                <w:highlight w:val="none"/>
                <w14:textFill>
                  <w14:solidFill>
                    <w14:schemeClr w14:val="tx1"/>
                  </w14:solidFill>
                </w14:textFill>
              </w:rPr>
              <w:fldChar w:fldCharType="begin"/>
            </w:r>
            <w:r>
              <w:rPr>
                <w:rFonts w:ascii="Calibri" w:hAnsi="Calibri" w:eastAsia="宋体" w:cs="Calibri"/>
                <w:color w:val="000000" w:themeColor="text1"/>
                <w:sz w:val="24"/>
                <w:highlight w:val="none"/>
                <w14:textFill>
                  <w14:solidFill>
                    <w14:schemeClr w14:val="tx1"/>
                  </w14:solidFill>
                </w14:textFill>
              </w:rPr>
              <w:instrText xml:space="preserve"> = 2 \* GB3 \* MERGEFORMAT </w:instrText>
            </w:r>
            <w:r>
              <w:rPr>
                <w:rFonts w:ascii="Calibri" w:hAnsi="Calibri" w:eastAsia="宋体" w:cs="Calibri"/>
                <w:color w:val="000000" w:themeColor="text1"/>
                <w:sz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②</w:t>
            </w:r>
            <w:r>
              <w:rPr>
                <w:rFonts w:ascii="Calibri" w:hAnsi="Calibri" w:eastAsia="宋体" w:cs="Calibri"/>
                <w:color w:val="000000" w:themeColor="text1"/>
                <w:sz w:val="24"/>
                <w:highlight w:val="none"/>
                <w14:textFill>
                  <w14:solidFill>
                    <w14:schemeClr w14:val="tx1"/>
                  </w14:solidFill>
                </w14:textFill>
              </w:rPr>
              <w:fldChar w:fldCharType="end"/>
            </w:r>
            <w:r>
              <w:rPr>
                <w:rFonts w:hint="eastAsia" w:ascii="Times New Roman" w:hAnsi="Times New Roman" w:eastAsia="宋体" w:cs="宋体"/>
                <w:color w:val="000000" w:themeColor="text1"/>
                <w:sz w:val="24"/>
                <w:highlight w:val="none"/>
                <w14:textFill>
                  <w14:solidFill>
                    <w14:schemeClr w14:val="tx1"/>
                  </w14:solidFill>
                </w14:textFill>
              </w:rPr>
              <w:t>燃烧废气（</w:t>
            </w:r>
            <w:r>
              <w:rPr>
                <w:rFonts w:hint="eastAsia" w:ascii="Calibri" w:hAnsi="Calibri" w:eastAsia="宋体" w:cs="Calibri"/>
                <w:color w:val="000000" w:themeColor="text1"/>
                <w:sz w:val="24"/>
                <w:highlight w:val="none"/>
                <w14:textFill>
                  <w14:solidFill>
                    <w14:schemeClr w14:val="tx1"/>
                  </w14:solidFill>
                </w14:textFill>
              </w:rPr>
              <w:t>二氧化硫、氮氧化物、颗粒物</w:t>
            </w:r>
            <w:r>
              <w:rPr>
                <w:rFonts w:hint="eastAsia" w:ascii="Times New Roman" w:hAnsi="Times New Roman" w:eastAsia="宋体" w:cs="宋体"/>
                <w:color w:val="000000" w:themeColor="text1"/>
                <w:sz w:val="24"/>
                <w:highlight w:val="none"/>
                <w14:textFill>
                  <w14:solidFill>
                    <w14:schemeClr w14:val="tx1"/>
                  </w14:solidFill>
                </w14:textFill>
              </w:rPr>
              <w:t>）</w:t>
            </w:r>
          </w:p>
          <w:p w14:paraId="37011B3F">
            <w:pPr>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项目使用</w:t>
            </w:r>
            <w:r>
              <w:rPr>
                <w:rFonts w:hint="eastAsia" w:ascii="Times New Roman" w:hAnsi="Times New Roman" w:eastAsia="宋体" w:cs="宋体"/>
                <w:color w:val="000000" w:themeColor="text1"/>
                <w:sz w:val="24"/>
                <w:highlight w:val="none"/>
                <w:lang w:eastAsia="zh-CN"/>
                <w14:textFill>
                  <w14:solidFill>
                    <w14:schemeClr w14:val="tx1"/>
                  </w14:solidFill>
                </w14:textFill>
              </w:rPr>
              <w:t>煤基费托合成液体石蜡</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2号</w:t>
            </w:r>
            <w:r>
              <w:rPr>
                <w:rFonts w:hint="eastAsia" w:ascii="Times New Roman" w:hAnsi="Times New Roman" w:eastAsia="宋体" w:cs="宋体"/>
                <w:color w:val="000000" w:themeColor="text1"/>
                <w:sz w:val="24"/>
                <w:highlight w:val="none"/>
                <w:lang w:eastAsia="zh-CN"/>
                <w14:textFill>
                  <w14:solidFill>
                    <w14:schemeClr w14:val="tx1"/>
                  </w14:solidFill>
                </w14:textFill>
              </w:rPr>
              <w:t>（液体石蜡</w:t>
            </w:r>
            <w:r>
              <w:rPr>
                <w:rFonts w:hint="eastAsia" w:ascii="Times New Roman" w:hAnsi="Times New Roman" w:eastAsia="宋体" w:cs="宋体"/>
                <w:color w:val="000000" w:themeColor="text1"/>
                <w:sz w:val="24"/>
                <w:highlight w:val="none"/>
                <w14:textFill>
                  <w14:solidFill>
                    <w14:schemeClr w14:val="tx1"/>
                  </w14:solidFill>
                </w14:textFill>
              </w:rPr>
              <w:t>由正构烷烃组成，碳链长度在C</w:t>
            </w:r>
            <w:r>
              <w:rPr>
                <w:rFonts w:hint="eastAsia" w:ascii="Times New Roman" w:hAnsi="Times New Roman" w:eastAsia="宋体" w:cs="宋体"/>
                <w:color w:val="000000" w:themeColor="text1"/>
                <w:sz w:val="24"/>
                <w:highlight w:val="none"/>
                <w:vertAlign w:val="subscript"/>
                <w:lang w:val="en-US" w:eastAsia="zh-CN"/>
                <w14:textFill>
                  <w14:solidFill>
                    <w14:schemeClr w14:val="tx1"/>
                  </w14:solidFill>
                </w14:textFill>
              </w:rPr>
              <w:t>11</w:t>
            </w:r>
            <w:r>
              <w:rPr>
                <w:rFonts w:hint="eastAsia" w:ascii="Times New Roman" w:hAnsi="Times New Roman" w:eastAsia="宋体" w:cs="宋体"/>
                <w:color w:val="000000" w:themeColor="text1"/>
                <w:sz w:val="24"/>
                <w:highlight w:val="none"/>
                <w14:textFill>
                  <w14:solidFill>
                    <w14:schemeClr w14:val="tx1"/>
                  </w14:solidFill>
                </w14:textFill>
              </w:rPr>
              <w:t>到C</w:t>
            </w:r>
            <w:r>
              <w:rPr>
                <w:rFonts w:hint="eastAsia" w:ascii="Times New Roman" w:hAnsi="Times New Roman" w:eastAsia="宋体" w:cs="宋体"/>
                <w:color w:val="000000" w:themeColor="text1"/>
                <w:sz w:val="24"/>
                <w:highlight w:val="none"/>
                <w:vertAlign w:val="subscript"/>
                <w:lang w:val="en-US" w:eastAsia="zh-CN"/>
                <w14:textFill>
                  <w14:solidFill>
                    <w14:schemeClr w14:val="tx1"/>
                  </w14:solidFill>
                </w14:textFill>
              </w:rPr>
              <w:t>14</w:t>
            </w:r>
            <w:r>
              <w:rPr>
                <w:rFonts w:hint="eastAsia" w:ascii="Times New Roman" w:hAnsi="Times New Roman" w:eastAsia="宋体" w:cs="宋体"/>
                <w:color w:val="000000" w:themeColor="text1"/>
                <w:sz w:val="24"/>
                <w:highlight w:val="none"/>
                <w14:textFill>
                  <w14:solidFill>
                    <w14:schemeClr w14:val="tx1"/>
                  </w14:solidFill>
                </w14:textFill>
              </w:rPr>
              <w:t>之间</w:t>
            </w:r>
            <w:r>
              <w:rPr>
                <w:rFonts w:hint="eastAsia" w:ascii="Times New Roman" w:hAnsi="Times New Roman" w:eastAsia="宋体" w:cs="宋体"/>
                <w:color w:val="000000" w:themeColor="text1"/>
                <w:sz w:val="24"/>
                <w:highlight w:val="none"/>
                <w:lang w:eastAsia="zh-CN"/>
                <w14:textFill>
                  <w14:solidFill>
                    <w14:schemeClr w14:val="tx1"/>
                  </w14:solidFill>
                </w14:textFill>
              </w:rPr>
              <w:t>，热值为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39~41MJ/kg</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color w:val="000000" w:themeColor="text1"/>
                <w:sz w:val="24"/>
                <w:highlight w:val="none"/>
                <w:lang w:eastAsia="zh-CN"/>
                <w14:textFill>
                  <w14:solidFill>
                    <w14:schemeClr w14:val="tx1"/>
                  </w14:solidFill>
                </w14:textFill>
              </w:rPr>
              <w:t>柴油</w:t>
            </w:r>
            <w:r>
              <w:rPr>
                <w:rFonts w:hint="eastAsia" w:ascii="Times New Roman" w:hAnsi="Times New Roman" w:eastAsia="宋体" w:cs="宋体"/>
                <w:color w:val="000000" w:themeColor="text1"/>
                <w:sz w:val="24"/>
                <w:highlight w:val="none"/>
                <w14:textFill>
                  <w14:solidFill>
                    <w14:schemeClr w14:val="tx1"/>
                  </w14:solidFill>
                </w14:textFill>
              </w:rPr>
              <w:t>主要由C</w:t>
            </w:r>
            <w:r>
              <w:rPr>
                <w:rFonts w:hint="eastAsia" w:ascii="Times New Roman" w:hAnsi="Times New Roman" w:eastAsia="宋体" w:cs="宋体"/>
                <w:color w:val="000000" w:themeColor="text1"/>
                <w:sz w:val="24"/>
                <w:highlight w:val="none"/>
                <w:vertAlign w:val="subscript"/>
                <w14:textFill>
                  <w14:solidFill>
                    <w14:schemeClr w14:val="tx1"/>
                  </w14:solidFill>
                </w14:textFill>
              </w:rPr>
              <w:t>10</w:t>
            </w:r>
            <w:r>
              <w:rPr>
                <w:rFonts w:hint="eastAsia" w:ascii="Times New Roman" w:hAnsi="Times New Roman" w:eastAsia="宋体" w:cs="宋体"/>
                <w:color w:val="000000" w:themeColor="text1"/>
                <w:sz w:val="24"/>
                <w:highlight w:val="none"/>
                <w14:textFill>
                  <w14:solidFill>
                    <w14:schemeClr w14:val="tx1"/>
                  </w14:solidFill>
                </w14:textFill>
              </w:rPr>
              <w:t>到C</w:t>
            </w:r>
            <w:r>
              <w:rPr>
                <w:rFonts w:hint="eastAsia" w:ascii="Times New Roman" w:hAnsi="Times New Roman" w:eastAsia="宋体" w:cs="宋体"/>
                <w:color w:val="000000" w:themeColor="text1"/>
                <w:sz w:val="24"/>
                <w:highlight w:val="none"/>
                <w:vertAlign w:val="subscript"/>
                <w14:textFill>
                  <w14:solidFill>
                    <w14:schemeClr w14:val="tx1"/>
                  </w14:solidFill>
                </w14:textFill>
              </w:rPr>
              <w:t>22</w:t>
            </w:r>
            <w:r>
              <w:rPr>
                <w:rFonts w:hint="eastAsia" w:ascii="Times New Roman" w:hAnsi="Times New Roman" w:eastAsia="宋体" w:cs="宋体"/>
                <w:color w:val="000000" w:themeColor="text1"/>
                <w:sz w:val="24"/>
                <w:highlight w:val="none"/>
                <w14:textFill>
                  <w14:solidFill>
                    <w14:schemeClr w14:val="tx1"/>
                  </w14:solidFill>
                </w14:textFill>
              </w:rPr>
              <w:t>的烷烃组成，含有较多的芳香烃和环烷烃</w:t>
            </w:r>
            <w:r>
              <w:rPr>
                <w:rFonts w:hint="eastAsia" w:ascii="Times New Roman" w:hAnsi="Times New Roman" w:eastAsia="宋体" w:cs="宋体"/>
                <w:color w:val="000000" w:themeColor="text1"/>
                <w:sz w:val="24"/>
                <w:highlight w:val="none"/>
                <w:lang w:eastAsia="zh-CN"/>
                <w14:textFill>
                  <w14:solidFill>
                    <w14:schemeClr w14:val="tx1"/>
                  </w14:solidFill>
                </w14:textFill>
              </w:rPr>
              <w:t>。相较于柴油，液体石蜡燃烧更完全。）</w:t>
            </w:r>
            <w:r>
              <w:rPr>
                <w:rFonts w:hint="eastAsia" w:ascii="Times New Roman" w:hAnsi="Times New Roman" w:eastAsia="宋体" w:cs="宋体"/>
                <w:color w:val="000000" w:themeColor="text1"/>
                <w:sz w:val="24"/>
                <w:highlight w:val="none"/>
                <w14:textFill>
                  <w14:solidFill>
                    <w14:schemeClr w14:val="tx1"/>
                  </w14:solidFill>
                </w14:textFill>
              </w:rPr>
              <w:t>作为能源，燃烧机燃烧产生的烟气直接加热</w:t>
            </w:r>
            <w:r>
              <w:rPr>
                <w:rFonts w:hint="eastAsia" w:ascii="Times New Roman" w:hAnsi="Times New Roman" w:eastAsia="宋体" w:cs="宋体"/>
                <w:color w:val="000000" w:themeColor="text1"/>
                <w:sz w:val="24"/>
                <w:highlight w:val="none"/>
                <w:lang w:eastAsia="zh-CN"/>
                <w14:textFill>
                  <w14:solidFill>
                    <w14:schemeClr w14:val="tx1"/>
                  </w14:solidFill>
                </w14:textFill>
              </w:rPr>
              <w:t>。根据建设单位提供检测报告，项目使用的液体石蜡主</w:t>
            </w:r>
            <w:r>
              <w:rPr>
                <w:rFonts w:hint="eastAsia" w:ascii="Times New Roman" w:hAnsi="Times New Roman" w:eastAsia="宋体" w:cs="宋体"/>
                <w:color w:val="000000" w:themeColor="text1"/>
                <w:sz w:val="24"/>
                <w:highlight w:val="none"/>
                <w:lang w:eastAsia="zh-CN"/>
                <w14:textFill>
                  <w14:solidFill>
                    <w14:schemeClr w14:val="tx1"/>
                  </w14:solidFill>
                </w14:textFill>
              </w:rPr>
              <w:t>要成分为烷烃（含量</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99.9%</w:t>
            </w:r>
            <w:r>
              <w:rPr>
                <w:rFonts w:hint="eastAsia" w:ascii="Times New Roman" w:hAnsi="Times New Roman" w:eastAsia="宋体" w:cs="宋体"/>
                <w:color w:val="000000" w:themeColor="text1"/>
                <w:sz w:val="24"/>
                <w:highlight w:val="none"/>
                <w:lang w:eastAsia="zh-CN"/>
                <w14:textFill>
                  <w14:solidFill>
                    <w14:schemeClr w14:val="tx1"/>
                  </w14:solidFill>
                </w14:textFill>
              </w:rPr>
              <w:t>），年用量为</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50t</w:t>
            </w:r>
            <w:r>
              <w:rPr>
                <w:rFonts w:hint="eastAsia" w:ascii="Times New Roman" w:hAnsi="Times New Roman" w:eastAsia="宋体" w:cs="宋体"/>
                <w:color w:val="000000" w:themeColor="text1"/>
                <w:sz w:val="24"/>
                <w:highlight w:val="none"/>
                <w14:textFill>
                  <w14:solidFill>
                    <w14:schemeClr w14:val="tx1"/>
                  </w14:solidFill>
                </w14:textFill>
              </w:rPr>
              <w:t>，燃烧过程</w:t>
            </w:r>
            <w:r>
              <w:rPr>
                <w:rFonts w:hint="eastAsia" w:ascii="Times New Roman" w:hAnsi="Times New Roman" w:eastAsia="宋体" w:cs="宋体"/>
                <w:color w:val="000000" w:themeColor="text1"/>
                <w:sz w:val="24"/>
                <w:highlight w:val="none"/>
                <w14:textFill>
                  <w14:solidFill>
                    <w14:schemeClr w14:val="tx1"/>
                  </w14:solidFill>
                </w14:textFill>
              </w:rPr>
              <w:t>中产生污染物颗粒物、二氧化硫、氮氧化物。污染物产生源强计算如下表所示。</w:t>
            </w:r>
          </w:p>
          <w:p w14:paraId="407EFEE7">
            <w:pPr>
              <w:pStyle w:val="44"/>
              <w:spacing w:beforeLines="0" w:line="360" w:lineRule="auto"/>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表4-</w:t>
            </w:r>
            <w:r>
              <w:rPr>
                <w:rFonts w:hint="eastAsia" w:ascii="Times New Roman" w:hAnsi="Times New Roman" w:eastAsia="宋体"/>
                <w:color w:val="000000" w:themeColor="text1"/>
                <w:sz w:val="24"/>
                <w:highlight w:val="none"/>
                <w14:textFill>
                  <w14:solidFill>
                    <w14:schemeClr w14:val="tx1"/>
                  </w14:solidFill>
                </w14:textFill>
              </w:rPr>
              <w:t>8</w:t>
            </w:r>
            <w:r>
              <w:rPr>
                <w:rFonts w:ascii="Times New Roman" w:hAnsi="Times New Roman" w:eastAsia="宋体"/>
                <w:color w:val="000000" w:themeColor="text1"/>
                <w:sz w:val="24"/>
                <w:highlight w:val="none"/>
                <w14:textFill>
                  <w14:solidFill>
                    <w14:schemeClr w14:val="tx1"/>
                  </w14:solidFill>
                </w14:textFill>
              </w:rPr>
              <w:t xml:space="preserve">  项目</w:t>
            </w:r>
            <w:r>
              <w:rPr>
                <w:rFonts w:hint="eastAsia" w:ascii="Times New Roman" w:hAnsi="Times New Roman" w:eastAsia="宋体"/>
                <w:color w:val="000000" w:themeColor="text1"/>
                <w:sz w:val="24"/>
                <w:highlight w:val="none"/>
                <w14:textFill>
                  <w14:solidFill>
                    <w14:schemeClr w14:val="tx1"/>
                  </w14:solidFill>
                </w14:textFill>
              </w:rPr>
              <w:t>固化工序</w:t>
            </w:r>
            <w:r>
              <w:rPr>
                <w:rFonts w:ascii="Times New Roman" w:hAnsi="Times New Roman" w:eastAsia="宋体"/>
                <w:color w:val="000000" w:themeColor="text1"/>
                <w:sz w:val="24"/>
                <w:highlight w:val="none"/>
                <w14:textFill>
                  <w14:solidFill>
                    <w14:schemeClr w14:val="tx1"/>
                  </w14:solidFill>
                </w14:textFill>
              </w:rPr>
              <w:t>燃烧废气源强计算表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40"/>
              <w:gridCol w:w="993"/>
              <w:gridCol w:w="1073"/>
              <w:gridCol w:w="1333"/>
              <w:gridCol w:w="970"/>
              <w:gridCol w:w="929"/>
              <w:gridCol w:w="2402"/>
            </w:tblGrid>
            <w:tr w14:paraId="2EB1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38" w:type="pct"/>
                  <w:tcBorders>
                    <w:left w:val="single" w:color="auto" w:sz="4" w:space="0"/>
                    <w:right w:val="single" w:color="auto" w:sz="4" w:space="0"/>
                  </w:tcBorders>
                  <w:vAlign w:val="center"/>
                </w:tcPr>
                <w:p w14:paraId="6305B48A">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编号</w:t>
                  </w:r>
                </w:p>
              </w:tc>
              <w:tc>
                <w:tcPr>
                  <w:tcW w:w="588" w:type="pct"/>
                  <w:tcBorders>
                    <w:left w:val="single" w:color="auto" w:sz="4" w:space="0"/>
                    <w:right w:val="single" w:color="auto" w:sz="4" w:space="0"/>
                  </w:tcBorders>
                  <w:vAlign w:val="center"/>
                </w:tcPr>
                <w:p w14:paraId="6CEBFD0E">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污染源</w:t>
                  </w:r>
                </w:p>
              </w:tc>
              <w:tc>
                <w:tcPr>
                  <w:tcW w:w="635" w:type="pct"/>
                  <w:tcBorders>
                    <w:left w:val="single" w:color="auto" w:sz="4" w:space="0"/>
                    <w:right w:val="single" w:color="auto" w:sz="4" w:space="0"/>
                  </w:tcBorders>
                  <w:vAlign w:val="center"/>
                </w:tcPr>
                <w:p w14:paraId="3457E3A5">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污染物</w:t>
                  </w:r>
                </w:p>
              </w:tc>
              <w:tc>
                <w:tcPr>
                  <w:tcW w:w="789" w:type="pct"/>
                  <w:tcBorders>
                    <w:left w:val="single" w:color="auto" w:sz="4" w:space="0"/>
                    <w:right w:val="single" w:color="auto" w:sz="4" w:space="0"/>
                  </w:tcBorders>
                  <w:vAlign w:val="center"/>
                </w:tcPr>
                <w:p w14:paraId="2AC4F79A">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产污系数</w:t>
                  </w:r>
                  <w:r>
                    <w:rPr>
                      <w:rFonts w:ascii="Times New Roman" w:hAnsi="Times New Roman" w:eastAsia="宋体" w:cs="Times New Roman"/>
                      <w:b/>
                      <w:bCs/>
                      <w:color w:val="000000" w:themeColor="text1"/>
                      <w:highlight w:val="none"/>
                      <w14:textFill>
                        <w14:solidFill>
                          <w14:schemeClr w14:val="tx1"/>
                        </w14:solidFill>
                      </w14:textFill>
                    </w:rPr>
                    <w:br w:type="textWrapping"/>
                  </w:r>
                  <w:r>
                    <w:rPr>
                      <w:rFonts w:ascii="Times New Roman" w:hAnsi="Times New Roman" w:eastAsia="宋体" w:cs="Times New Roman"/>
                      <w:b/>
                      <w:bCs/>
                      <w:color w:val="000000" w:themeColor="text1"/>
                      <w:szCs w:val="32"/>
                      <w:highlight w:val="none"/>
                      <w14:textFill>
                        <w14:solidFill>
                          <w14:schemeClr w14:val="tx1"/>
                        </w14:solidFill>
                      </w14:textFill>
                    </w:rPr>
                    <w:t>kg/</w:t>
                  </w:r>
                  <w:r>
                    <w:rPr>
                      <w:rFonts w:hint="eastAsia" w:ascii="Times New Roman" w:hAnsi="Times New Roman" w:eastAsia="宋体" w:cs="Times New Roman"/>
                      <w:b/>
                      <w:bCs/>
                      <w:color w:val="000000" w:themeColor="text1"/>
                      <w:szCs w:val="32"/>
                      <w:highlight w:val="none"/>
                      <w:lang w:eastAsia="zh-CN"/>
                      <w14:textFill>
                        <w14:solidFill>
                          <w14:schemeClr w14:val="tx1"/>
                        </w14:solidFill>
                      </w14:textFill>
                    </w:rPr>
                    <w:t>吨</w:t>
                  </w:r>
                  <w:r>
                    <w:rPr>
                      <w:rFonts w:ascii="Times New Roman" w:hAnsi="Times New Roman" w:eastAsia="宋体" w:cs="Times New Roman"/>
                      <w:b/>
                      <w:bCs/>
                      <w:color w:val="000000" w:themeColor="text1"/>
                      <w:szCs w:val="32"/>
                      <w:highlight w:val="none"/>
                      <w14:textFill>
                        <w14:solidFill>
                          <w14:schemeClr w14:val="tx1"/>
                        </w14:solidFill>
                      </w14:textFill>
                    </w:rPr>
                    <w:t>-原料</w:t>
                  </w:r>
                </w:p>
              </w:tc>
              <w:tc>
                <w:tcPr>
                  <w:tcW w:w="574" w:type="pct"/>
                  <w:tcBorders>
                    <w:left w:val="single" w:color="auto" w:sz="4" w:space="0"/>
                    <w:right w:val="single" w:color="auto" w:sz="4" w:space="0"/>
                  </w:tcBorders>
                  <w:vAlign w:val="center"/>
                </w:tcPr>
                <w:p w14:paraId="615B8D6F">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highlight w:val="none"/>
                      <w:lang w:eastAsia="zh-CN"/>
                      <w14:textFill>
                        <w14:solidFill>
                          <w14:schemeClr w14:val="tx1"/>
                        </w14:solidFill>
                      </w14:textFill>
                    </w:rPr>
                    <w:t>燃料用量</w:t>
                  </w:r>
                  <w:r>
                    <w:rPr>
                      <w:rFonts w:ascii="Times New Roman" w:hAnsi="Times New Roman" w:eastAsia="宋体" w:cs="Times New Roman"/>
                      <w:b/>
                      <w:bCs/>
                      <w:color w:val="000000" w:themeColor="text1"/>
                      <w:highlight w:val="none"/>
                      <w14:textFill>
                        <w14:solidFill>
                          <w14:schemeClr w14:val="tx1"/>
                        </w14:solidFill>
                      </w14:textFill>
                    </w:rPr>
                    <w:br w:type="textWrapping"/>
                  </w:r>
                  <w:r>
                    <w:rPr>
                      <w:rFonts w:hint="eastAsia" w:ascii="Times New Roman" w:hAnsi="Times New Roman" w:eastAsia="宋体" w:cs="Times New Roman"/>
                      <w:b/>
                      <w:bCs/>
                      <w:color w:val="000000" w:themeColor="text1"/>
                      <w:szCs w:val="32"/>
                      <w:highlight w:val="none"/>
                      <w:lang w:eastAsia="zh-CN"/>
                      <w14:textFill>
                        <w14:solidFill>
                          <w14:schemeClr w14:val="tx1"/>
                        </w14:solidFill>
                      </w14:textFill>
                    </w:rPr>
                    <w:t>吨</w:t>
                  </w:r>
                  <w:r>
                    <w:rPr>
                      <w:rFonts w:ascii="Times New Roman" w:hAnsi="Times New Roman" w:eastAsia="宋体" w:cs="Times New Roman"/>
                      <w:b/>
                      <w:bCs/>
                      <w:color w:val="000000" w:themeColor="text1"/>
                      <w:szCs w:val="32"/>
                      <w:highlight w:val="none"/>
                      <w14:textFill>
                        <w14:solidFill>
                          <w14:schemeClr w14:val="tx1"/>
                        </w14:solidFill>
                      </w14:textFill>
                    </w:rPr>
                    <w:t>/a</w:t>
                  </w:r>
                </w:p>
              </w:tc>
              <w:tc>
                <w:tcPr>
                  <w:tcW w:w="550" w:type="pct"/>
                  <w:tcBorders>
                    <w:left w:val="single" w:color="auto" w:sz="4" w:space="0"/>
                    <w:right w:val="single" w:color="auto" w:sz="4" w:space="0"/>
                  </w:tcBorders>
                  <w:vAlign w:val="center"/>
                </w:tcPr>
                <w:p w14:paraId="104DC7E6">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产生量</w:t>
                  </w:r>
                  <w:r>
                    <w:rPr>
                      <w:rFonts w:ascii="Times New Roman" w:hAnsi="Times New Roman" w:eastAsia="宋体" w:cs="Times New Roman"/>
                      <w:b/>
                      <w:bCs/>
                      <w:color w:val="000000" w:themeColor="text1"/>
                      <w:highlight w:val="none"/>
                      <w14:textFill>
                        <w14:solidFill>
                          <w14:schemeClr w14:val="tx1"/>
                        </w14:solidFill>
                      </w14:textFill>
                    </w:rPr>
                    <w:br w:type="textWrapping"/>
                  </w:r>
                  <w:r>
                    <w:rPr>
                      <w:rFonts w:ascii="Times New Roman" w:hAnsi="Times New Roman" w:eastAsia="宋体" w:cs="Times New Roman"/>
                      <w:b/>
                      <w:bCs/>
                      <w:color w:val="000000" w:themeColor="text1"/>
                      <w:highlight w:val="none"/>
                      <w14:textFill>
                        <w14:solidFill>
                          <w14:schemeClr w14:val="tx1"/>
                        </w14:solidFill>
                      </w14:textFill>
                    </w:rPr>
                    <w:t>t/a</w:t>
                  </w:r>
                </w:p>
              </w:tc>
              <w:tc>
                <w:tcPr>
                  <w:tcW w:w="1422" w:type="pct"/>
                  <w:tcBorders>
                    <w:left w:val="single" w:color="auto" w:sz="4" w:space="0"/>
                    <w:right w:val="single" w:color="auto" w:sz="4" w:space="0"/>
                  </w:tcBorders>
                  <w:vAlign w:val="center"/>
                </w:tcPr>
                <w:p w14:paraId="12FA7D9A">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产污系数来源</w:t>
                  </w:r>
                </w:p>
              </w:tc>
            </w:tr>
            <w:tr w14:paraId="2E8E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35" w:hRule="atLeast"/>
                <w:jc w:val="center"/>
              </w:trPr>
              <w:tc>
                <w:tcPr>
                  <w:tcW w:w="438" w:type="pct"/>
                  <w:vMerge w:val="restart"/>
                  <w:tcBorders>
                    <w:left w:val="single" w:color="auto" w:sz="4" w:space="0"/>
                    <w:right w:val="single" w:color="auto" w:sz="4" w:space="0"/>
                  </w:tcBorders>
                  <w:vAlign w:val="center"/>
                </w:tcPr>
                <w:p w14:paraId="5F5EE81C">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G</w:t>
                  </w:r>
                  <w:r>
                    <w:rPr>
                      <w:rFonts w:hint="eastAsia" w:ascii="Times New Roman" w:hAnsi="Times New Roman" w:eastAsia="宋体" w:cs="Times New Roman"/>
                      <w:color w:val="000000" w:themeColor="text1"/>
                      <w:highlight w:val="none"/>
                      <w14:textFill>
                        <w14:solidFill>
                          <w14:schemeClr w14:val="tx1"/>
                        </w14:solidFill>
                      </w14:textFill>
                    </w:rPr>
                    <w:t>3</w:t>
                  </w:r>
                </w:p>
              </w:tc>
              <w:tc>
                <w:tcPr>
                  <w:tcW w:w="588" w:type="pct"/>
                  <w:vMerge w:val="restart"/>
                  <w:tcBorders>
                    <w:left w:val="single" w:color="auto" w:sz="4" w:space="0"/>
                    <w:right w:val="single" w:color="auto" w:sz="4" w:space="0"/>
                  </w:tcBorders>
                  <w:vAlign w:val="center"/>
                </w:tcPr>
                <w:p w14:paraId="56FB6E3C">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燃料</w:t>
                  </w:r>
                  <w:r>
                    <w:rPr>
                      <w:rFonts w:ascii="Times New Roman" w:hAnsi="Times New Roman" w:eastAsia="宋体" w:cs="Times New Roman"/>
                      <w:color w:val="000000" w:themeColor="text1"/>
                      <w:highlight w:val="none"/>
                      <w14:textFill>
                        <w14:solidFill>
                          <w14:schemeClr w14:val="tx1"/>
                        </w14:solidFill>
                      </w14:textFill>
                    </w:rPr>
                    <w:t>燃烧废气</w:t>
                  </w:r>
                </w:p>
              </w:tc>
              <w:tc>
                <w:tcPr>
                  <w:tcW w:w="635" w:type="pct"/>
                  <w:tcBorders>
                    <w:left w:val="single" w:color="auto" w:sz="4" w:space="0"/>
                    <w:right w:val="single" w:color="auto" w:sz="4" w:space="0"/>
                  </w:tcBorders>
                  <w:vAlign w:val="center"/>
                </w:tcPr>
                <w:p w14:paraId="06C0DB80">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w:t>
                  </w:r>
                </w:p>
              </w:tc>
              <w:tc>
                <w:tcPr>
                  <w:tcW w:w="789" w:type="pct"/>
                  <w:tcBorders>
                    <w:left w:val="single" w:color="auto" w:sz="4" w:space="0"/>
                    <w:right w:val="single" w:color="auto" w:sz="4" w:space="0"/>
                  </w:tcBorders>
                  <w:vAlign w:val="center"/>
                </w:tcPr>
                <w:p w14:paraId="2FB17FF6">
                  <w:pPr>
                    <w:pStyle w:val="40"/>
                    <w:spacing w:before="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32"/>
                      <w:highlight w:val="none"/>
                      <w:lang w:val="en-US" w:eastAsia="zh-CN"/>
                      <w14:textFill>
                        <w14:solidFill>
                          <w14:schemeClr w14:val="tx1"/>
                        </w14:solidFill>
                      </w14:textFill>
                    </w:rPr>
                    <w:t>0.554</w:t>
                  </w:r>
                </w:p>
              </w:tc>
              <w:tc>
                <w:tcPr>
                  <w:tcW w:w="574" w:type="pct"/>
                  <w:vMerge w:val="restart"/>
                  <w:tcBorders>
                    <w:left w:val="single" w:color="auto" w:sz="4" w:space="0"/>
                    <w:right w:val="single" w:color="auto" w:sz="4" w:space="0"/>
                  </w:tcBorders>
                  <w:vAlign w:val="center"/>
                </w:tcPr>
                <w:p w14:paraId="4786DEA0">
                  <w:pPr>
                    <w:pStyle w:val="40"/>
                    <w:spacing w:before="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50</w:t>
                  </w:r>
                </w:p>
              </w:tc>
              <w:tc>
                <w:tcPr>
                  <w:tcW w:w="550" w:type="pct"/>
                  <w:tcBorders>
                    <w:left w:val="single" w:color="auto" w:sz="4" w:space="0"/>
                    <w:right w:val="single" w:color="auto" w:sz="4" w:space="0"/>
                  </w:tcBorders>
                  <w:vAlign w:val="center"/>
                </w:tcPr>
                <w:p w14:paraId="1C178D4C">
                  <w:pPr>
                    <w:pStyle w:val="40"/>
                    <w:spacing w:before="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0.028</w:t>
                  </w:r>
                </w:p>
              </w:tc>
              <w:tc>
                <w:tcPr>
                  <w:tcW w:w="1422" w:type="pct"/>
                  <w:vMerge w:val="restart"/>
                  <w:tcBorders>
                    <w:left w:val="single" w:color="auto" w:sz="4" w:space="0"/>
                    <w:right w:val="single" w:color="auto" w:sz="4" w:space="0"/>
                  </w:tcBorders>
                  <w:vAlign w:val="center"/>
                </w:tcPr>
                <w:p w14:paraId="4E946909">
                  <w:pPr>
                    <w:pStyle w:val="40"/>
                    <w:spacing w:before="31"/>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szCs w:val="32"/>
                      <w:highlight w:val="none"/>
                      <w:lang w:eastAsia="zh-CN"/>
                      <w14:textFill>
                        <w14:solidFill>
                          <w14:schemeClr w14:val="tx1"/>
                        </w14:solidFill>
                      </w14:textFill>
                    </w:rPr>
                    <w:t>本评价</w:t>
                  </w:r>
                  <w:r>
                    <w:rPr>
                      <w:rFonts w:ascii="Times New Roman" w:hAnsi="Times New Roman" w:eastAsia="宋体" w:cs="Times New Roman"/>
                      <w:color w:val="000000" w:themeColor="text1"/>
                      <w:szCs w:val="32"/>
                      <w:highlight w:val="none"/>
                      <w14:textFill>
                        <w14:solidFill>
                          <w14:schemeClr w14:val="tx1"/>
                        </w14:solidFill>
                      </w14:textFill>
                    </w:rPr>
                    <w:t>参照《</w:t>
                  </w:r>
                  <w:r>
                    <w:rPr>
                      <w:rFonts w:hint="eastAsia" w:ascii="Times New Roman" w:hAnsi="Times New Roman" w:eastAsia="宋体" w:cs="Times New Roman"/>
                      <w:color w:val="000000" w:themeColor="text1"/>
                      <w:szCs w:val="32"/>
                      <w:highlight w:val="none"/>
                      <w:lang w:eastAsia="zh-CN"/>
                      <w14:textFill>
                        <w14:solidFill>
                          <w14:schemeClr w14:val="tx1"/>
                        </w14:solidFill>
                      </w14:textFill>
                    </w:rPr>
                    <w:t>排污许可证申请与核发技术规范</w:t>
                  </w:r>
                  <w:r>
                    <w:rPr>
                      <w:rFonts w:hint="eastAsia" w:ascii="Times New Roman" w:hAnsi="Times New Roman" w:eastAsia="宋体" w:cs="Times New Roman"/>
                      <w:color w:val="000000" w:themeColor="text1"/>
                      <w:szCs w:val="32"/>
                      <w:highlight w:val="none"/>
                      <w:lang w:val="en-US" w:eastAsia="zh-CN"/>
                      <w14:textFill>
                        <w14:solidFill>
                          <w14:schemeClr w14:val="tx1"/>
                        </w14:solidFill>
                      </w14:textFill>
                    </w:rPr>
                    <w:t xml:space="preserve"> 工业炉窑</w:t>
                  </w:r>
                  <w:r>
                    <w:rPr>
                      <w:rFonts w:ascii="Times New Roman" w:hAnsi="Times New Roman" w:eastAsia="宋体" w:cs="Times New Roman"/>
                      <w:color w:val="000000" w:themeColor="text1"/>
                      <w:szCs w:val="32"/>
                      <w:highlight w:val="none"/>
                      <w14:textFill>
                        <w14:solidFill>
                          <w14:schemeClr w14:val="tx1"/>
                        </w14:solidFill>
                      </w14:textFill>
                    </w:rPr>
                    <w:t>》</w:t>
                  </w:r>
                  <w:r>
                    <w:rPr>
                      <w:rFonts w:hint="eastAsia" w:ascii="Times New Roman" w:hAnsi="Times New Roman" w:eastAsia="宋体" w:cs="Times New Roman"/>
                      <w:color w:val="000000" w:themeColor="text1"/>
                      <w:szCs w:val="32"/>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32"/>
                      <w:highlight w:val="none"/>
                      <w:lang w:val="en-US" w:eastAsia="zh-CN"/>
                      <w14:textFill>
                        <w14:solidFill>
                          <w14:schemeClr w14:val="tx1"/>
                        </w14:solidFill>
                      </w14:textFill>
                    </w:rPr>
                    <w:t>HJ1121-2020</w:t>
                  </w:r>
                  <w:r>
                    <w:rPr>
                      <w:rFonts w:hint="eastAsia" w:ascii="Times New Roman" w:hAnsi="Times New Roman" w:eastAsia="宋体" w:cs="Times New Roman"/>
                      <w:color w:val="000000" w:themeColor="text1"/>
                      <w:szCs w:val="32"/>
                      <w:highlight w:val="none"/>
                      <w:lang w:eastAsia="zh-CN"/>
                      <w14:textFill>
                        <w14:solidFill>
                          <w14:schemeClr w14:val="tx1"/>
                        </w14:solidFill>
                      </w14:textFill>
                    </w:rPr>
                    <w:t>）“表</w:t>
                  </w:r>
                  <w:r>
                    <w:rPr>
                      <w:rFonts w:hint="eastAsia" w:ascii="Times New Roman" w:hAnsi="Times New Roman" w:eastAsia="宋体" w:cs="Times New Roman"/>
                      <w:color w:val="000000" w:themeColor="text1"/>
                      <w:szCs w:val="32"/>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Cs w:val="32"/>
                      <w:highlight w:val="none"/>
                      <w:lang w:eastAsia="zh-CN"/>
                      <w14:textFill>
                        <w14:solidFill>
                          <w14:schemeClr w14:val="tx1"/>
                        </w14:solidFill>
                      </w14:textFill>
                    </w:rPr>
                    <w:t>加热炉、热处理炉、干燥炉（窑）排放口参考绩效值表”</w:t>
                  </w:r>
                  <w:r>
                    <w:rPr>
                      <w:rFonts w:hint="eastAsia" w:ascii="Times New Roman" w:hAnsi="Times New Roman" w:eastAsia="宋体" w:cs="Times New Roman"/>
                      <w:color w:val="000000" w:themeColor="text1"/>
                      <w:szCs w:val="32"/>
                      <w:highlight w:val="none"/>
                      <w:lang w:val="en-US" w:eastAsia="zh-CN"/>
                      <w14:textFill>
                        <w14:solidFill>
                          <w14:schemeClr w14:val="tx1"/>
                        </w14:solidFill>
                      </w14:textFill>
                    </w:rPr>
                    <w:t>-液体燃料。</w:t>
                  </w:r>
                </w:p>
              </w:tc>
            </w:tr>
            <w:tr w14:paraId="2871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8" w:hRule="atLeast"/>
                <w:jc w:val="center"/>
              </w:trPr>
              <w:tc>
                <w:tcPr>
                  <w:tcW w:w="438" w:type="pct"/>
                  <w:vMerge w:val="continue"/>
                  <w:tcBorders>
                    <w:left w:val="single" w:color="auto" w:sz="4" w:space="0"/>
                    <w:right w:val="single" w:color="auto" w:sz="4" w:space="0"/>
                  </w:tcBorders>
                  <w:vAlign w:val="center"/>
                </w:tcPr>
                <w:p w14:paraId="276969BD">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588" w:type="pct"/>
                  <w:vMerge w:val="continue"/>
                  <w:tcBorders>
                    <w:left w:val="single" w:color="auto" w:sz="4" w:space="0"/>
                    <w:right w:val="single" w:color="auto" w:sz="4" w:space="0"/>
                  </w:tcBorders>
                  <w:vAlign w:val="center"/>
                </w:tcPr>
                <w:p w14:paraId="120A4F8E">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635" w:type="pct"/>
                  <w:tcBorders>
                    <w:left w:val="single" w:color="auto" w:sz="4" w:space="0"/>
                    <w:right w:val="single" w:color="auto" w:sz="4" w:space="0"/>
                  </w:tcBorders>
                  <w:vAlign w:val="center"/>
                </w:tcPr>
                <w:p w14:paraId="309AB089">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二氧化硫</w:t>
                  </w:r>
                </w:p>
              </w:tc>
              <w:tc>
                <w:tcPr>
                  <w:tcW w:w="789" w:type="pct"/>
                  <w:tcBorders>
                    <w:left w:val="single" w:color="auto" w:sz="4" w:space="0"/>
                    <w:right w:val="single" w:color="auto" w:sz="4" w:space="0"/>
                  </w:tcBorders>
                  <w:vAlign w:val="center"/>
                </w:tcPr>
                <w:p w14:paraId="39734938">
                  <w:pPr>
                    <w:pStyle w:val="40"/>
                    <w:spacing w:before="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32"/>
                      <w:highlight w:val="none"/>
                      <w:lang w:val="en-US" w:eastAsia="zh-CN"/>
                      <w14:textFill>
                        <w14:solidFill>
                          <w14:schemeClr w14:val="tx1"/>
                        </w14:solidFill>
                      </w14:textFill>
                    </w:rPr>
                    <w:t>1.845</w:t>
                  </w:r>
                </w:p>
              </w:tc>
              <w:tc>
                <w:tcPr>
                  <w:tcW w:w="574" w:type="pct"/>
                  <w:vMerge w:val="continue"/>
                  <w:tcBorders>
                    <w:left w:val="single" w:color="auto" w:sz="4" w:space="0"/>
                    <w:right w:val="single" w:color="auto" w:sz="4" w:space="0"/>
                  </w:tcBorders>
                  <w:vAlign w:val="center"/>
                </w:tcPr>
                <w:p w14:paraId="16CCADD5">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550" w:type="pct"/>
                  <w:tcBorders>
                    <w:left w:val="single" w:color="auto" w:sz="4" w:space="0"/>
                    <w:right w:val="single" w:color="auto" w:sz="4" w:space="0"/>
                  </w:tcBorders>
                  <w:vAlign w:val="center"/>
                </w:tcPr>
                <w:p w14:paraId="4535789B">
                  <w:pPr>
                    <w:pStyle w:val="40"/>
                    <w:spacing w:before="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0.093</w:t>
                  </w:r>
                </w:p>
              </w:tc>
              <w:tc>
                <w:tcPr>
                  <w:tcW w:w="1422" w:type="pct"/>
                  <w:vMerge w:val="continue"/>
                  <w:tcBorders>
                    <w:left w:val="single" w:color="auto" w:sz="4" w:space="0"/>
                    <w:right w:val="single" w:color="auto" w:sz="4" w:space="0"/>
                  </w:tcBorders>
                  <w:vAlign w:val="center"/>
                </w:tcPr>
                <w:p w14:paraId="2F609CF0">
                  <w:pPr>
                    <w:pStyle w:val="40"/>
                    <w:spacing w:before="31"/>
                    <w:rPr>
                      <w:rFonts w:ascii="Times New Roman" w:hAnsi="Times New Roman" w:eastAsia="宋体" w:cs="Times New Roman"/>
                      <w:color w:val="000000" w:themeColor="text1"/>
                      <w:highlight w:val="none"/>
                      <w14:textFill>
                        <w14:solidFill>
                          <w14:schemeClr w14:val="tx1"/>
                        </w14:solidFill>
                      </w14:textFill>
                    </w:rPr>
                  </w:pPr>
                </w:p>
              </w:tc>
            </w:tr>
            <w:tr w14:paraId="1BEF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38" w:type="pct"/>
                  <w:vMerge w:val="continue"/>
                  <w:tcBorders>
                    <w:left w:val="single" w:color="auto" w:sz="4" w:space="0"/>
                    <w:right w:val="single" w:color="auto" w:sz="4" w:space="0"/>
                  </w:tcBorders>
                  <w:vAlign w:val="center"/>
                </w:tcPr>
                <w:p w14:paraId="2457CCE8">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588" w:type="pct"/>
                  <w:vMerge w:val="continue"/>
                  <w:tcBorders>
                    <w:left w:val="single" w:color="auto" w:sz="4" w:space="0"/>
                    <w:right w:val="single" w:color="auto" w:sz="4" w:space="0"/>
                  </w:tcBorders>
                  <w:vAlign w:val="center"/>
                </w:tcPr>
                <w:p w14:paraId="575CAF2E">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635" w:type="pct"/>
                  <w:tcBorders>
                    <w:left w:val="single" w:color="auto" w:sz="4" w:space="0"/>
                    <w:right w:val="single" w:color="auto" w:sz="4" w:space="0"/>
                  </w:tcBorders>
                  <w:vAlign w:val="center"/>
                </w:tcPr>
                <w:p w14:paraId="19B95BD1">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氮氧化物</w:t>
                  </w:r>
                </w:p>
              </w:tc>
              <w:tc>
                <w:tcPr>
                  <w:tcW w:w="789" w:type="pct"/>
                  <w:tcBorders>
                    <w:left w:val="single" w:color="auto" w:sz="4" w:space="0"/>
                    <w:right w:val="single" w:color="auto" w:sz="4" w:space="0"/>
                  </w:tcBorders>
                  <w:vAlign w:val="center"/>
                </w:tcPr>
                <w:p w14:paraId="77042E2C">
                  <w:pPr>
                    <w:pStyle w:val="40"/>
                    <w:spacing w:before="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32"/>
                      <w:highlight w:val="none"/>
                      <w:lang w:val="en-US" w:eastAsia="zh-CN"/>
                      <w14:textFill>
                        <w14:solidFill>
                          <w14:schemeClr w14:val="tx1"/>
                        </w14:solidFill>
                      </w14:textFill>
                    </w:rPr>
                    <w:t>5.535</w:t>
                  </w:r>
                </w:p>
              </w:tc>
              <w:tc>
                <w:tcPr>
                  <w:tcW w:w="574" w:type="pct"/>
                  <w:vMerge w:val="continue"/>
                  <w:tcBorders>
                    <w:left w:val="single" w:color="auto" w:sz="4" w:space="0"/>
                    <w:right w:val="single" w:color="auto" w:sz="4" w:space="0"/>
                  </w:tcBorders>
                  <w:vAlign w:val="center"/>
                </w:tcPr>
                <w:p w14:paraId="766C5899">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550" w:type="pct"/>
                  <w:tcBorders>
                    <w:left w:val="single" w:color="auto" w:sz="4" w:space="0"/>
                    <w:right w:val="single" w:color="auto" w:sz="4" w:space="0"/>
                  </w:tcBorders>
                  <w:vAlign w:val="center"/>
                </w:tcPr>
                <w:p w14:paraId="358FE749">
                  <w:pPr>
                    <w:pStyle w:val="40"/>
                    <w:spacing w:before="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0.277</w:t>
                  </w:r>
                </w:p>
              </w:tc>
              <w:tc>
                <w:tcPr>
                  <w:tcW w:w="1422" w:type="pct"/>
                  <w:vMerge w:val="continue"/>
                  <w:tcBorders>
                    <w:left w:val="single" w:color="auto" w:sz="4" w:space="0"/>
                    <w:right w:val="single" w:color="auto" w:sz="4" w:space="0"/>
                  </w:tcBorders>
                  <w:vAlign w:val="center"/>
                </w:tcPr>
                <w:p w14:paraId="6CA89F2D">
                  <w:pPr>
                    <w:pStyle w:val="40"/>
                    <w:spacing w:before="31"/>
                    <w:rPr>
                      <w:rFonts w:ascii="Times New Roman" w:hAnsi="Times New Roman" w:eastAsia="宋体" w:cs="Times New Roman"/>
                      <w:color w:val="000000" w:themeColor="text1"/>
                      <w:highlight w:val="none"/>
                      <w14:textFill>
                        <w14:solidFill>
                          <w14:schemeClr w14:val="tx1"/>
                        </w14:solidFill>
                      </w14:textFill>
                    </w:rPr>
                  </w:pPr>
                </w:p>
              </w:tc>
            </w:tr>
          </w:tbl>
          <w:p w14:paraId="631C315D">
            <w:pPr>
              <w:spacing w:line="368"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项目喷粉线固化废气拟在设置烘道进出口上方设置矩形集气罩收集，集气效率以80%计，未收集污染物车间无组织排放。</w:t>
            </w:r>
          </w:p>
          <w:p w14:paraId="4B9EAF46">
            <w:pPr>
              <w:spacing w:line="368"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参考《环境工程技术手册 废气处理工程技术手册》（王纯，张殿印主编，化学工业出版社，2012.11），上部伞型罩风量按下式计算：</w:t>
            </w:r>
          </w:p>
          <w:p w14:paraId="21B6FF40">
            <w:pPr>
              <w:pStyle w:val="43"/>
              <w:spacing w:line="360" w:lineRule="auto"/>
              <w:ind w:firstLine="0" w:firstLineChars="0"/>
              <w:jc w:val="center"/>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Q=1.4*P*H*V</w:t>
            </w:r>
            <w:r>
              <w:rPr>
                <w:rFonts w:ascii="Times New Roman" w:hAnsi="Times New Roman" w:eastAsia="宋体" w:cs="Times New Roman"/>
                <w:color w:val="000000" w:themeColor="text1"/>
                <w:sz w:val="24"/>
                <w:highlight w:val="none"/>
                <w:vertAlign w:val="subscript"/>
                <w14:textFill>
                  <w14:solidFill>
                    <w14:schemeClr w14:val="tx1"/>
                  </w14:solidFill>
                </w14:textFill>
              </w:rPr>
              <w:t>X</w:t>
            </w:r>
          </w:p>
          <w:p w14:paraId="046B0688">
            <w:pPr>
              <w:pStyle w:val="43"/>
              <w:spacing w:line="360" w:lineRule="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式中：Q——排气量，m</w:t>
            </w:r>
            <w:r>
              <w:rPr>
                <w:rFonts w:ascii="Times New Roman" w:hAnsi="Times New Roman" w:eastAsia="宋体" w:cs="Times New Roman"/>
                <w:color w:val="000000" w:themeColor="text1"/>
                <w:sz w:val="24"/>
                <w:highlight w:val="none"/>
                <w:vertAlign w:val="superscript"/>
                <w14:textFill>
                  <w14:solidFill>
                    <w14:schemeClr w14:val="tx1"/>
                  </w14:solidFill>
                </w14:textFill>
              </w:rPr>
              <w:t>3</w:t>
            </w:r>
            <w:r>
              <w:rPr>
                <w:rFonts w:ascii="Times New Roman" w:hAnsi="Times New Roman" w:eastAsia="宋体" w:cs="Times New Roman"/>
                <w:color w:val="000000" w:themeColor="text1"/>
                <w:sz w:val="24"/>
                <w:highlight w:val="none"/>
                <w14:textFill>
                  <w14:solidFill>
                    <w14:schemeClr w14:val="tx1"/>
                  </w14:solidFill>
                </w14:textFill>
              </w:rPr>
              <w:t>/s；</w:t>
            </w:r>
          </w:p>
          <w:p w14:paraId="18E63F70">
            <w:pPr>
              <w:pStyle w:val="43"/>
              <w:spacing w:line="360" w:lineRule="auto"/>
              <w:ind w:left="630" w:leftChars="3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P——罩口周长，m；</w:t>
            </w:r>
          </w:p>
          <w:p w14:paraId="541C6FB9">
            <w:pPr>
              <w:pStyle w:val="43"/>
              <w:spacing w:line="360" w:lineRule="auto"/>
              <w:ind w:left="630" w:leftChars="3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VX——控制风速，0.25～2.5m/s</w:t>
            </w:r>
          </w:p>
          <w:p w14:paraId="61F6E359">
            <w:pPr>
              <w:pStyle w:val="43"/>
              <w:spacing w:line="360" w:lineRule="auto"/>
              <w:ind w:left="630" w:leftChars="3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H——污染源距罩口距离，m；</w:t>
            </w:r>
          </w:p>
          <w:p w14:paraId="577CB0B0">
            <w:pPr>
              <w:pStyle w:val="43"/>
              <w:spacing w:line="360" w:lineRule="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项目喷粉线固化废气集气风量核算如下：</w:t>
            </w:r>
          </w:p>
          <w:p w14:paraId="6593243B">
            <w:pPr>
              <w:pStyle w:val="44"/>
              <w:spacing w:beforeLines="0" w:line="360" w:lineRule="auto"/>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表4-</w:t>
            </w:r>
            <w:r>
              <w:rPr>
                <w:rFonts w:hint="eastAsia" w:ascii="Times New Roman" w:hAnsi="Times New Roman" w:eastAsia="宋体"/>
                <w:color w:val="000000" w:themeColor="text1"/>
                <w:sz w:val="24"/>
                <w:highlight w:val="none"/>
                <w14:textFill>
                  <w14:solidFill>
                    <w14:schemeClr w14:val="tx1"/>
                  </w14:solidFill>
                </w14:textFill>
              </w:rPr>
              <w:t>9  项目喷粉线固化废气集气风量计算表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86"/>
              <w:gridCol w:w="1067"/>
              <w:gridCol w:w="1429"/>
              <w:gridCol w:w="1527"/>
              <w:gridCol w:w="788"/>
              <w:gridCol w:w="918"/>
              <w:gridCol w:w="957"/>
              <w:gridCol w:w="1066"/>
            </w:tblGrid>
            <w:tr w14:paraId="2852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06" w:type="pct"/>
                  <w:tcBorders>
                    <w:left w:val="single" w:color="auto" w:sz="4" w:space="0"/>
                    <w:right w:val="single" w:color="auto" w:sz="4" w:space="0"/>
                  </w:tcBorders>
                  <w:vAlign w:val="center"/>
                </w:tcPr>
                <w:p w14:paraId="58E1D289">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编号</w:t>
                  </w:r>
                </w:p>
              </w:tc>
              <w:tc>
                <w:tcPr>
                  <w:tcW w:w="631" w:type="pct"/>
                  <w:tcBorders>
                    <w:left w:val="single" w:color="auto" w:sz="4" w:space="0"/>
                    <w:right w:val="single" w:color="auto" w:sz="4" w:space="0"/>
                  </w:tcBorders>
                  <w:vAlign w:val="center"/>
                </w:tcPr>
                <w:p w14:paraId="6A56A935">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污染源</w:t>
                  </w:r>
                </w:p>
              </w:tc>
              <w:tc>
                <w:tcPr>
                  <w:tcW w:w="846" w:type="pct"/>
                  <w:tcBorders>
                    <w:left w:val="single" w:color="auto" w:sz="4" w:space="0"/>
                    <w:right w:val="single" w:color="auto" w:sz="4" w:space="0"/>
                  </w:tcBorders>
                  <w:vAlign w:val="center"/>
                </w:tcPr>
                <w:p w14:paraId="19A6557C">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废气收集方式</w:t>
                  </w:r>
                </w:p>
              </w:tc>
              <w:tc>
                <w:tcPr>
                  <w:tcW w:w="904" w:type="pct"/>
                  <w:tcBorders>
                    <w:left w:val="single" w:color="auto" w:sz="4" w:space="0"/>
                    <w:right w:val="single" w:color="auto" w:sz="4" w:space="0"/>
                  </w:tcBorders>
                  <w:vAlign w:val="center"/>
                </w:tcPr>
                <w:p w14:paraId="1D2A39DC">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集气罩规格</w:t>
                  </w:r>
                </w:p>
              </w:tc>
              <w:tc>
                <w:tcPr>
                  <w:tcW w:w="467" w:type="pct"/>
                  <w:tcBorders>
                    <w:left w:val="single" w:color="auto" w:sz="4" w:space="0"/>
                    <w:right w:val="single" w:color="auto" w:sz="4" w:space="0"/>
                  </w:tcBorders>
                  <w:vAlign w:val="center"/>
                </w:tcPr>
                <w:p w14:paraId="77FA6F28">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距离m</w:t>
                  </w:r>
                </w:p>
              </w:tc>
              <w:tc>
                <w:tcPr>
                  <w:tcW w:w="544" w:type="pct"/>
                  <w:tcBorders>
                    <w:left w:val="single" w:color="auto" w:sz="4" w:space="0"/>
                    <w:right w:val="single" w:color="auto" w:sz="4" w:space="0"/>
                  </w:tcBorders>
                  <w:vAlign w:val="center"/>
                </w:tcPr>
                <w:p w14:paraId="5D87413F">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控制风速m/s</w:t>
                  </w:r>
                </w:p>
              </w:tc>
              <w:tc>
                <w:tcPr>
                  <w:tcW w:w="567" w:type="pct"/>
                  <w:tcBorders>
                    <w:left w:val="single" w:color="auto" w:sz="4" w:space="0"/>
                    <w:right w:val="single" w:color="auto" w:sz="4" w:space="0"/>
                  </w:tcBorders>
                  <w:vAlign w:val="center"/>
                </w:tcPr>
                <w:p w14:paraId="28DF077F">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计得风量m</w:t>
                  </w:r>
                  <w:r>
                    <w:rPr>
                      <w:rFonts w:ascii="Times New Roman" w:hAnsi="Times New Roman" w:eastAsia="宋体" w:cs="Times New Roman"/>
                      <w:b/>
                      <w:bCs/>
                      <w:color w:val="000000" w:themeColor="text1"/>
                      <w:highlight w:val="none"/>
                      <w:vertAlign w:val="superscript"/>
                      <w14:textFill>
                        <w14:solidFill>
                          <w14:schemeClr w14:val="tx1"/>
                        </w14:solidFill>
                      </w14:textFill>
                    </w:rPr>
                    <w:t>3</w:t>
                  </w:r>
                  <w:r>
                    <w:rPr>
                      <w:rFonts w:ascii="Times New Roman" w:hAnsi="Times New Roman" w:eastAsia="宋体" w:cs="Times New Roman"/>
                      <w:b/>
                      <w:bCs/>
                      <w:color w:val="000000" w:themeColor="text1"/>
                      <w:highlight w:val="none"/>
                      <w14:textFill>
                        <w14:solidFill>
                          <w14:schemeClr w14:val="tx1"/>
                        </w14:solidFill>
                      </w14:textFill>
                    </w:rPr>
                    <w:t>/h</w:t>
                  </w:r>
                </w:p>
              </w:tc>
              <w:tc>
                <w:tcPr>
                  <w:tcW w:w="631" w:type="pct"/>
                  <w:tcBorders>
                    <w:left w:val="single" w:color="auto" w:sz="4" w:space="0"/>
                    <w:right w:val="single" w:color="auto" w:sz="4" w:space="0"/>
                  </w:tcBorders>
                  <w:vAlign w:val="center"/>
                </w:tcPr>
                <w:p w14:paraId="0F2F6569">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设计风量m</w:t>
                  </w:r>
                  <w:r>
                    <w:rPr>
                      <w:rFonts w:ascii="Times New Roman" w:hAnsi="Times New Roman" w:eastAsia="宋体" w:cs="Times New Roman"/>
                      <w:b/>
                      <w:bCs/>
                      <w:color w:val="000000" w:themeColor="text1"/>
                      <w:highlight w:val="none"/>
                      <w:vertAlign w:val="superscript"/>
                      <w14:textFill>
                        <w14:solidFill>
                          <w14:schemeClr w14:val="tx1"/>
                        </w14:solidFill>
                      </w14:textFill>
                    </w:rPr>
                    <w:t>3</w:t>
                  </w:r>
                  <w:r>
                    <w:rPr>
                      <w:rFonts w:ascii="Times New Roman" w:hAnsi="Times New Roman" w:eastAsia="宋体" w:cs="Times New Roman"/>
                      <w:b/>
                      <w:bCs/>
                      <w:color w:val="000000" w:themeColor="text1"/>
                      <w:highlight w:val="none"/>
                      <w14:textFill>
                        <w14:solidFill>
                          <w14:schemeClr w14:val="tx1"/>
                        </w14:solidFill>
                      </w14:textFill>
                    </w:rPr>
                    <w:t>/h</w:t>
                  </w:r>
                </w:p>
              </w:tc>
            </w:tr>
            <w:tr w14:paraId="5231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06" w:type="pct"/>
                  <w:tcBorders>
                    <w:left w:val="single" w:color="auto" w:sz="4" w:space="0"/>
                    <w:right w:val="single" w:color="auto" w:sz="4" w:space="0"/>
                  </w:tcBorders>
                  <w:vAlign w:val="center"/>
                </w:tcPr>
                <w:p w14:paraId="7443E834">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G3</w:t>
                  </w:r>
                </w:p>
              </w:tc>
              <w:tc>
                <w:tcPr>
                  <w:tcW w:w="631" w:type="pct"/>
                  <w:tcBorders>
                    <w:left w:val="single" w:color="auto" w:sz="4" w:space="0"/>
                    <w:right w:val="single" w:color="auto" w:sz="4" w:space="0"/>
                  </w:tcBorders>
                  <w:vAlign w:val="center"/>
                </w:tcPr>
                <w:p w14:paraId="6C300800">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喷粉线固化废气</w:t>
                  </w:r>
                </w:p>
              </w:tc>
              <w:tc>
                <w:tcPr>
                  <w:tcW w:w="846" w:type="pct"/>
                  <w:tcBorders>
                    <w:left w:val="single" w:color="auto" w:sz="4" w:space="0"/>
                    <w:right w:val="single" w:color="auto" w:sz="4" w:space="0"/>
                  </w:tcBorders>
                  <w:vAlign w:val="center"/>
                </w:tcPr>
                <w:p w14:paraId="09AFE49C">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顶吸集气罩</w:t>
                  </w:r>
                </w:p>
              </w:tc>
              <w:tc>
                <w:tcPr>
                  <w:tcW w:w="904" w:type="pct"/>
                  <w:tcBorders>
                    <w:left w:val="single" w:color="auto" w:sz="4" w:space="0"/>
                    <w:right w:val="single" w:color="auto" w:sz="4" w:space="0"/>
                  </w:tcBorders>
                  <w:vAlign w:val="center"/>
                </w:tcPr>
                <w:p w14:paraId="3BE1EAD8">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长2.5</w:t>
                  </w:r>
                  <w:r>
                    <w:rPr>
                      <w:rFonts w:ascii="Times New Roman" w:hAnsi="Times New Roman" w:eastAsia="宋体" w:cs="Times New Roman"/>
                      <w:color w:val="000000" w:themeColor="text1"/>
                      <w:highlight w:val="none"/>
                      <w14:textFill>
                        <w14:solidFill>
                          <w14:schemeClr w14:val="tx1"/>
                        </w14:solidFill>
                      </w14:textFill>
                    </w:rPr>
                    <w:t>m</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宽1m</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两个（进、出口）</w:t>
                  </w:r>
                </w:p>
              </w:tc>
              <w:tc>
                <w:tcPr>
                  <w:tcW w:w="467" w:type="pct"/>
                  <w:tcBorders>
                    <w:left w:val="single" w:color="auto" w:sz="4" w:space="0"/>
                    <w:right w:val="single" w:color="auto" w:sz="4" w:space="0"/>
                  </w:tcBorders>
                  <w:vAlign w:val="center"/>
                </w:tcPr>
                <w:p w14:paraId="64FB46D2">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0.2</w:t>
                  </w:r>
                </w:p>
              </w:tc>
              <w:tc>
                <w:tcPr>
                  <w:tcW w:w="544" w:type="pct"/>
                  <w:tcBorders>
                    <w:left w:val="single" w:color="auto" w:sz="4" w:space="0"/>
                    <w:right w:val="single" w:color="auto" w:sz="4" w:space="0"/>
                  </w:tcBorders>
                  <w:vAlign w:val="center"/>
                </w:tcPr>
                <w:p w14:paraId="16D8C4C7">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0.3</w:t>
                  </w:r>
                </w:p>
              </w:tc>
              <w:tc>
                <w:tcPr>
                  <w:tcW w:w="567" w:type="pct"/>
                  <w:tcBorders>
                    <w:left w:val="single" w:color="auto" w:sz="4" w:space="0"/>
                    <w:right w:val="single" w:color="auto" w:sz="4" w:space="0"/>
                  </w:tcBorders>
                  <w:vAlign w:val="center"/>
                </w:tcPr>
                <w:p w14:paraId="1501BBA5">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4233.6</w:t>
                  </w:r>
                </w:p>
              </w:tc>
              <w:tc>
                <w:tcPr>
                  <w:tcW w:w="631" w:type="pct"/>
                  <w:tcBorders>
                    <w:left w:val="single" w:color="auto" w:sz="4" w:space="0"/>
                    <w:right w:val="single" w:color="auto" w:sz="4" w:space="0"/>
                  </w:tcBorders>
                  <w:vAlign w:val="center"/>
                </w:tcPr>
                <w:p w14:paraId="7E886900">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5000</w:t>
                  </w:r>
                </w:p>
              </w:tc>
            </w:tr>
          </w:tbl>
          <w:p w14:paraId="442A99AB">
            <w:pPr>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项目喷粉线固化废气经烘道进出口集气罩收集后一并进入1套“干式过滤+</w:t>
            </w:r>
            <w:r>
              <w:rPr>
                <w:rFonts w:hint="eastAsia" w:ascii="Times New Roman" w:hAnsi="Times New Roman" w:eastAsia="宋体" w:cs="宋体"/>
                <w:color w:val="000000" w:themeColor="text1"/>
                <w:sz w:val="24"/>
                <w:highlight w:val="none"/>
                <w:lang w:eastAsia="zh-CN"/>
                <w14:textFill>
                  <w14:solidFill>
                    <w14:schemeClr w14:val="tx1"/>
                  </w14:solidFill>
                </w14:textFill>
              </w:rPr>
              <w:t>两级</w:t>
            </w:r>
            <w:r>
              <w:rPr>
                <w:rFonts w:hint="eastAsia" w:ascii="Times New Roman" w:hAnsi="Times New Roman" w:eastAsia="宋体" w:cs="宋体"/>
                <w:color w:val="000000" w:themeColor="text1"/>
                <w:sz w:val="24"/>
                <w:highlight w:val="none"/>
                <w14:textFill>
                  <w14:solidFill>
                    <w14:schemeClr w14:val="tx1"/>
                  </w14:solidFill>
                </w14:textFill>
              </w:rPr>
              <w:t>活性炭吸附”装置处置后由1根15m高排气筒DA003排放</w:t>
            </w:r>
            <w:r>
              <w:rPr>
                <w:rFonts w:hint="eastAsia" w:ascii="Times New Roman" w:hAnsi="Times New Roman" w:eastAsia="宋体" w:cs="宋体"/>
                <w:color w:val="000000" w:themeColor="text1"/>
                <w:sz w:val="24"/>
                <w:highlight w:val="none"/>
                <w:lang w:eastAsia="zh-CN"/>
                <w14:textFill>
                  <w14:solidFill>
                    <w14:schemeClr w14:val="tx1"/>
                  </w14:solidFill>
                </w14:textFill>
              </w:rPr>
              <w:t>。</w:t>
            </w:r>
            <w:r>
              <w:rPr>
                <w:rFonts w:hint="eastAsia" w:ascii="Times New Roman" w:hAnsi="Times New Roman" w:eastAsia="宋体" w:cs="宋体"/>
                <w:color w:val="000000" w:themeColor="text1"/>
                <w:sz w:val="24"/>
                <w:highlight w:val="none"/>
                <w14:textFill>
                  <w14:solidFill>
                    <w14:schemeClr w14:val="tx1"/>
                  </w14:solidFill>
                </w14:textFill>
              </w:rPr>
              <w:t>参照</w:t>
            </w:r>
            <w:r>
              <w:rPr>
                <w:rFonts w:ascii="Times New Roman" w:hAnsi="Times New Roman" w:eastAsia="宋体" w:cs="宋体"/>
                <w:color w:val="000000" w:themeColor="text1"/>
                <w:sz w:val="24"/>
                <w:highlight w:val="none"/>
                <w14:textFill>
                  <w14:solidFill>
                    <w14:schemeClr w14:val="tx1"/>
                  </w14:solidFill>
                </w14:textFill>
              </w:rPr>
              <w:t>《排放源统计调查产排污核算方法和系数手册》</w:t>
            </w:r>
            <w:r>
              <w:rPr>
                <w:rFonts w:hint="eastAsia" w:ascii="Times New Roman" w:hAnsi="Times New Roman" w:eastAsia="宋体" w:cs="宋体"/>
                <w:color w:val="000000" w:themeColor="text1"/>
                <w:sz w:val="24"/>
                <w:highlight w:val="none"/>
                <w14:textFill>
                  <w14:solidFill>
                    <w14:schemeClr w14:val="tx1"/>
                  </w14:solidFill>
                </w14:textFill>
              </w:rPr>
              <w:t>，</w:t>
            </w:r>
            <w:r>
              <w:rPr>
                <w:rFonts w:hint="eastAsia" w:ascii="Times New Roman" w:hAnsi="Times New Roman" w:eastAsia="宋体" w:cs="宋体"/>
                <w:color w:val="000000" w:themeColor="text1"/>
                <w:sz w:val="24"/>
                <w:highlight w:val="none"/>
                <w:lang w:eastAsia="zh-CN"/>
                <w14:textFill>
                  <w14:solidFill>
                    <w14:schemeClr w14:val="tx1"/>
                  </w14:solidFill>
                </w14:textFill>
              </w:rPr>
              <w:t>“其他（吸附法）”末端治理效率为</w:t>
            </w:r>
            <w:r>
              <w:rPr>
                <w:rFonts w:hint="eastAsia" w:ascii="Times New Roman" w:hAnsi="Times New Roman" w:eastAsia="宋体" w:cs="宋体"/>
                <w:color w:val="000000" w:themeColor="text1"/>
                <w:sz w:val="24"/>
                <w:highlight w:val="none"/>
                <w:lang w:val="en-US" w:eastAsia="zh-CN"/>
                <w14:textFill>
                  <w14:solidFill>
                    <w14:schemeClr w14:val="tx1"/>
                  </w14:solidFill>
                </w14:textFill>
              </w:rPr>
              <w:t>18%，本项目固化废气采取活性炭吸附治理工艺，</w:t>
            </w:r>
            <w:r>
              <w:rPr>
                <w:rFonts w:hint="eastAsia" w:ascii="Times New Roman" w:hAnsi="Times New Roman" w:eastAsia="宋体" w:cs="宋体"/>
                <w:color w:val="000000" w:themeColor="text1"/>
                <w:sz w:val="24"/>
                <w:highlight w:val="none"/>
                <w14:textFill>
                  <w14:solidFill>
                    <w14:schemeClr w14:val="tx1"/>
                  </w14:solidFill>
                </w14:textFill>
              </w:rPr>
              <w:t>处置效率以18%计。活性炭对</w:t>
            </w:r>
            <w:r>
              <w:rPr>
                <w:rFonts w:hint="eastAsia" w:ascii="Calibri" w:hAnsi="Calibri" w:eastAsia="宋体" w:cs="Calibri"/>
                <w:color w:val="000000" w:themeColor="text1"/>
                <w:sz w:val="24"/>
                <w:highlight w:val="none"/>
                <w14:textFill>
                  <w14:solidFill>
                    <w14:schemeClr w14:val="tx1"/>
                  </w14:solidFill>
                </w14:textFill>
              </w:rPr>
              <w:t>二氧化硫、氮氧化物、颗粒物（产生量较少）处理效率均按</w:t>
            </w:r>
            <w:r>
              <w:rPr>
                <w:rFonts w:ascii="Times New Roman" w:hAnsi="Times New Roman" w:eastAsia="宋体" w:cs="Times New Roman"/>
                <w:color w:val="000000" w:themeColor="text1"/>
                <w:sz w:val="24"/>
                <w:highlight w:val="none"/>
                <w14:textFill>
                  <w14:solidFill>
                    <w14:schemeClr w14:val="tx1"/>
                  </w14:solidFill>
                </w14:textFill>
              </w:rPr>
              <w:t>0</w:t>
            </w:r>
            <w:r>
              <w:rPr>
                <w:rFonts w:hint="eastAsia" w:ascii="Calibri" w:hAnsi="Calibri" w:eastAsia="宋体" w:cs="Calibri"/>
                <w:color w:val="000000" w:themeColor="text1"/>
                <w:sz w:val="24"/>
                <w:highlight w:val="none"/>
                <w14:textFill>
                  <w14:solidFill>
                    <w14:schemeClr w14:val="tx1"/>
                  </w14:solidFill>
                </w14:textFill>
              </w:rPr>
              <w:t>计，</w:t>
            </w:r>
            <w:r>
              <w:rPr>
                <w:rFonts w:hint="eastAsia" w:ascii="Times New Roman" w:hAnsi="Times New Roman" w:eastAsia="宋体" w:cs="宋体"/>
                <w:color w:val="000000" w:themeColor="text1"/>
                <w:sz w:val="24"/>
                <w:highlight w:val="none"/>
                <w14:textFill>
                  <w14:solidFill>
                    <w14:schemeClr w14:val="tx1"/>
                  </w14:solidFill>
                </w14:textFill>
              </w:rPr>
              <w:t>则项目喷粉固化废气排放情况如下表：</w:t>
            </w:r>
          </w:p>
          <w:p w14:paraId="3156037F">
            <w:pPr>
              <w:pStyle w:val="44"/>
              <w:spacing w:beforeLines="0" w:line="360" w:lineRule="auto"/>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表4-</w:t>
            </w:r>
            <w:r>
              <w:rPr>
                <w:rFonts w:hint="eastAsia" w:ascii="Times New Roman" w:hAnsi="Times New Roman" w:eastAsia="宋体"/>
                <w:color w:val="000000" w:themeColor="text1"/>
                <w:sz w:val="24"/>
                <w:highlight w:val="none"/>
                <w14:textFill>
                  <w14:solidFill>
                    <w14:schemeClr w14:val="tx1"/>
                  </w14:solidFill>
                </w14:textFill>
              </w:rPr>
              <w:t>10  项目喷粉固化废气排放情况一览表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1"/>
              <w:gridCol w:w="1159"/>
              <w:gridCol w:w="729"/>
              <w:gridCol w:w="634"/>
              <w:gridCol w:w="547"/>
              <w:gridCol w:w="649"/>
              <w:gridCol w:w="542"/>
              <w:gridCol w:w="816"/>
              <w:gridCol w:w="594"/>
              <w:gridCol w:w="628"/>
              <w:gridCol w:w="741"/>
              <w:gridCol w:w="773"/>
            </w:tblGrid>
            <w:tr w14:paraId="4C47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73" w:type="pct"/>
                  <w:vMerge w:val="restart"/>
                  <w:tcBorders>
                    <w:left w:val="single" w:color="auto" w:sz="4" w:space="0"/>
                    <w:right w:val="single" w:color="auto" w:sz="4" w:space="0"/>
                  </w:tcBorders>
                  <w:vAlign w:val="center"/>
                </w:tcPr>
                <w:p w14:paraId="4BD0F8D3">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污染源</w:t>
                  </w:r>
                </w:p>
              </w:tc>
              <w:tc>
                <w:tcPr>
                  <w:tcW w:w="685" w:type="pct"/>
                  <w:vMerge w:val="restart"/>
                  <w:tcBorders>
                    <w:left w:val="single" w:color="auto" w:sz="4" w:space="0"/>
                    <w:right w:val="single" w:color="auto" w:sz="4" w:space="0"/>
                  </w:tcBorders>
                  <w:vAlign w:val="center"/>
                </w:tcPr>
                <w:p w14:paraId="2AE6A0C1">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污染物</w:t>
                  </w:r>
                </w:p>
              </w:tc>
              <w:tc>
                <w:tcPr>
                  <w:tcW w:w="431" w:type="pct"/>
                  <w:vMerge w:val="restart"/>
                  <w:tcBorders>
                    <w:left w:val="single" w:color="auto" w:sz="4" w:space="0"/>
                    <w:right w:val="single" w:color="auto" w:sz="4" w:space="0"/>
                  </w:tcBorders>
                  <w:vAlign w:val="center"/>
                </w:tcPr>
                <w:p w14:paraId="6CB1C761">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排放时间h/a</w:t>
                  </w:r>
                </w:p>
              </w:tc>
              <w:tc>
                <w:tcPr>
                  <w:tcW w:w="375" w:type="pct"/>
                  <w:vMerge w:val="restart"/>
                  <w:tcBorders>
                    <w:left w:val="single" w:color="auto" w:sz="4" w:space="0"/>
                    <w:right w:val="single" w:color="auto" w:sz="4" w:space="0"/>
                  </w:tcBorders>
                  <w:vAlign w:val="center"/>
                </w:tcPr>
                <w:p w14:paraId="7B3AC813">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产生量t/a</w:t>
                  </w:r>
                </w:p>
              </w:tc>
              <w:tc>
                <w:tcPr>
                  <w:tcW w:w="323" w:type="pct"/>
                  <w:vMerge w:val="restart"/>
                  <w:tcBorders>
                    <w:left w:val="single" w:color="auto" w:sz="4" w:space="0"/>
                    <w:right w:val="single" w:color="auto" w:sz="4" w:space="0"/>
                  </w:tcBorders>
                  <w:vAlign w:val="center"/>
                </w:tcPr>
                <w:p w14:paraId="191A7A37">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收集效率</w:t>
                  </w:r>
                </w:p>
              </w:tc>
              <w:tc>
                <w:tcPr>
                  <w:tcW w:w="384" w:type="pct"/>
                  <w:vMerge w:val="restart"/>
                  <w:tcBorders>
                    <w:left w:val="single" w:color="auto" w:sz="4" w:space="0"/>
                    <w:right w:val="single" w:color="auto" w:sz="4" w:space="0"/>
                  </w:tcBorders>
                  <w:vAlign w:val="center"/>
                </w:tcPr>
                <w:p w14:paraId="27CF4675">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处置效率</w:t>
                  </w:r>
                </w:p>
              </w:tc>
              <w:tc>
                <w:tcPr>
                  <w:tcW w:w="321" w:type="pct"/>
                  <w:vMerge w:val="restart"/>
                  <w:tcBorders>
                    <w:left w:val="single" w:color="auto" w:sz="4" w:space="0"/>
                    <w:right w:val="single" w:color="auto" w:sz="4" w:space="0"/>
                  </w:tcBorders>
                  <w:vAlign w:val="center"/>
                </w:tcPr>
                <w:p w14:paraId="55CEAC00">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风量m</w:t>
                  </w:r>
                  <w:r>
                    <w:rPr>
                      <w:rFonts w:ascii="Times New Roman" w:hAnsi="Times New Roman" w:cs="Times New Roman"/>
                      <w:b/>
                      <w:bCs/>
                      <w:color w:val="000000" w:themeColor="text1"/>
                      <w:highlight w:val="none"/>
                      <w:vertAlign w:val="superscript"/>
                      <w14:textFill>
                        <w14:solidFill>
                          <w14:schemeClr w14:val="tx1"/>
                        </w14:solidFill>
                      </w14:textFill>
                    </w:rPr>
                    <w:t>3</w:t>
                  </w:r>
                  <w:r>
                    <w:rPr>
                      <w:rFonts w:ascii="Times New Roman" w:hAnsi="Times New Roman" w:cs="Times New Roman"/>
                      <w:b/>
                      <w:bCs/>
                      <w:color w:val="000000" w:themeColor="text1"/>
                      <w:highlight w:val="none"/>
                      <w14:textFill>
                        <w14:solidFill>
                          <w14:schemeClr w14:val="tx1"/>
                        </w14:solidFill>
                      </w14:textFill>
                    </w:rPr>
                    <w:t>/h</w:t>
                  </w:r>
                </w:p>
              </w:tc>
              <w:tc>
                <w:tcPr>
                  <w:tcW w:w="483" w:type="pct"/>
                  <w:vMerge w:val="restart"/>
                  <w:tcBorders>
                    <w:left w:val="single" w:color="auto" w:sz="4" w:space="0"/>
                    <w:right w:val="single" w:color="auto" w:sz="4" w:space="0"/>
                  </w:tcBorders>
                  <w:vAlign w:val="center"/>
                </w:tcPr>
                <w:p w14:paraId="74A9705C">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无组织排放量t/a</w:t>
                  </w:r>
                </w:p>
              </w:tc>
              <w:tc>
                <w:tcPr>
                  <w:tcW w:w="1163" w:type="pct"/>
                  <w:gridSpan w:val="3"/>
                  <w:tcBorders>
                    <w:left w:val="single" w:color="auto" w:sz="4" w:space="0"/>
                    <w:right w:val="single" w:color="auto" w:sz="4" w:space="0"/>
                  </w:tcBorders>
                  <w:vAlign w:val="center"/>
                </w:tcPr>
                <w:p w14:paraId="23487CFF">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有组织排放</w:t>
                  </w:r>
                </w:p>
              </w:tc>
              <w:tc>
                <w:tcPr>
                  <w:tcW w:w="458" w:type="pct"/>
                  <w:vMerge w:val="restart"/>
                  <w:tcBorders>
                    <w:left w:val="single" w:color="auto" w:sz="4" w:space="0"/>
                    <w:right w:val="single" w:color="auto" w:sz="4" w:space="0"/>
                  </w:tcBorders>
                  <w:vAlign w:val="center"/>
                </w:tcPr>
                <w:p w14:paraId="2EF01AFB">
                  <w:pPr>
                    <w:pStyle w:val="40"/>
                    <w:spacing w:before="31"/>
                    <w:rPr>
                      <w:rFonts w:ascii="Times New Roman" w:hAnsi="Times New Roman"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排气筒编号</w:t>
                  </w:r>
                </w:p>
              </w:tc>
            </w:tr>
            <w:tr w14:paraId="4EE9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73" w:type="pct"/>
                  <w:vMerge w:val="continue"/>
                  <w:tcBorders>
                    <w:left w:val="single" w:color="auto" w:sz="4" w:space="0"/>
                    <w:right w:val="single" w:color="auto" w:sz="4" w:space="0"/>
                  </w:tcBorders>
                  <w:vAlign w:val="center"/>
                </w:tcPr>
                <w:p w14:paraId="78E6B4D9">
                  <w:pPr>
                    <w:pStyle w:val="40"/>
                    <w:spacing w:before="31"/>
                    <w:rPr>
                      <w:rFonts w:ascii="Times New Roman" w:hAnsi="Times New Roman" w:cs="Times New Roman"/>
                      <w:color w:val="000000" w:themeColor="text1"/>
                      <w:highlight w:val="none"/>
                      <w14:textFill>
                        <w14:solidFill>
                          <w14:schemeClr w14:val="tx1"/>
                        </w14:solidFill>
                      </w14:textFill>
                    </w:rPr>
                  </w:pPr>
                </w:p>
              </w:tc>
              <w:tc>
                <w:tcPr>
                  <w:tcW w:w="685" w:type="pct"/>
                  <w:vMerge w:val="continue"/>
                  <w:tcBorders>
                    <w:left w:val="single" w:color="auto" w:sz="4" w:space="0"/>
                    <w:right w:val="single" w:color="auto" w:sz="4" w:space="0"/>
                  </w:tcBorders>
                  <w:vAlign w:val="center"/>
                </w:tcPr>
                <w:p w14:paraId="45B4D5ED">
                  <w:pPr>
                    <w:pStyle w:val="40"/>
                    <w:spacing w:before="31"/>
                    <w:rPr>
                      <w:rFonts w:ascii="Times New Roman" w:hAnsi="Times New Roman" w:cs="Times New Roman"/>
                      <w:color w:val="000000" w:themeColor="text1"/>
                      <w:highlight w:val="none"/>
                      <w14:textFill>
                        <w14:solidFill>
                          <w14:schemeClr w14:val="tx1"/>
                        </w14:solidFill>
                      </w14:textFill>
                    </w:rPr>
                  </w:pPr>
                </w:p>
              </w:tc>
              <w:tc>
                <w:tcPr>
                  <w:tcW w:w="431" w:type="pct"/>
                  <w:vMerge w:val="continue"/>
                  <w:tcBorders>
                    <w:left w:val="single" w:color="auto" w:sz="4" w:space="0"/>
                    <w:right w:val="single" w:color="auto" w:sz="4" w:space="0"/>
                  </w:tcBorders>
                  <w:vAlign w:val="center"/>
                </w:tcPr>
                <w:p w14:paraId="457FD0EB">
                  <w:pPr>
                    <w:pStyle w:val="40"/>
                    <w:spacing w:before="31"/>
                    <w:rPr>
                      <w:rFonts w:ascii="Times New Roman" w:hAnsi="Times New Roman" w:cs="Times New Roman"/>
                      <w:color w:val="000000" w:themeColor="text1"/>
                      <w:highlight w:val="none"/>
                      <w14:textFill>
                        <w14:solidFill>
                          <w14:schemeClr w14:val="tx1"/>
                        </w14:solidFill>
                      </w14:textFill>
                    </w:rPr>
                  </w:pPr>
                </w:p>
              </w:tc>
              <w:tc>
                <w:tcPr>
                  <w:tcW w:w="375" w:type="pct"/>
                  <w:vMerge w:val="continue"/>
                  <w:tcBorders>
                    <w:left w:val="single" w:color="auto" w:sz="4" w:space="0"/>
                    <w:right w:val="single" w:color="auto" w:sz="4" w:space="0"/>
                  </w:tcBorders>
                  <w:vAlign w:val="center"/>
                </w:tcPr>
                <w:p w14:paraId="537EAFD2">
                  <w:pPr>
                    <w:pStyle w:val="40"/>
                    <w:spacing w:before="31"/>
                    <w:rPr>
                      <w:rFonts w:ascii="Times New Roman" w:hAnsi="Times New Roman" w:cs="Times New Roman"/>
                      <w:color w:val="000000" w:themeColor="text1"/>
                      <w:highlight w:val="none"/>
                      <w14:textFill>
                        <w14:solidFill>
                          <w14:schemeClr w14:val="tx1"/>
                        </w14:solidFill>
                      </w14:textFill>
                    </w:rPr>
                  </w:pPr>
                </w:p>
              </w:tc>
              <w:tc>
                <w:tcPr>
                  <w:tcW w:w="323" w:type="pct"/>
                  <w:vMerge w:val="continue"/>
                  <w:tcBorders>
                    <w:left w:val="single" w:color="auto" w:sz="4" w:space="0"/>
                    <w:right w:val="single" w:color="auto" w:sz="4" w:space="0"/>
                  </w:tcBorders>
                  <w:vAlign w:val="center"/>
                </w:tcPr>
                <w:p w14:paraId="3E2BED12">
                  <w:pPr>
                    <w:pStyle w:val="40"/>
                    <w:spacing w:before="31"/>
                    <w:rPr>
                      <w:rFonts w:ascii="Times New Roman" w:hAnsi="Times New Roman" w:cs="Times New Roman"/>
                      <w:color w:val="000000" w:themeColor="text1"/>
                      <w:highlight w:val="none"/>
                      <w14:textFill>
                        <w14:solidFill>
                          <w14:schemeClr w14:val="tx1"/>
                        </w14:solidFill>
                      </w14:textFill>
                    </w:rPr>
                  </w:pPr>
                </w:p>
              </w:tc>
              <w:tc>
                <w:tcPr>
                  <w:tcW w:w="384" w:type="pct"/>
                  <w:vMerge w:val="continue"/>
                  <w:tcBorders>
                    <w:left w:val="single" w:color="auto" w:sz="4" w:space="0"/>
                    <w:right w:val="single" w:color="auto" w:sz="4" w:space="0"/>
                  </w:tcBorders>
                  <w:vAlign w:val="center"/>
                </w:tcPr>
                <w:p w14:paraId="3632A6F4">
                  <w:pPr>
                    <w:pStyle w:val="40"/>
                    <w:spacing w:before="31"/>
                    <w:rPr>
                      <w:rFonts w:ascii="Times New Roman" w:hAnsi="Times New Roman" w:cs="Times New Roman"/>
                      <w:color w:val="000000" w:themeColor="text1"/>
                      <w:highlight w:val="none"/>
                      <w14:textFill>
                        <w14:solidFill>
                          <w14:schemeClr w14:val="tx1"/>
                        </w14:solidFill>
                      </w14:textFill>
                    </w:rPr>
                  </w:pPr>
                </w:p>
              </w:tc>
              <w:tc>
                <w:tcPr>
                  <w:tcW w:w="321" w:type="pct"/>
                  <w:vMerge w:val="continue"/>
                  <w:tcBorders>
                    <w:left w:val="single" w:color="auto" w:sz="4" w:space="0"/>
                    <w:right w:val="single" w:color="auto" w:sz="4" w:space="0"/>
                  </w:tcBorders>
                  <w:vAlign w:val="center"/>
                </w:tcPr>
                <w:p w14:paraId="503BA932">
                  <w:pPr>
                    <w:pStyle w:val="40"/>
                    <w:spacing w:before="31"/>
                    <w:rPr>
                      <w:rFonts w:ascii="Times New Roman" w:hAnsi="Times New Roman" w:cs="Times New Roman"/>
                      <w:color w:val="000000" w:themeColor="text1"/>
                      <w:highlight w:val="none"/>
                      <w14:textFill>
                        <w14:solidFill>
                          <w14:schemeClr w14:val="tx1"/>
                        </w14:solidFill>
                      </w14:textFill>
                    </w:rPr>
                  </w:pPr>
                </w:p>
              </w:tc>
              <w:tc>
                <w:tcPr>
                  <w:tcW w:w="483" w:type="pct"/>
                  <w:vMerge w:val="continue"/>
                  <w:tcBorders>
                    <w:left w:val="single" w:color="auto" w:sz="4" w:space="0"/>
                    <w:right w:val="single" w:color="auto" w:sz="4" w:space="0"/>
                  </w:tcBorders>
                  <w:vAlign w:val="center"/>
                </w:tcPr>
                <w:p w14:paraId="1BD6B2BE">
                  <w:pPr>
                    <w:pStyle w:val="40"/>
                    <w:spacing w:before="31"/>
                    <w:rPr>
                      <w:rFonts w:ascii="Times New Roman" w:hAnsi="Times New Roman" w:cs="Times New Roman"/>
                      <w:color w:val="000000" w:themeColor="text1"/>
                      <w:highlight w:val="none"/>
                      <w14:textFill>
                        <w14:solidFill>
                          <w14:schemeClr w14:val="tx1"/>
                        </w14:solidFill>
                      </w14:textFill>
                    </w:rPr>
                  </w:pPr>
                </w:p>
              </w:tc>
              <w:tc>
                <w:tcPr>
                  <w:tcW w:w="352" w:type="pct"/>
                  <w:tcBorders>
                    <w:left w:val="single" w:color="auto" w:sz="4" w:space="0"/>
                    <w:right w:val="single" w:color="auto" w:sz="4" w:space="0"/>
                  </w:tcBorders>
                  <w:vAlign w:val="center"/>
                </w:tcPr>
                <w:p w14:paraId="1693D2C1">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量t/a</w:t>
                  </w:r>
                </w:p>
              </w:tc>
              <w:tc>
                <w:tcPr>
                  <w:tcW w:w="372" w:type="pct"/>
                  <w:tcBorders>
                    <w:left w:val="single" w:color="auto" w:sz="4" w:space="0"/>
                    <w:right w:val="single" w:color="auto" w:sz="4" w:space="0"/>
                  </w:tcBorders>
                  <w:vAlign w:val="center"/>
                </w:tcPr>
                <w:p w14:paraId="400904A3">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速率kg/h</w:t>
                  </w:r>
                </w:p>
              </w:tc>
              <w:tc>
                <w:tcPr>
                  <w:tcW w:w="438" w:type="pct"/>
                  <w:tcBorders>
                    <w:left w:val="single" w:color="auto" w:sz="4" w:space="0"/>
                    <w:right w:val="single" w:color="auto" w:sz="4" w:space="0"/>
                  </w:tcBorders>
                  <w:vAlign w:val="center"/>
                </w:tcPr>
                <w:p w14:paraId="3503C8D7">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cs="Times New Roman"/>
                      <w:b/>
                      <w:bCs/>
                      <w:color w:val="000000" w:themeColor="text1"/>
                      <w:highlight w:val="none"/>
                      <w14:textFill>
                        <w14:solidFill>
                          <w14:schemeClr w14:val="tx1"/>
                        </w14:solidFill>
                      </w14:textFill>
                    </w:rPr>
                    <w:t>浓度mg/m</w:t>
                  </w:r>
                  <w:r>
                    <w:rPr>
                      <w:rFonts w:ascii="Times New Roman" w:hAnsi="Times New Roman" w:cs="Times New Roman"/>
                      <w:b/>
                      <w:bCs/>
                      <w:color w:val="000000" w:themeColor="text1"/>
                      <w:highlight w:val="none"/>
                      <w:vertAlign w:val="superscript"/>
                      <w14:textFill>
                        <w14:solidFill>
                          <w14:schemeClr w14:val="tx1"/>
                        </w14:solidFill>
                      </w14:textFill>
                    </w:rPr>
                    <w:t>3</w:t>
                  </w:r>
                </w:p>
              </w:tc>
              <w:tc>
                <w:tcPr>
                  <w:tcW w:w="458" w:type="pct"/>
                  <w:vMerge w:val="continue"/>
                  <w:tcBorders>
                    <w:left w:val="single" w:color="auto" w:sz="4" w:space="0"/>
                    <w:right w:val="single" w:color="auto" w:sz="4" w:space="0"/>
                  </w:tcBorders>
                  <w:vAlign w:val="center"/>
                </w:tcPr>
                <w:p w14:paraId="6D3CC1F6">
                  <w:pPr>
                    <w:pStyle w:val="40"/>
                    <w:spacing w:before="31"/>
                    <w:rPr>
                      <w:rFonts w:ascii="Times New Roman" w:hAnsi="Times New Roman" w:cs="Times New Roman"/>
                      <w:b/>
                      <w:bCs/>
                      <w:color w:val="000000" w:themeColor="text1"/>
                      <w:highlight w:val="none"/>
                      <w14:textFill>
                        <w14:solidFill>
                          <w14:schemeClr w14:val="tx1"/>
                        </w14:solidFill>
                      </w14:textFill>
                    </w:rPr>
                  </w:pPr>
                </w:p>
              </w:tc>
            </w:tr>
            <w:tr w14:paraId="3420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vMerge w:val="restart"/>
                  <w:tcBorders>
                    <w:left w:val="single" w:color="auto" w:sz="4" w:space="0"/>
                    <w:right w:val="single" w:color="auto" w:sz="4" w:space="0"/>
                  </w:tcBorders>
                  <w:vAlign w:val="center"/>
                </w:tcPr>
                <w:p w14:paraId="7CC67841">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喷粉线固化废气</w:t>
                  </w:r>
                </w:p>
              </w:tc>
              <w:tc>
                <w:tcPr>
                  <w:tcW w:w="685" w:type="pct"/>
                  <w:tcBorders>
                    <w:left w:val="single" w:color="auto" w:sz="4" w:space="0"/>
                    <w:right w:val="single" w:color="auto" w:sz="4" w:space="0"/>
                  </w:tcBorders>
                  <w:vAlign w:val="center"/>
                </w:tcPr>
                <w:p w14:paraId="650052E4">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非甲烷总烃</w:t>
                  </w:r>
                </w:p>
              </w:tc>
              <w:tc>
                <w:tcPr>
                  <w:tcW w:w="431" w:type="pct"/>
                  <w:vMerge w:val="restart"/>
                  <w:tcBorders>
                    <w:left w:val="single" w:color="auto" w:sz="4" w:space="0"/>
                    <w:right w:val="single" w:color="auto" w:sz="4" w:space="0"/>
                  </w:tcBorders>
                  <w:vAlign w:val="center"/>
                </w:tcPr>
                <w:p w14:paraId="5878E9A4">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2000</w:t>
                  </w:r>
                </w:p>
              </w:tc>
              <w:tc>
                <w:tcPr>
                  <w:tcW w:w="375" w:type="pct"/>
                  <w:tcBorders>
                    <w:left w:val="single" w:color="auto" w:sz="4" w:space="0"/>
                    <w:right w:val="single" w:color="auto" w:sz="4" w:space="0"/>
                  </w:tcBorders>
                  <w:vAlign w:val="center"/>
                </w:tcPr>
                <w:p w14:paraId="31A8193D">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0.048</w:t>
                  </w:r>
                </w:p>
              </w:tc>
              <w:tc>
                <w:tcPr>
                  <w:tcW w:w="323" w:type="pct"/>
                  <w:vMerge w:val="restart"/>
                  <w:tcBorders>
                    <w:left w:val="single" w:color="auto" w:sz="4" w:space="0"/>
                    <w:right w:val="single" w:color="auto" w:sz="4" w:space="0"/>
                  </w:tcBorders>
                  <w:vAlign w:val="center"/>
                </w:tcPr>
                <w:p w14:paraId="18DCF8C7">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80%</w:t>
                  </w:r>
                </w:p>
              </w:tc>
              <w:tc>
                <w:tcPr>
                  <w:tcW w:w="384" w:type="pct"/>
                  <w:tcBorders>
                    <w:left w:val="single" w:color="auto" w:sz="4" w:space="0"/>
                    <w:right w:val="single" w:color="auto" w:sz="4" w:space="0"/>
                  </w:tcBorders>
                  <w:vAlign w:val="center"/>
                </w:tcPr>
                <w:p w14:paraId="7040A5EF">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18</w:t>
                  </w:r>
                  <w:r>
                    <w:rPr>
                      <w:rFonts w:ascii="Times New Roman" w:hAnsi="Times New Roman" w:cs="Times New Roman"/>
                      <w:color w:val="000000" w:themeColor="text1"/>
                      <w:highlight w:val="none"/>
                      <w14:textFill>
                        <w14:solidFill>
                          <w14:schemeClr w14:val="tx1"/>
                        </w14:solidFill>
                      </w14:textFill>
                    </w:rPr>
                    <w:t>%</w:t>
                  </w:r>
                </w:p>
              </w:tc>
              <w:tc>
                <w:tcPr>
                  <w:tcW w:w="321" w:type="pct"/>
                  <w:vMerge w:val="restart"/>
                  <w:tcBorders>
                    <w:left w:val="single" w:color="auto" w:sz="4" w:space="0"/>
                    <w:right w:val="single" w:color="auto" w:sz="4" w:space="0"/>
                  </w:tcBorders>
                  <w:vAlign w:val="center"/>
                </w:tcPr>
                <w:p w14:paraId="7B2AB223">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5</w:t>
                  </w:r>
                  <w:r>
                    <w:rPr>
                      <w:rFonts w:ascii="Times New Roman" w:hAnsi="Times New Roman" w:cs="Times New Roman"/>
                      <w:color w:val="000000" w:themeColor="text1"/>
                      <w:highlight w:val="none"/>
                      <w14:textFill>
                        <w14:solidFill>
                          <w14:schemeClr w14:val="tx1"/>
                        </w14:solidFill>
                      </w14:textFill>
                    </w:rPr>
                    <w:t>000</w:t>
                  </w:r>
                </w:p>
              </w:tc>
              <w:tc>
                <w:tcPr>
                  <w:tcW w:w="483" w:type="pct"/>
                  <w:tcBorders>
                    <w:left w:val="single" w:color="auto" w:sz="4" w:space="0"/>
                    <w:right w:val="single" w:color="auto" w:sz="4" w:space="0"/>
                  </w:tcBorders>
                  <w:vAlign w:val="center"/>
                </w:tcPr>
                <w:p w14:paraId="3000F3B5">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0.01</w:t>
                  </w:r>
                </w:p>
              </w:tc>
              <w:tc>
                <w:tcPr>
                  <w:tcW w:w="352" w:type="pct"/>
                  <w:tcBorders>
                    <w:left w:val="single" w:color="auto" w:sz="4" w:space="0"/>
                    <w:right w:val="single" w:color="auto" w:sz="4" w:space="0"/>
                  </w:tcBorders>
                  <w:vAlign w:val="center"/>
                </w:tcPr>
                <w:p w14:paraId="2F923E7F">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0.0</w:t>
                  </w:r>
                  <w:r>
                    <w:rPr>
                      <w:rFonts w:hint="eastAsia" w:ascii="Times New Roman" w:hAnsi="Times New Roman" w:cs="Times New Roman"/>
                      <w:color w:val="000000" w:themeColor="text1"/>
                      <w:highlight w:val="none"/>
                      <w:lang w:val="en-US" w:eastAsia="zh-CN"/>
                      <w14:textFill>
                        <w14:solidFill>
                          <w14:schemeClr w14:val="tx1"/>
                        </w14:solidFill>
                      </w14:textFill>
                    </w:rPr>
                    <w:t>31</w:t>
                  </w:r>
                </w:p>
              </w:tc>
              <w:tc>
                <w:tcPr>
                  <w:tcW w:w="372" w:type="pct"/>
                  <w:tcBorders>
                    <w:left w:val="single" w:color="auto" w:sz="4" w:space="0"/>
                    <w:right w:val="single" w:color="auto" w:sz="4" w:space="0"/>
                  </w:tcBorders>
                  <w:vAlign w:val="center"/>
                </w:tcPr>
                <w:p w14:paraId="18745C84">
                  <w:pPr>
                    <w:pStyle w:val="40"/>
                    <w:spacing w:before="31"/>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0.01</w:t>
                  </w:r>
                  <w:r>
                    <w:rPr>
                      <w:rFonts w:hint="eastAsia" w:ascii="Times New Roman" w:hAnsi="Times New Roman" w:cs="Times New Roman"/>
                      <w:color w:val="000000" w:themeColor="text1"/>
                      <w:highlight w:val="none"/>
                      <w:lang w:val="en-US" w:eastAsia="zh-CN"/>
                      <w14:textFill>
                        <w14:solidFill>
                          <w14:schemeClr w14:val="tx1"/>
                        </w14:solidFill>
                      </w14:textFill>
                    </w:rPr>
                    <w:t>6</w:t>
                  </w:r>
                </w:p>
              </w:tc>
              <w:tc>
                <w:tcPr>
                  <w:tcW w:w="438" w:type="pct"/>
                  <w:tcBorders>
                    <w:left w:val="single" w:color="auto" w:sz="4" w:space="0"/>
                    <w:right w:val="single" w:color="auto" w:sz="4" w:space="0"/>
                  </w:tcBorders>
                  <w:vAlign w:val="center"/>
                </w:tcPr>
                <w:p w14:paraId="430DE747">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3.2</w:t>
                  </w:r>
                </w:p>
              </w:tc>
              <w:tc>
                <w:tcPr>
                  <w:tcW w:w="458" w:type="pct"/>
                  <w:vMerge w:val="restart"/>
                  <w:tcBorders>
                    <w:left w:val="single" w:color="auto" w:sz="4" w:space="0"/>
                    <w:right w:val="single" w:color="auto" w:sz="4" w:space="0"/>
                  </w:tcBorders>
                  <w:vAlign w:val="center"/>
                </w:tcPr>
                <w:p w14:paraId="076E78E5">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DA00</w:t>
                  </w:r>
                  <w:r>
                    <w:rPr>
                      <w:rFonts w:hint="eastAsia" w:ascii="Times New Roman" w:hAnsi="Times New Roman" w:cs="Times New Roman"/>
                      <w:color w:val="000000" w:themeColor="text1"/>
                      <w:highlight w:val="none"/>
                      <w14:textFill>
                        <w14:solidFill>
                          <w14:schemeClr w14:val="tx1"/>
                        </w14:solidFill>
                      </w14:textFill>
                    </w:rPr>
                    <w:t>3</w:t>
                  </w:r>
                </w:p>
              </w:tc>
            </w:tr>
            <w:tr w14:paraId="7733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vMerge w:val="continue"/>
                  <w:tcBorders>
                    <w:left w:val="single" w:color="auto" w:sz="4" w:space="0"/>
                    <w:right w:val="single" w:color="auto" w:sz="4" w:space="0"/>
                  </w:tcBorders>
                  <w:vAlign w:val="center"/>
                </w:tcPr>
                <w:p w14:paraId="63521057">
                  <w:pPr>
                    <w:pStyle w:val="40"/>
                    <w:spacing w:before="31"/>
                    <w:rPr>
                      <w:rFonts w:ascii="Times New Roman" w:hAnsi="Times New Roman" w:cs="Times New Roman"/>
                      <w:color w:val="000000" w:themeColor="text1"/>
                      <w:highlight w:val="none"/>
                      <w14:textFill>
                        <w14:solidFill>
                          <w14:schemeClr w14:val="tx1"/>
                        </w14:solidFill>
                      </w14:textFill>
                    </w:rPr>
                  </w:pPr>
                </w:p>
              </w:tc>
              <w:tc>
                <w:tcPr>
                  <w:tcW w:w="685" w:type="pct"/>
                  <w:tcBorders>
                    <w:left w:val="single" w:color="auto" w:sz="4" w:space="0"/>
                    <w:right w:val="single" w:color="auto" w:sz="4" w:space="0"/>
                  </w:tcBorders>
                  <w:vAlign w:val="center"/>
                </w:tcPr>
                <w:p w14:paraId="5E49D2C3">
                  <w:pPr>
                    <w:pStyle w:val="40"/>
                    <w:spacing w:before="31"/>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颗粒物</w:t>
                  </w:r>
                </w:p>
              </w:tc>
              <w:tc>
                <w:tcPr>
                  <w:tcW w:w="431" w:type="pct"/>
                  <w:vMerge w:val="continue"/>
                  <w:tcBorders>
                    <w:left w:val="single" w:color="auto" w:sz="4" w:space="0"/>
                    <w:right w:val="single" w:color="auto" w:sz="4" w:space="0"/>
                  </w:tcBorders>
                  <w:vAlign w:val="center"/>
                </w:tcPr>
                <w:p w14:paraId="51277807">
                  <w:pPr>
                    <w:pStyle w:val="40"/>
                    <w:spacing w:before="31"/>
                    <w:rPr>
                      <w:rFonts w:ascii="Times New Roman" w:hAnsi="Times New Roman" w:cs="Times New Roman"/>
                      <w:color w:val="000000" w:themeColor="text1"/>
                      <w:highlight w:val="none"/>
                      <w14:textFill>
                        <w14:solidFill>
                          <w14:schemeClr w14:val="tx1"/>
                        </w14:solidFill>
                      </w14:textFill>
                    </w:rPr>
                  </w:pPr>
                </w:p>
              </w:tc>
              <w:tc>
                <w:tcPr>
                  <w:tcW w:w="634" w:type="dxa"/>
                  <w:tcBorders>
                    <w:left w:val="single" w:color="auto" w:sz="4" w:space="0"/>
                    <w:right w:val="single" w:color="auto" w:sz="4" w:space="0"/>
                  </w:tcBorders>
                  <w:vAlign w:val="center"/>
                </w:tcPr>
                <w:p w14:paraId="723481AD">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0.028</w:t>
                  </w:r>
                </w:p>
              </w:tc>
              <w:tc>
                <w:tcPr>
                  <w:tcW w:w="323" w:type="pct"/>
                  <w:vMerge w:val="continue"/>
                  <w:tcBorders>
                    <w:left w:val="single" w:color="auto" w:sz="4" w:space="0"/>
                    <w:right w:val="single" w:color="auto" w:sz="4" w:space="0"/>
                  </w:tcBorders>
                  <w:vAlign w:val="center"/>
                </w:tcPr>
                <w:p w14:paraId="635FC195">
                  <w:pPr>
                    <w:pStyle w:val="40"/>
                    <w:spacing w:before="31"/>
                    <w:rPr>
                      <w:rFonts w:ascii="Times New Roman" w:hAnsi="Times New Roman" w:cs="Times New Roman"/>
                      <w:color w:val="000000" w:themeColor="text1"/>
                      <w:highlight w:val="none"/>
                      <w14:textFill>
                        <w14:solidFill>
                          <w14:schemeClr w14:val="tx1"/>
                        </w14:solidFill>
                      </w14:textFill>
                    </w:rPr>
                  </w:pPr>
                </w:p>
              </w:tc>
              <w:tc>
                <w:tcPr>
                  <w:tcW w:w="384" w:type="pct"/>
                  <w:vMerge w:val="restart"/>
                  <w:tcBorders>
                    <w:left w:val="single" w:color="auto" w:sz="4" w:space="0"/>
                    <w:right w:val="single" w:color="auto" w:sz="4" w:space="0"/>
                  </w:tcBorders>
                  <w:vAlign w:val="center"/>
                </w:tcPr>
                <w:p w14:paraId="6B925528">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0</w:t>
                  </w:r>
                </w:p>
              </w:tc>
              <w:tc>
                <w:tcPr>
                  <w:tcW w:w="321" w:type="pct"/>
                  <w:vMerge w:val="continue"/>
                  <w:tcBorders>
                    <w:left w:val="single" w:color="auto" w:sz="4" w:space="0"/>
                    <w:right w:val="single" w:color="auto" w:sz="4" w:space="0"/>
                  </w:tcBorders>
                  <w:vAlign w:val="center"/>
                </w:tcPr>
                <w:p w14:paraId="67D9CC2D">
                  <w:pPr>
                    <w:pStyle w:val="40"/>
                    <w:spacing w:before="31"/>
                    <w:rPr>
                      <w:rFonts w:ascii="Times New Roman" w:hAnsi="Times New Roman" w:cs="Times New Roman"/>
                      <w:color w:val="000000" w:themeColor="text1"/>
                      <w:highlight w:val="none"/>
                      <w14:textFill>
                        <w14:solidFill>
                          <w14:schemeClr w14:val="tx1"/>
                        </w14:solidFill>
                      </w14:textFill>
                    </w:rPr>
                  </w:pPr>
                </w:p>
              </w:tc>
              <w:tc>
                <w:tcPr>
                  <w:tcW w:w="483" w:type="pct"/>
                  <w:tcBorders>
                    <w:left w:val="single" w:color="auto" w:sz="4" w:space="0"/>
                    <w:right w:val="single" w:color="auto" w:sz="4" w:space="0"/>
                  </w:tcBorders>
                  <w:vAlign w:val="center"/>
                </w:tcPr>
                <w:p w14:paraId="297AC2E0">
                  <w:pPr>
                    <w:pStyle w:val="40"/>
                    <w:spacing w:before="31"/>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594" w:type="dxa"/>
                  <w:tcBorders>
                    <w:left w:val="single" w:color="auto" w:sz="4" w:space="0"/>
                    <w:right w:val="single" w:color="auto" w:sz="4" w:space="0"/>
                  </w:tcBorders>
                  <w:vAlign w:val="center"/>
                </w:tcPr>
                <w:p w14:paraId="6592CDC2">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0.028</w:t>
                  </w:r>
                </w:p>
              </w:tc>
              <w:tc>
                <w:tcPr>
                  <w:tcW w:w="628" w:type="dxa"/>
                  <w:tcBorders>
                    <w:left w:val="single" w:color="auto" w:sz="4" w:space="0"/>
                    <w:right w:val="single" w:color="auto" w:sz="4" w:space="0"/>
                  </w:tcBorders>
                  <w:vAlign w:val="center"/>
                </w:tcPr>
                <w:p w14:paraId="4BEC8922">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0.014</w:t>
                  </w:r>
                </w:p>
              </w:tc>
              <w:tc>
                <w:tcPr>
                  <w:tcW w:w="741" w:type="dxa"/>
                  <w:tcBorders>
                    <w:left w:val="single" w:color="auto" w:sz="4" w:space="0"/>
                    <w:right w:val="single" w:color="auto" w:sz="4" w:space="0"/>
                  </w:tcBorders>
                  <w:vAlign w:val="center"/>
                </w:tcPr>
                <w:p w14:paraId="4C55A848">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2.8</w:t>
                  </w:r>
                </w:p>
              </w:tc>
              <w:tc>
                <w:tcPr>
                  <w:tcW w:w="458" w:type="pct"/>
                  <w:vMerge w:val="continue"/>
                  <w:tcBorders>
                    <w:left w:val="single" w:color="auto" w:sz="4" w:space="0"/>
                    <w:right w:val="single" w:color="auto" w:sz="4" w:space="0"/>
                  </w:tcBorders>
                  <w:vAlign w:val="center"/>
                </w:tcPr>
                <w:p w14:paraId="0D259E36">
                  <w:pPr>
                    <w:pStyle w:val="40"/>
                    <w:spacing w:before="31"/>
                    <w:rPr>
                      <w:rFonts w:ascii="Times New Roman" w:hAnsi="Times New Roman" w:cs="Times New Roman"/>
                      <w:color w:val="000000" w:themeColor="text1"/>
                      <w:highlight w:val="none"/>
                      <w14:textFill>
                        <w14:solidFill>
                          <w14:schemeClr w14:val="tx1"/>
                        </w14:solidFill>
                      </w14:textFill>
                    </w:rPr>
                  </w:pPr>
                </w:p>
              </w:tc>
            </w:tr>
            <w:tr w14:paraId="00A2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vMerge w:val="continue"/>
                  <w:tcBorders>
                    <w:left w:val="single" w:color="auto" w:sz="4" w:space="0"/>
                    <w:right w:val="single" w:color="auto" w:sz="4" w:space="0"/>
                  </w:tcBorders>
                  <w:vAlign w:val="center"/>
                </w:tcPr>
                <w:p w14:paraId="0408BF36">
                  <w:pPr>
                    <w:pStyle w:val="40"/>
                    <w:spacing w:before="31"/>
                    <w:rPr>
                      <w:rFonts w:ascii="Times New Roman" w:hAnsi="Times New Roman" w:cs="Times New Roman"/>
                      <w:color w:val="000000" w:themeColor="text1"/>
                      <w:highlight w:val="none"/>
                      <w14:textFill>
                        <w14:solidFill>
                          <w14:schemeClr w14:val="tx1"/>
                        </w14:solidFill>
                      </w14:textFill>
                    </w:rPr>
                  </w:pPr>
                </w:p>
              </w:tc>
              <w:tc>
                <w:tcPr>
                  <w:tcW w:w="685" w:type="pct"/>
                  <w:tcBorders>
                    <w:left w:val="single" w:color="auto" w:sz="4" w:space="0"/>
                    <w:right w:val="single" w:color="auto" w:sz="4" w:space="0"/>
                  </w:tcBorders>
                  <w:vAlign w:val="center"/>
                </w:tcPr>
                <w:p w14:paraId="5E9C2A58">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二氧化硫</w:t>
                  </w:r>
                </w:p>
              </w:tc>
              <w:tc>
                <w:tcPr>
                  <w:tcW w:w="431" w:type="pct"/>
                  <w:vMerge w:val="continue"/>
                  <w:tcBorders>
                    <w:left w:val="single" w:color="auto" w:sz="4" w:space="0"/>
                    <w:right w:val="single" w:color="auto" w:sz="4" w:space="0"/>
                  </w:tcBorders>
                  <w:vAlign w:val="center"/>
                </w:tcPr>
                <w:p w14:paraId="281166DC">
                  <w:pPr>
                    <w:pStyle w:val="40"/>
                    <w:spacing w:before="31"/>
                    <w:rPr>
                      <w:rFonts w:ascii="Times New Roman" w:hAnsi="Times New Roman" w:cs="Times New Roman"/>
                      <w:color w:val="000000" w:themeColor="text1"/>
                      <w:highlight w:val="none"/>
                      <w14:textFill>
                        <w14:solidFill>
                          <w14:schemeClr w14:val="tx1"/>
                        </w14:solidFill>
                      </w14:textFill>
                    </w:rPr>
                  </w:pPr>
                </w:p>
              </w:tc>
              <w:tc>
                <w:tcPr>
                  <w:tcW w:w="634" w:type="dxa"/>
                  <w:tcBorders>
                    <w:left w:val="single" w:color="auto" w:sz="4" w:space="0"/>
                    <w:right w:val="single" w:color="auto" w:sz="4" w:space="0"/>
                  </w:tcBorders>
                  <w:vAlign w:val="center"/>
                </w:tcPr>
                <w:p w14:paraId="3EA3C72F">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0.093</w:t>
                  </w:r>
                </w:p>
              </w:tc>
              <w:tc>
                <w:tcPr>
                  <w:tcW w:w="323" w:type="pct"/>
                  <w:vMerge w:val="continue"/>
                  <w:tcBorders>
                    <w:left w:val="single" w:color="auto" w:sz="4" w:space="0"/>
                    <w:right w:val="single" w:color="auto" w:sz="4" w:space="0"/>
                  </w:tcBorders>
                  <w:vAlign w:val="center"/>
                </w:tcPr>
                <w:p w14:paraId="2C1D37EF">
                  <w:pPr>
                    <w:pStyle w:val="40"/>
                    <w:spacing w:before="31"/>
                    <w:rPr>
                      <w:rFonts w:ascii="Times New Roman" w:hAnsi="Times New Roman" w:cs="Times New Roman"/>
                      <w:color w:val="000000" w:themeColor="text1"/>
                      <w:highlight w:val="none"/>
                      <w14:textFill>
                        <w14:solidFill>
                          <w14:schemeClr w14:val="tx1"/>
                        </w14:solidFill>
                      </w14:textFill>
                    </w:rPr>
                  </w:pPr>
                </w:p>
              </w:tc>
              <w:tc>
                <w:tcPr>
                  <w:tcW w:w="384" w:type="pct"/>
                  <w:vMerge w:val="continue"/>
                  <w:tcBorders>
                    <w:left w:val="single" w:color="auto" w:sz="4" w:space="0"/>
                    <w:right w:val="single" w:color="auto" w:sz="4" w:space="0"/>
                  </w:tcBorders>
                  <w:vAlign w:val="center"/>
                </w:tcPr>
                <w:p w14:paraId="77F787D7">
                  <w:pPr>
                    <w:pStyle w:val="40"/>
                    <w:spacing w:before="31"/>
                    <w:rPr>
                      <w:rFonts w:ascii="Times New Roman" w:hAnsi="Times New Roman" w:cs="Times New Roman"/>
                      <w:color w:val="000000" w:themeColor="text1"/>
                      <w:highlight w:val="none"/>
                      <w14:textFill>
                        <w14:solidFill>
                          <w14:schemeClr w14:val="tx1"/>
                        </w14:solidFill>
                      </w14:textFill>
                    </w:rPr>
                  </w:pPr>
                </w:p>
              </w:tc>
              <w:tc>
                <w:tcPr>
                  <w:tcW w:w="321" w:type="pct"/>
                  <w:vMerge w:val="continue"/>
                  <w:tcBorders>
                    <w:left w:val="single" w:color="auto" w:sz="4" w:space="0"/>
                    <w:right w:val="single" w:color="auto" w:sz="4" w:space="0"/>
                  </w:tcBorders>
                  <w:vAlign w:val="center"/>
                </w:tcPr>
                <w:p w14:paraId="6E232FE6">
                  <w:pPr>
                    <w:pStyle w:val="40"/>
                    <w:spacing w:before="31"/>
                    <w:rPr>
                      <w:rFonts w:ascii="Times New Roman" w:hAnsi="Times New Roman" w:cs="Times New Roman"/>
                      <w:color w:val="000000" w:themeColor="text1"/>
                      <w:highlight w:val="none"/>
                      <w14:textFill>
                        <w14:solidFill>
                          <w14:schemeClr w14:val="tx1"/>
                        </w14:solidFill>
                      </w14:textFill>
                    </w:rPr>
                  </w:pPr>
                </w:p>
              </w:tc>
              <w:tc>
                <w:tcPr>
                  <w:tcW w:w="483" w:type="pct"/>
                  <w:tcBorders>
                    <w:left w:val="single" w:color="auto" w:sz="4" w:space="0"/>
                    <w:right w:val="single" w:color="auto" w:sz="4" w:space="0"/>
                  </w:tcBorders>
                  <w:vAlign w:val="center"/>
                </w:tcPr>
                <w:p w14:paraId="56F180DE">
                  <w:pPr>
                    <w:pStyle w:val="40"/>
                    <w:spacing w:before="31"/>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594" w:type="dxa"/>
                  <w:tcBorders>
                    <w:left w:val="single" w:color="auto" w:sz="4" w:space="0"/>
                    <w:right w:val="single" w:color="auto" w:sz="4" w:space="0"/>
                  </w:tcBorders>
                  <w:vAlign w:val="center"/>
                </w:tcPr>
                <w:p w14:paraId="09E9974C">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0.093</w:t>
                  </w:r>
                </w:p>
              </w:tc>
              <w:tc>
                <w:tcPr>
                  <w:tcW w:w="628" w:type="dxa"/>
                  <w:tcBorders>
                    <w:left w:val="single" w:color="auto" w:sz="4" w:space="0"/>
                    <w:right w:val="single" w:color="auto" w:sz="4" w:space="0"/>
                  </w:tcBorders>
                  <w:vAlign w:val="center"/>
                </w:tcPr>
                <w:p w14:paraId="615DFF7F">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0.046</w:t>
                  </w:r>
                </w:p>
              </w:tc>
              <w:tc>
                <w:tcPr>
                  <w:tcW w:w="741" w:type="dxa"/>
                  <w:tcBorders>
                    <w:left w:val="single" w:color="auto" w:sz="4" w:space="0"/>
                    <w:right w:val="single" w:color="auto" w:sz="4" w:space="0"/>
                  </w:tcBorders>
                  <w:vAlign w:val="center"/>
                </w:tcPr>
                <w:p w14:paraId="6E1F9083">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9.2</w:t>
                  </w:r>
                </w:p>
              </w:tc>
              <w:tc>
                <w:tcPr>
                  <w:tcW w:w="458" w:type="pct"/>
                  <w:vMerge w:val="continue"/>
                  <w:tcBorders>
                    <w:left w:val="single" w:color="auto" w:sz="4" w:space="0"/>
                    <w:right w:val="single" w:color="auto" w:sz="4" w:space="0"/>
                  </w:tcBorders>
                  <w:vAlign w:val="center"/>
                </w:tcPr>
                <w:p w14:paraId="4BF7E893">
                  <w:pPr>
                    <w:pStyle w:val="40"/>
                    <w:spacing w:before="31"/>
                    <w:rPr>
                      <w:rFonts w:ascii="Times New Roman" w:hAnsi="Times New Roman" w:cs="Times New Roman"/>
                      <w:color w:val="000000" w:themeColor="text1"/>
                      <w:highlight w:val="none"/>
                      <w14:textFill>
                        <w14:solidFill>
                          <w14:schemeClr w14:val="tx1"/>
                        </w14:solidFill>
                      </w14:textFill>
                    </w:rPr>
                  </w:pPr>
                </w:p>
              </w:tc>
            </w:tr>
            <w:tr w14:paraId="53E7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73" w:type="pct"/>
                  <w:vMerge w:val="continue"/>
                  <w:tcBorders>
                    <w:left w:val="single" w:color="auto" w:sz="4" w:space="0"/>
                    <w:right w:val="single" w:color="auto" w:sz="4" w:space="0"/>
                  </w:tcBorders>
                  <w:vAlign w:val="center"/>
                </w:tcPr>
                <w:p w14:paraId="6AA463B5">
                  <w:pPr>
                    <w:pStyle w:val="40"/>
                    <w:spacing w:before="31"/>
                    <w:rPr>
                      <w:rFonts w:ascii="Times New Roman" w:hAnsi="Times New Roman" w:cs="Times New Roman"/>
                      <w:color w:val="000000" w:themeColor="text1"/>
                      <w:highlight w:val="none"/>
                      <w14:textFill>
                        <w14:solidFill>
                          <w14:schemeClr w14:val="tx1"/>
                        </w14:solidFill>
                      </w14:textFill>
                    </w:rPr>
                  </w:pPr>
                </w:p>
              </w:tc>
              <w:tc>
                <w:tcPr>
                  <w:tcW w:w="685" w:type="pct"/>
                  <w:tcBorders>
                    <w:left w:val="single" w:color="auto" w:sz="4" w:space="0"/>
                    <w:right w:val="single" w:color="auto" w:sz="4" w:space="0"/>
                  </w:tcBorders>
                  <w:vAlign w:val="center"/>
                </w:tcPr>
                <w:p w14:paraId="3F9203A0">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氮氧化物</w:t>
                  </w:r>
                </w:p>
              </w:tc>
              <w:tc>
                <w:tcPr>
                  <w:tcW w:w="431" w:type="pct"/>
                  <w:vMerge w:val="continue"/>
                  <w:tcBorders>
                    <w:left w:val="single" w:color="auto" w:sz="4" w:space="0"/>
                    <w:right w:val="single" w:color="auto" w:sz="4" w:space="0"/>
                  </w:tcBorders>
                  <w:vAlign w:val="center"/>
                </w:tcPr>
                <w:p w14:paraId="5FA1F381">
                  <w:pPr>
                    <w:pStyle w:val="40"/>
                    <w:spacing w:before="31"/>
                    <w:rPr>
                      <w:rFonts w:ascii="Times New Roman" w:hAnsi="Times New Roman" w:cs="Times New Roman"/>
                      <w:color w:val="000000" w:themeColor="text1"/>
                      <w:highlight w:val="none"/>
                      <w14:textFill>
                        <w14:solidFill>
                          <w14:schemeClr w14:val="tx1"/>
                        </w14:solidFill>
                      </w14:textFill>
                    </w:rPr>
                  </w:pPr>
                </w:p>
              </w:tc>
              <w:tc>
                <w:tcPr>
                  <w:tcW w:w="634" w:type="dxa"/>
                  <w:tcBorders>
                    <w:left w:val="single" w:color="auto" w:sz="4" w:space="0"/>
                    <w:right w:val="single" w:color="auto" w:sz="4" w:space="0"/>
                  </w:tcBorders>
                  <w:vAlign w:val="center"/>
                </w:tcPr>
                <w:p w14:paraId="630788A8">
                  <w:pPr>
                    <w:pStyle w:val="40"/>
                    <w:spacing w:before="31"/>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0.277</w:t>
                  </w:r>
                </w:p>
              </w:tc>
              <w:tc>
                <w:tcPr>
                  <w:tcW w:w="323" w:type="pct"/>
                  <w:vMerge w:val="continue"/>
                  <w:tcBorders>
                    <w:left w:val="single" w:color="auto" w:sz="4" w:space="0"/>
                    <w:right w:val="single" w:color="auto" w:sz="4" w:space="0"/>
                  </w:tcBorders>
                  <w:vAlign w:val="center"/>
                </w:tcPr>
                <w:p w14:paraId="33128B58">
                  <w:pPr>
                    <w:pStyle w:val="40"/>
                    <w:spacing w:before="31"/>
                    <w:rPr>
                      <w:rFonts w:ascii="Times New Roman" w:hAnsi="Times New Roman" w:cs="Times New Roman"/>
                      <w:color w:val="000000" w:themeColor="text1"/>
                      <w:highlight w:val="none"/>
                      <w14:textFill>
                        <w14:solidFill>
                          <w14:schemeClr w14:val="tx1"/>
                        </w14:solidFill>
                      </w14:textFill>
                    </w:rPr>
                  </w:pPr>
                </w:p>
              </w:tc>
              <w:tc>
                <w:tcPr>
                  <w:tcW w:w="384" w:type="pct"/>
                  <w:vMerge w:val="continue"/>
                  <w:tcBorders>
                    <w:left w:val="single" w:color="auto" w:sz="4" w:space="0"/>
                    <w:right w:val="single" w:color="auto" w:sz="4" w:space="0"/>
                  </w:tcBorders>
                  <w:vAlign w:val="center"/>
                </w:tcPr>
                <w:p w14:paraId="6978818A">
                  <w:pPr>
                    <w:pStyle w:val="40"/>
                    <w:spacing w:before="31"/>
                    <w:rPr>
                      <w:rFonts w:ascii="Times New Roman" w:hAnsi="Times New Roman" w:cs="Times New Roman"/>
                      <w:color w:val="000000" w:themeColor="text1"/>
                      <w:highlight w:val="none"/>
                      <w14:textFill>
                        <w14:solidFill>
                          <w14:schemeClr w14:val="tx1"/>
                        </w14:solidFill>
                      </w14:textFill>
                    </w:rPr>
                  </w:pPr>
                </w:p>
              </w:tc>
              <w:tc>
                <w:tcPr>
                  <w:tcW w:w="321" w:type="pct"/>
                  <w:vMerge w:val="continue"/>
                  <w:tcBorders>
                    <w:left w:val="single" w:color="auto" w:sz="4" w:space="0"/>
                    <w:right w:val="single" w:color="auto" w:sz="4" w:space="0"/>
                  </w:tcBorders>
                  <w:vAlign w:val="center"/>
                </w:tcPr>
                <w:p w14:paraId="4F0E6B6A">
                  <w:pPr>
                    <w:pStyle w:val="40"/>
                    <w:spacing w:before="31"/>
                    <w:rPr>
                      <w:rFonts w:ascii="Times New Roman" w:hAnsi="Times New Roman" w:cs="Times New Roman"/>
                      <w:color w:val="000000" w:themeColor="text1"/>
                      <w:highlight w:val="none"/>
                      <w14:textFill>
                        <w14:solidFill>
                          <w14:schemeClr w14:val="tx1"/>
                        </w14:solidFill>
                      </w14:textFill>
                    </w:rPr>
                  </w:pPr>
                </w:p>
              </w:tc>
              <w:tc>
                <w:tcPr>
                  <w:tcW w:w="483" w:type="pct"/>
                  <w:tcBorders>
                    <w:left w:val="single" w:color="auto" w:sz="4" w:space="0"/>
                    <w:right w:val="single" w:color="auto" w:sz="4" w:space="0"/>
                  </w:tcBorders>
                  <w:vAlign w:val="center"/>
                </w:tcPr>
                <w:p w14:paraId="773BAB01">
                  <w:pPr>
                    <w:pStyle w:val="40"/>
                    <w:spacing w:before="31"/>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594" w:type="dxa"/>
                  <w:tcBorders>
                    <w:left w:val="single" w:color="auto" w:sz="4" w:space="0"/>
                    <w:right w:val="single" w:color="auto" w:sz="4" w:space="0"/>
                  </w:tcBorders>
                  <w:vAlign w:val="center"/>
                </w:tcPr>
                <w:p w14:paraId="471C3BFA">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0.277</w:t>
                  </w:r>
                </w:p>
              </w:tc>
              <w:tc>
                <w:tcPr>
                  <w:tcW w:w="628" w:type="dxa"/>
                  <w:tcBorders>
                    <w:left w:val="single" w:color="auto" w:sz="4" w:space="0"/>
                    <w:right w:val="single" w:color="auto" w:sz="4" w:space="0"/>
                  </w:tcBorders>
                  <w:vAlign w:val="center"/>
                </w:tcPr>
                <w:p w14:paraId="2135ADFA">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0.139</w:t>
                  </w:r>
                </w:p>
              </w:tc>
              <w:tc>
                <w:tcPr>
                  <w:tcW w:w="741" w:type="dxa"/>
                  <w:tcBorders>
                    <w:left w:val="single" w:color="auto" w:sz="4" w:space="0"/>
                    <w:right w:val="single" w:color="auto" w:sz="4" w:space="0"/>
                  </w:tcBorders>
                  <w:vAlign w:val="center"/>
                </w:tcPr>
                <w:p w14:paraId="23602697">
                  <w:pPr>
                    <w:pStyle w:val="40"/>
                    <w:spacing w:before="3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27.8</w:t>
                  </w:r>
                </w:p>
              </w:tc>
              <w:tc>
                <w:tcPr>
                  <w:tcW w:w="458" w:type="pct"/>
                  <w:vMerge w:val="continue"/>
                  <w:tcBorders>
                    <w:left w:val="single" w:color="auto" w:sz="4" w:space="0"/>
                    <w:right w:val="single" w:color="auto" w:sz="4" w:space="0"/>
                  </w:tcBorders>
                  <w:vAlign w:val="center"/>
                </w:tcPr>
                <w:p w14:paraId="3AB52F5F">
                  <w:pPr>
                    <w:pStyle w:val="40"/>
                    <w:spacing w:before="31"/>
                    <w:rPr>
                      <w:rFonts w:ascii="Times New Roman" w:hAnsi="Times New Roman" w:cs="Times New Roman"/>
                      <w:color w:val="000000" w:themeColor="text1"/>
                      <w:highlight w:val="none"/>
                      <w14:textFill>
                        <w14:solidFill>
                          <w14:schemeClr w14:val="tx1"/>
                        </w14:solidFill>
                      </w14:textFill>
                    </w:rPr>
                  </w:pPr>
                </w:p>
              </w:tc>
            </w:tr>
          </w:tbl>
          <w:p w14:paraId="62AC3B96">
            <w:pPr>
              <w:spacing w:before="31" w:beforeLines="10" w:after="31" w:afterLines="10" w:line="360"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2）污染防治措施可行性分析</w:t>
            </w:r>
          </w:p>
          <w:p w14:paraId="0476D28C">
            <w:pPr>
              <w:spacing w:line="372"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①项目抛丸废气分别经设备自带袋式除尘器处置后通过</w:t>
            </w:r>
            <w:r>
              <w:rPr>
                <w:rFonts w:hint="eastAsia" w:ascii="Times New Roman" w:hAnsi="Times New Roman" w:eastAsia="宋体" w:cs="Times New Roman"/>
                <w:color w:val="000000" w:themeColor="text1"/>
                <w:sz w:val="24"/>
                <w:highlight w:val="none"/>
                <w14:textFill>
                  <w14:solidFill>
                    <w14:schemeClr w14:val="tx1"/>
                  </w14:solidFill>
                </w14:textFill>
              </w:rPr>
              <w:t>15</w:t>
            </w:r>
            <w:r>
              <w:rPr>
                <w:rFonts w:ascii="Times New Roman" w:hAnsi="Times New Roman" w:eastAsia="宋体" w:cs="Times New Roman"/>
                <w:color w:val="000000" w:themeColor="text1"/>
                <w:sz w:val="24"/>
                <w:highlight w:val="none"/>
                <w14:textFill>
                  <w14:solidFill>
                    <w14:schemeClr w14:val="tx1"/>
                  </w14:solidFill>
                </w14:textFill>
              </w:rPr>
              <w:t>m高排气筒DA00</w:t>
            </w:r>
            <w:r>
              <w:rPr>
                <w:rFonts w:hint="eastAsia" w:ascii="Times New Roman" w:hAnsi="Times New Roman" w:eastAsia="宋体" w:cs="Times New Roman"/>
                <w:color w:val="000000" w:themeColor="text1"/>
                <w:sz w:val="24"/>
                <w:highlight w:val="none"/>
                <w14:textFill>
                  <w14:solidFill>
                    <w14:schemeClr w14:val="tx1"/>
                  </w14:solidFill>
                </w14:textFill>
              </w:rPr>
              <w:t>1</w:t>
            </w:r>
            <w:r>
              <w:rPr>
                <w:rFonts w:ascii="Times New Roman" w:hAnsi="Times New Roman" w:eastAsia="宋体" w:cs="Times New Roman"/>
                <w:color w:val="000000" w:themeColor="text1"/>
                <w:sz w:val="24"/>
                <w:highlight w:val="none"/>
                <w14:textFill>
                  <w14:solidFill>
                    <w14:schemeClr w14:val="tx1"/>
                  </w14:solidFill>
                </w14:textFill>
              </w:rPr>
              <w:t>排放。根据《排污许可证申请与核发技术规范 铁路、船舶、航空航天和其他运输设备制造业》（HJ 1124—2020）中表A.6表面处理（涂装）排污单位废气污染防治推荐可行技术，袋式除尘是机械抛丸颗粒物处理可行技术，项目抛丸废气处理技术可行。</w:t>
            </w:r>
          </w:p>
          <w:p w14:paraId="5D77EB4C">
            <w:pPr>
              <w:spacing w:line="372"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②</w:t>
            </w:r>
            <w:r>
              <w:rPr>
                <w:rFonts w:hint="eastAsia" w:ascii="Times New Roman" w:hAnsi="Times New Roman" w:cs="宋体"/>
                <w:color w:val="000000" w:themeColor="text1"/>
                <w:sz w:val="24"/>
                <w:highlight w:val="none"/>
                <w14:textFill>
                  <w14:solidFill>
                    <w14:schemeClr w14:val="tx1"/>
                  </w14:solidFill>
                </w14:textFill>
              </w:rPr>
              <w:t>项目喷粉废气通过风机将未附着的塑粉收集至喷粉线自带的滤筒除尘器回收，处理的废气由1根15m高排气筒DA002排放。</w:t>
            </w:r>
          </w:p>
          <w:p w14:paraId="5C8AA36A">
            <w:pPr>
              <w:spacing w:line="372"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滤筒除尘技术：在系统主风机作用下，含尘气体从除尘器的进风口进入，经过气流均化装置，转而向下进入灰斗。由于流速减缓</w:t>
            </w:r>
            <w:r>
              <w:rPr>
                <w:rFonts w:hint="eastAsia" w:ascii="Times New Roman" w:hAnsi="Times New Roman" w:cs="宋体"/>
                <w:color w:val="000000" w:themeColor="text1"/>
                <w:sz w:val="24"/>
                <w:highlight w:val="none"/>
                <w14:textFill>
                  <w14:solidFill>
                    <w14:schemeClr w14:val="tx1"/>
                  </w14:solidFill>
                </w14:textFill>
              </w:rPr>
              <w:t>，加上惯性及粉尘的自重作用，使气体中大颗粒粉尘受惯性作用被分离出来，直接落入灰斗。含尘气体通过灰斗后进入除尘滤筒过滤区，气体穿过滤筒，粉尘被留在滤材外表面。净化后的气体经滤袋口进入净气室，再由出风口排出。项目使用滤筒除尘器对喷粉废气进行处理，综合处置效率可达</w:t>
            </w:r>
            <w:r>
              <w:rPr>
                <w:rFonts w:hint="eastAsia" w:ascii="Times New Roman" w:hAnsi="Times New Roman" w:cs="宋体"/>
                <w:color w:val="000000" w:themeColor="text1"/>
                <w:sz w:val="24"/>
                <w:highlight w:val="none"/>
                <w:lang w:val="en-US" w:eastAsia="zh-CN"/>
                <w14:textFill>
                  <w14:solidFill>
                    <w14:schemeClr w14:val="tx1"/>
                  </w14:solidFill>
                </w14:textFill>
              </w:rPr>
              <w:t>80</w:t>
            </w:r>
            <w:r>
              <w:rPr>
                <w:rFonts w:hint="eastAsia" w:ascii="Times New Roman" w:hAnsi="Times New Roman" w:cs="宋体"/>
                <w:color w:val="000000" w:themeColor="text1"/>
                <w:sz w:val="24"/>
                <w:highlight w:val="none"/>
                <w14:textFill>
                  <w14:solidFill>
                    <w14:schemeClr w14:val="tx1"/>
                  </w14:solidFill>
                </w14:textFill>
              </w:rPr>
              <w:t>%，处理技术可行。</w:t>
            </w:r>
          </w:p>
          <w:p w14:paraId="4DAC0D6C">
            <w:pPr>
              <w:spacing w:line="372"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③</w:t>
            </w:r>
            <w:r>
              <w:rPr>
                <w:rFonts w:hint="eastAsia" w:ascii="Times New Roman" w:hAnsi="Times New Roman" w:cs="宋体"/>
                <w:color w:val="000000" w:themeColor="text1"/>
                <w:sz w:val="24"/>
                <w:highlight w:val="none"/>
                <w14:textFill>
                  <w14:solidFill>
                    <w14:schemeClr w14:val="tx1"/>
                  </w14:solidFill>
                </w14:textFill>
              </w:rPr>
              <w:t>项目喷塑固化废气经烘道进出口集气罩收集后一并进入“干式过滤+</w:t>
            </w:r>
            <w:r>
              <w:rPr>
                <w:rFonts w:hint="eastAsia" w:ascii="Times New Roman" w:hAnsi="Times New Roman" w:cs="宋体"/>
                <w:color w:val="000000" w:themeColor="text1"/>
                <w:sz w:val="24"/>
                <w:highlight w:val="none"/>
                <w:lang w:eastAsia="zh-CN"/>
                <w14:textFill>
                  <w14:solidFill>
                    <w14:schemeClr w14:val="tx1"/>
                  </w14:solidFill>
                </w14:textFill>
              </w:rPr>
              <w:t>两级</w:t>
            </w:r>
            <w:r>
              <w:rPr>
                <w:rFonts w:hint="eastAsia" w:ascii="Times New Roman" w:hAnsi="Times New Roman" w:cs="宋体"/>
                <w:color w:val="000000" w:themeColor="text1"/>
                <w:sz w:val="24"/>
                <w:highlight w:val="none"/>
                <w14:textFill>
                  <w14:solidFill>
                    <w14:schemeClr w14:val="tx1"/>
                  </w14:solidFill>
                </w14:textFill>
              </w:rPr>
              <w:t>活性炭吸附”装置处置后由1根15m高排气筒DA003排放。</w:t>
            </w:r>
          </w:p>
          <w:p w14:paraId="5C8BC1FF">
            <w:pPr>
              <w:spacing w:line="372"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干式过滤：采用过滤棉对废气中的少量颗粒物及水分进行过滤，减少对活性炭的影响。</w:t>
            </w:r>
          </w:p>
          <w:p w14:paraId="789E44B3">
            <w:pPr>
              <w:spacing w:line="372"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活性炭吸附：活性炭是由各种如木材、泥煤、果核、椰壳等原料在高温下炭化后，再用水蒸气或化学药进行活化处理，制成的孔隙十分丰富的吸附剂，其孔径平均为（10~40）×10</w:t>
            </w:r>
            <w:r>
              <w:rPr>
                <w:rFonts w:hint="eastAsia" w:ascii="Times New Roman" w:hAnsi="Times New Roman" w:cs="宋体"/>
                <w:color w:val="000000" w:themeColor="text1"/>
                <w:sz w:val="24"/>
                <w:highlight w:val="none"/>
                <w:vertAlign w:val="superscript"/>
                <w14:textFill>
                  <w14:solidFill>
                    <w14:schemeClr w14:val="tx1"/>
                  </w14:solidFill>
                </w14:textFill>
              </w:rPr>
              <w:t>-8</w:t>
            </w:r>
            <w:r>
              <w:rPr>
                <w:rFonts w:hint="eastAsia" w:ascii="Times New Roman" w:hAnsi="Times New Roman" w:cs="宋体"/>
                <w:color w:val="000000" w:themeColor="text1"/>
                <w:sz w:val="24"/>
                <w:highlight w:val="none"/>
                <w14:textFill>
                  <w14:solidFill>
                    <w14:schemeClr w14:val="tx1"/>
                  </w14:solidFill>
                </w14:textFill>
              </w:rPr>
              <w:t>cm，比表面积一般在700~1500m</w:t>
            </w:r>
            <w:r>
              <w:rPr>
                <w:rFonts w:hint="eastAsia" w:ascii="Times New Roman" w:hAnsi="Times New Roman" w:cs="宋体"/>
                <w:color w:val="000000" w:themeColor="text1"/>
                <w:sz w:val="24"/>
                <w:highlight w:val="none"/>
                <w:vertAlign w:val="superscript"/>
                <w14:textFill>
                  <w14:solidFill>
                    <w14:schemeClr w14:val="tx1"/>
                  </w14:solidFill>
                </w14:textFill>
              </w:rPr>
              <w:t>2</w:t>
            </w:r>
            <w:r>
              <w:rPr>
                <w:rFonts w:hint="eastAsia" w:ascii="Times New Roman" w:hAnsi="Times New Roman" w:cs="宋体"/>
                <w:color w:val="000000" w:themeColor="text1"/>
                <w:sz w:val="24"/>
                <w:highlight w:val="none"/>
                <w14:textFill>
                  <w14:solidFill>
                    <w14:schemeClr w14:val="tx1"/>
                  </w14:solidFill>
                </w14:textFill>
              </w:rPr>
              <w:t>/g范围内，其高度发达的孔隙构造，为其提供了大量的表面积，能与废气充分接触，从而赋予了活性炭所特有的吸附性能。活性炭吸附有机废气是目前比较成熟的典型工艺，通过利用高性能活性炭吸附剂本身的表面作用力，将有机废气分子吸附在吸附剂表面，具有良好的吸附去除效果。有机废气用引风机引入预处理单元，达到最适合的温度等条件后通过活性炭罐（箱）吸附处理，将挥发性有机物截留到系统中，最终处理达标后的废气经风机排放。</w:t>
            </w:r>
          </w:p>
          <w:p w14:paraId="6ABE8AE6">
            <w:pPr>
              <w:spacing w:line="360" w:lineRule="auto"/>
              <w:ind w:firstLine="480" w:firstLineChars="200"/>
              <w:rPr>
                <w:rFonts w:ascii="Times New Roman" w:hAnsi="Times New Roman" w:cs="Times New Roman"/>
                <w:bCs/>
                <w:color w:val="000000" w:themeColor="text1"/>
                <w:sz w:val="24"/>
                <w:highlight w:val="none"/>
                <w14:textFill>
                  <w14:solidFill>
                    <w14:schemeClr w14:val="tx1"/>
                  </w14:solidFill>
                </w14:textFill>
              </w:rPr>
            </w:pPr>
            <w:r>
              <w:rPr>
                <w:rFonts w:ascii="Times New Roman" w:hAnsi="Times New Roman" w:cs="Times New Roman"/>
                <w:bCs/>
                <w:color w:val="000000" w:themeColor="text1"/>
                <w:sz w:val="24"/>
                <w:highlight w:val="none"/>
                <w14:textFill>
                  <w14:solidFill>
                    <w14:schemeClr w14:val="tx1"/>
                  </w14:solidFill>
                </w14:textFill>
              </w:rPr>
              <w:t>本次评价根据《2025年重庆市夏秋季“治气”攻坚工作方案》中相关要求，对废气治理措施提出以下管控要求：</w:t>
            </w:r>
          </w:p>
          <w:p w14:paraId="2AE38DC5">
            <w:pPr>
              <w:spacing w:line="360" w:lineRule="auto"/>
              <w:ind w:firstLine="480" w:firstLineChars="200"/>
              <w:rPr>
                <w:rFonts w:ascii="Times New Roman" w:hAnsi="Times New Roman" w:cs="Times New Roman"/>
                <w:bCs/>
                <w:color w:val="000000" w:themeColor="text1"/>
                <w:sz w:val="24"/>
                <w:highlight w:val="none"/>
                <w14:textFill>
                  <w14:solidFill>
                    <w14:schemeClr w14:val="tx1"/>
                  </w14:solidFill>
                </w14:textFill>
              </w:rPr>
            </w:pPr>
            <w:r>
              <w:rPr>
                <w:rFonts w:ascii="Times New Roman" w:hAnsi="Times New Roman" w:cs="Times New Roman"/>
                <w:bCs/>
                <w:color w:val="000000" w:themeColor="text1"/>
                <w:sz w:val="24"/>
                <w:highlight w:val="none"/>
                <w14:textFill>
                  <w14:solidFill>
                    <w14:schemeClr w14:val="tx1"/>
                  </w14:solidFill>
                </w14:textFill>
              </w:rPr>
              <w:fldChar w:fldCharType="begin"/>
            </w:r>
            <w:r>
              <w:rPr>
                <w:rFonts w:ascii="Times New Roman" w:hAnsi="Times New Roman" w:cs="Times New Roman"/>
                <w:bCs/>
                <w:color w:val="000000" w:themeColor="text1"/>
                <w:sz w:val="24"/>
                <w:highlight w:val="none"/>
                <w14:textFill>
                  <w14:solidFill>
                    <w14:schemeClr w14:val="tx1"/>
                  </w14:solidFill>
                </w14:textFill>
              </w:rPr>
              <w:instrText xml:space="preserve"> = 1 \* GB3 \* MERGEFORMAT </w:instrText>
            </w:r>
            <w:r>
              <w:rPr>
                <w:rFonts w:ascii="Times New Roman" w:hAnsi="Times New Roman" w:cs="Times New Roman"/>
                <w:bCs/>
                <w:color w:val="000000" w:themeColor="text1"/>
                <w:sz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①</w:t>
            </w:r>
            <w:r>
              <w:rPr>
                <w:rFonts w:ascii="Times New Roman" w:hAnsi="Times New Roman" w:cs="Times New Roman"/>
                <w:bCs/>
                <w:color w:val="000000" w:themeColor="text1"/>
                <w:sz w:val="24"/>
                <w:highlight w:val="none"/>
                <w14:textFill>
                  <w14:solidFill>
                    <w14:schemeClr w14:val="tx1"/>
                  </w14:solidFill>
                </w14:textFill>
              </w:rPr>
              <w:fldChar w:fldCharType="end"/>
            </w:r>
            <w:r>
              <w:rPr>
                <w:rFonts w:ascii="Times New Roman" w:hAnsi="Times New Roman" w:cs="Times New Roman"/>
                <w:bCs/>
                <w:color w:val="000000" w:themeColor="text1"/>
                <w:sz w:val="24"/>
                <w:highlight w:val="none"/>
                <w14:textFill>
                  <w14:solidFill>
                    <w14:schemeClr w14:val="tx1"/>
                  </w14:solidFill>
                </w14:textFill>
              </w:rPr>
              <w:t>、在活性炭吸附前段设置过滤装置，保障活性炭在低含水率和适宜温度条件下使用，将定期更换过滤材料相关内容纳入操作规程。</w:t>
            </w:r>
          </w:p>
          <w:p w14:paraId="76C28DD6">
            <w:pPr>
              <w:spacing w:line="360" w:lineRule="auto"/>
              <w:ind w:firstLine="480" w:firstLineChars="200"/>
              <w:rPr>
                <w:rFonts w:ascii="Times New Roman" w:hAnsi="Times New Roman" w:cs="Times New Roman"/>
                <w:bCs/>
                <w:color w:val="000000" w:themeColor="text1"/>
                <w:sz w:val="24"/>
                <w:highlight w:val="none"/>
                <w14:textFill>
                  <w14:solidFill>
                    <w14:schemeClr w14:val="tx1"/>
                  </w14:solidFill>
                </w14:textFill>
              </w:rPr>
            </w:pPr>
            <w:r>
              <w:rPr>
                <w:rFonts w:ascii="Times New Roman" w:hAnsi="Times New Roman" w:cs="Times New Roman"/>
                <w:bCs/>
                <w:color w:val="000000" w:themeColor="text1"/>
                <w:sz w:val="24"/>
                <w:highlight w:val="none"/>
                <w14:textFill>
                  <w14:solidFill>
                    <w14:schemeClr w14:val="tx1"/>
                  </w14:solidFill>
                </w14:textFill>
              </w:rPr>
              <w:fldChar w:fldCharType="begin"/>
            </w:r>
            <w:r>
              <w:rPr>
                <w:rFonts w:ascii="Times New Roman" w:hAnsi="Times New Roman" w:cs="Times New Roman"/>
                <w:bCs/>
                <w:color w:val="000000" w:themeColor="text1"/>
                <w:sz w:val="24"/>
                <w:highlight w:val="none"/>
                <w14:textFill>
                  <w14:solidFill>
                    <w14:schemeClr w14:val="tx1"/>
                  </w14:solidFill>
                </w14:textFill>
              </w:rPr>
              <w:instrText xml:space="preserve"> = 2 \* GB3 \* MERGEFORMAT </w:instrText>
            </w:r>
            <w:r>
              <w:rPr>
                <w:rFonts w:ascii="Times New Roman" w:hAnsi="Times New Roman" w:cs="Times New Roman"/>
                <w:bCs/>
                <w:color w:val="000000" w:themeColor="text1"/>
                <w:sz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②</w:t>
            </w:r>
            <w:r>
              <w:rPr>
                <w:rFonts w:ascii="Times New Roman" w:hAnsi="Times New Roman" w:cs="Times New Roman"/>
                <w:bCs/>
                <w:color w:val="000000" w:themeColor="text1"/>
                <w:sz w:val="24"/>
                <w:highlight w:val="none"/>
                <w14:textFill>
                  <w14:solidFill>
                    <w14:schemeClr w14:val="tx1"/>
                  </w14:solidFill>
                </w14:textFill>
              </w:rPr>
              <w:fldChar w:fldCharType="end"/>
            </w:r>
            <w:r>
              <w:rPr>
                <w:rFonts w:ascii="Times New Roman" w:hAnsi="Times New Roman" w:cs="Times New Roman"/>
                <w:bCs/>
                <w:color w:val="000000" w:themeColor="text1"/>
                <w:sz w:val="24"/>
                <w:highlight w:val="none"/>
                <w14:textFill>
                  <w14:solidFill>
                    <w14:schemeClr w14:val="tx1"/>
                  </w14:solidFill>
                </w14:textFill>
              </w:rPr>
              <w:t>、按照相关工程技术规范设计净化工艺和设备，使废气在吸附装置中有足够的停留时间。涉VOCs排放工序应在密闭空间中操作或采用全密闭集气罩收集，无法密闭采用局部集气罩的，应根据废气排放特点合理选择收集点位，按《排风罩的分类和技术条件》(GB/T16758)规定，设置能有效收集废气的集气罩，距集气罩开口面最远处的VOCs无组织排放位置，控制风速不低于0.3m/s。</w:t>
            </w:r>
          </w:p>
          <w:p w14:paraId="20C851B1">
            <w:pPr>
              <w:spacing w:line="360" w:lineRule="auto"/>
              <w:ind w:firstLine="480" w:firstLineChars="200"/>
              <w:rPr>
                <w:rFonts w:ascii="Times New Roman" w:hAnsi="Times New Roman" w:cs="Times New Roman"/>
                <w:bCs/>
                <w:color w:val="000000" w:themeColor="text1"/>
                <w:sz w:val="24"/>
                <w:highlight w:val="none"/>
                <w14:textFill>
                  <w14:solidFill>
                    <w14:schemeClr w14:val="tx1"/>
                  </w14:solidFill>
                </w14:textFill>
              </w:rPr>
            </w:pPr>
            <w:r>
              <w:rPr>
                <w:rFonts w:ascii="Times New Roman" w:hAnsi="Times New Roman" w:cs="Times New Roman"/>
                <w:bCs/>
                <w:color w:val="000000" w:themeColor="text1"/>
                <w:sz w:val="24"/>
                <w:highlight w:val="none"/>
                <w14:textFill>
                  <w14:solidFill>
                    <w14:schemeClr w14:val="tx1"/>
                  </w14:solidFill>
                </w14:textFill>
              </w:rPr>
              <w:fldChar w:fldCharType="begin"/>
            </w:r>
            <w:r>
              <w:rPr>
                <w:rFonts w:ascii="Times New Roman" w:hAnsi="Times New Roman" w:cs="Times New Roman"/>
                <w:bCs/>
                <w:color w:val="000000" w:themeColor="text1"/>
                <w:sz w:val="24"/>
                <w:highlight w:val="none"/>
                <w14:textFill>
                  <w14:solidFill>
                    <w14:schemeClr w14:val="tx1"/>
                  </w14:solidFill>
                </w14:textFill>
              </w:rPr>
              <w:instrText xml:space="preserve"> = 3 \* GB3 \* MERGEFORMAT </w:instrText>
            </w:r>
            <w:r>
              <w:rPr>
                <w:rFonts w:ascii="Times New Roman" w:hAnsi="Times New Roman" w:cs="Times New Roman"/>
                <w:bCs/>
                <w:color w:val="000000" w:themeColor="text1"/>
                <w:sz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③</w:t>
            </w:r>
            <w:r>
              <w:rPr>
                <w:rFonts w:ascii="Times New Roman" w:hAnsi="Times New Roman" w:cs="Times New Roman"/>
                <w:bCs/>
                <w:color w:val="000000" w:themeColor="text1"/>
                <w:sz w:val="24"/>
                <w:highlight w:val="none"/>
                <w14:textFill>
                  <w14:solidFill>
                    <w14:schemeClr w14:val="tx1"/>
                  </w14:solidFill>
                </w14:textFill>
              </w:rPr>
              <w:fldChar w:fldCharType="end"/>
            </w:r>
            <w:r>
              <w:rPr>
                <w:rFonts w:ascii="Times New Roman" w:hAnsi="Times New Roman" w:cs="Times New Roman"/>
                <w:bCs/>
                <w:color w:val="000000" w:themeColor="text1"/>
                <w:sz w:val="24"/>
                <w:highlight w:val="none"/>
                <w14:textFill>
                  <w14:solidFill>
                    <w14:schemeClr w14:val="tx1"/>
                  </w14:solidFill>
                </w14:textFill>
              </w:rPr>
              <w:t>、颗粒活性炭碘吸附值≥800mg/g；蜂窝活性炭碘吸附值≥650mg/g；活性炭纤维比表面积应不低于1100m</w:t>
            </w:r>
            <w:r>
              <w:rPr>
                <w:rFonts w:ascii="Times New Roman" w:hAnsi="Times New Roman" w:cs="Times New Roman"/>
                <w:bCs/>
                <w:color w:val="000000" w:themeColor="text1"/>
                <w:sz w:val="24"/>
                <w:highlight w:val="none"/>
                <w:vertAlign w:val="superscript"/>
                <w14:textFill>
                  <w14:solidFill>
                    <w14:schemeClr w14:val="tx1"/>
                  </w14:solidFill>
                </w14:textFill>
              </w:rPr>
              <w:t>2</w:t>
            </w:r>
            <w:r>
              <w:rPr>
                <w:rFonts w:ascii="Times New Roman" w:hAnsi="Times New Roman" w:cs="Times New Roman"/>
                <w:bCs/>
                <w:color w:val="000000" w:themeColor="text1"/>
                <w:sz w:val="24"/>
                <w:highlight w:val="none"/>
                <w14:textFill>
                  <w14:solidFill>
                    <w14:schemeClr w14:val="tx1"/>
                  </w14:solidFill>
                </w14:textFill>
              </w:rPr>
              <w:t>/g。</w:t>
            </w:r>
          </w:p>
          <w:p w14:paraId="3FF2AC06">
            <w:pPr>
              <w:spacing w:line="360" w:lineRule="auto"/>
              <w:ind w:firstLine="480" w:firstLineChars="200"/>
              <w:rPr>
                <w:rFonts w:ascii="Times New Roman" w:hAnsi="Times New Roman" w:cs="Times New Roman"/>
                <w:bCs/>
                <w:color w:val="000000" w:themeColor="text1"/>
                <w:sz w:val="24"/>
                <w:highlight w:val="none"/>
                <w14:textFill>
                  <w14:solidFill>
                    <w14:schemeClr w14:val="tx1"/>
                  </w14:solidFill>
                </w14:textFill>
              </w:rPr>
            </w:pPr>
            <w:r>
              <w:rPr>
                <w:rFonts w:ascii="Times New Roman" w:hAnsi="Times New Roman" w:cs="Times New Roman"/>
                <w:bCs/>
                <w:color w:val="000000" w:themeColor="text1"/>
                <w:sz w:val="24"/>
                <w:highlight w:val="none"/>
                <w14:textFill>
                  <w14:solidFill>
                    <w14:schemeClr w14:val="tx1"/>
                  </w14:solidFill>
                </w14:textFill>
              </w:rPr>
              <w:t>同时要满足《吸附法工业有机废气治理工程技术规范》（HJ2026-2013）采用蜂窝活性炭时，气体流速宜低于1.20m/s的要求。活性炭的更换频率不多于3个月一次或不应超过累计运行500小时。</w:t>
            </w:r>
          </w:p>
          <w:p w14:paraId="5BBE28E9">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综上，本项目拟采取的废气收集和处理措施有效可行。</w:t>
            </w:r>
          </w:p>
          <w:p w14:paraId="29345E78">
            <w:pPr>
              <w:spacing w:before="31" w:beforeLines="10" w:after="31" w:afterLines="10" w:line="372"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3）非正常工况</w:t>
            </w:r>
          </w:p>
          <w:p w14:paraId="5918E3AE">
            <w:pPr>
              <w:spacing w:line="372"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营运期发生非正常排放的情况主要考虑为：废气治理设施风机故障，导致治理措施完全失效。项目非正常排放源强详见下表：</w:t>
            </w:r>
          </w:p>
          <w:p w14:paraId="41DA7040">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p>
          <w:p w14:paraId="0A86EF93">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p>
          <w:p w14:paraId="73168C7D">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表4-1</w:t>
            </w:r>
            <w:r>
              <w:rPr>
                <w:rFonts w:hint="eastAsia" w:ascii="Times New Roman" w:hAnsi="Times New Roman" w:eastAsia="宋体" w:cs="Times New Roman"/>
                <w:color w:val="000000" w:themeColor="text1"/>
                <w:szCs w:val="24"/>
                <w:highlight w:val="none"/>
                <w14:textFill>
                  <w14:solidFill>
                    <w14:schemeClr w14:val="tx1"/>
                  </w14:solidFill>
                </w14:textFill>
              </w:rPr>
              <w:t>1</w:t>
            </w:r>
            <w:r>
              <w:rPr>
                <w:rFonts w:ascii="Times New Roman" w:hAnsi="Times New Roman" w:eastAsia="宋体" w:cs="Times New Roman"/>
                <w:color w:val="000000" w:themeColor="text1"/>
                <w:szCs w:val="24"/>
                <w:highlight w:val="none"/>
                <w14:textFill>
                  <w14:solidFill>
                    <w14:schemeClr w14:val="tx1"/>
                  </w14:solidFill>
                </w14:textFill>
              </w:rPr>
              <w:t xml:space="preserve">  项目非正常工况废气主要污染物排放情况表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81"/>
              <w:gridCol w:w="1113"/>
              <w:gridCol w:w="1201"/>
              <w:gridCol w:w="1583"/>
              <w:gridCol w:w="1095"/>
              <w:gridCol w:w="1095"/>
              <w:gridCol w:w="1086"/>
            </w:tblGrid>
            <w:tr w14:paraId="72B92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57" w:type="pct"/>
                  <w:tcBorders>
                    <w:tl2br w:val="nil"/>
                    <w:tr2bl w:val="nil"/>
                  </w:tcBorders>
                  <w:vAlign w:val="center"/>
                </w:tcPr>
                <w:p w14:paraId="43188D6C">
                  <w:pPr>
                    <w:spacing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非正常</w:t>
                  </w:r>
                </w:p>
                <w:p w14:paraId="1FF6455F">
                  <w:pPr>
                    <w:spacing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排放源</w:t>
                  </w:r>
                </w:p>
              </w:tc>
              <w:tc>
                <w:tcPr>
                  <w:tcW w:w="658" w:type="pct"/>
                  <w:tcBorders>
                    <w:tl2br w:val="nil"/>
                    <w:tr2bl w:val="nil"/>
                  </w:tcBorders>
                  <w:vAlign w:val="center"/>
                </w:tcPr>
                <w:p w14:paraId="45D01EE2">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污染物</w:t>
                  </w:r>
                </w:p>
              </w:tc>
              <w:tc>
                <w:tcPr>
                  <w:tcW w:w="710" w:type="pct"/>
                  <w:tcBorders>
                    <w:tl2br w:val="nil"/>
                    <w:tr2bl w:val="nil"/>
                  </w:tcBorders>
                  <w:vAlign w:val="center"/>
                </w:tcPr>
                <w:p w14:paraId="5C3DA7FB">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非正常排放原因</w:t>
                  </w:r>
                </w:p>
              </w:tc>
              <w:tc>
                <w:tcPr>
                  <w:tcW w:w="936" w:type="pct"/>
                  <w:tcBorders>
                    <w:tl2br w:val="nil"/>
                    <w:tr2bl w:val="nil"/>
                  </w:tcBorders>
                  <w:vAlign w:val="center"/>
                </w:tcPr>
                <w:p w14:paraId="446226E5">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非正常排放速率（</w:t>
                  </w:r>
                  <w:r>
                    <w:rPr>
                      <w:rFonts w:ascii="Times New Roman" w:hAnsi="Times New Roman" w:eastAsia="宋体"/>
                      <w:b/>
                      <w:bCs/>
                      <w:color w:val="000000" w:themeColor="text1"/>
                      <w:szCs w:val="21"/>
                      <w:highlight w:val="none"/>
                      <w14:textFill>
                        <w14:solidFill>
                          <w14:schemeClr w14:val="tx1"/>
                        </w14:solidFill>
                      </w14:textFill>
                    </w:rPr>
                    <w:t>kg/h</w:t>
                  </w:r>
                  <w:r>
                    <w:rPr>
                      <w:rFonts w:hint="eastAsia" w:ascii="Times New Roman" w:hAnsi="Times New Roman" w:eastAsia="宋体"/>
                      <w:b/>
                      <w:bCs/>
                      <w:color w:val="000000" w:themeColor="text1"/>
                      <w:szCs w:val="21"/>
                      <w:highlight w:val="none"/>
                      <w14:textFill>
                        <w14:solidFill>
                          <w14:schemeClr w14:val="tx1"/>
                        </w14:solidFill>
                      </w14:textFill>
                    </w:rPr>
                    <w:t>）</w:t>
                  </w:r>
                </w:p>
              </w:tc>
              <w:tc>
                <w:tcPr>
                  <w:tcW w:w="647" w:type="pct"/>
                  <w:tcBorders>
                    <w:tl2br w:val="nil"/>
                    <w:tr2bl w:val="nil"/>
                  </w:tcBorders>
                  <w:vAlign w:val="center"/>
                </w:tcPr>
                <w:p w14:paraId="047AE973">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单次持续时间</w:t>
                  </w:r>
                  <w:r>
                    <w:rPr>
                      <w:rFonts w:ascii="Times New Roman" w:hAnsi="Times New Roman" w:eastAsia="宋体"/>
                      <w:b/>
                      <w:bCs/>
                      <w:color w:val="000000" w:themeColor="text1"/>
                      <w:szCs w:val="21"/>
                      <w:highlight w:val="none"/>
                      <w14:textFill>
                        <w14:solidFill>
                          <w14:schemeClr w14:val="tx1"/>
                        </w14:solidFill>
                      </w14:textFill>
                    </w:rPr>
                    <w:t>/h</w:t>
                  </w:r>
                </w:p>
              </w:tc>
              <w:tc>
                <w:tcPr>
                  <w:tcW w:w="647" w:type="pct"/>
                  <w:tcBorders>
                    <w:tl2br w:val="nil"/>
                    <w:tr2bl w:val="nil"/>
                  </w:tcBorders>
                  <w:vAlign w:val="center"/>
                </w:tcPr>
                <w:p w14:paraId="7A5A947A">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年发生频次/年</w:t>
                  </w:r>
                </w:p>
              </w:tc>
              <w:tc>
                <w:tcPr>
                  <w:tcW w:w="641" w:type="pct"/>
                  <w:tcBorders>
                    <w:tl2br w:val="nil"/>
                    <w:tr2bl w:val="nil"/>
                  </w:tcBorders>
                  <w:vAlign w:val="center"/>
                </w:tcPr>
                <w:p w14:paraId="7FFEF2E5">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应对措施</w:t>
                  </w:r>
                </w:p>
              </w:tc>
            </w:tr>
            <w:tr w14:paraId="34C3F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6" w:hRule="atLeast"/>
                <w:jc w:val="center"/>
              </w:trPr>
              <w:tc>
                <w:tcPr>
                  <w:tcW w:w="757" w:type="pct"/>
                  <w:tcBorders>
                    <w:tl2br w:val="nil"/>
                    <w:tr2bl w:val="nil"/>
                  </w:tcBorders>
                  <w:vAlign w:val="center"/>
                </w:tcPr>
                <w:p w14:paraId="453FB96C">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抛丸废气</w:t>
                  </w:r>
                </w:p>
              </w:tc>
              <w:tc>
                <w:tcPr>
                  <w:tcW w:w="658" w:type="pct"/>
                  <w:tcBorders>
                    <w:tl2br w:val="nil"/>
                    <w:tr2bl w:val="nil"/>
                  </w:tcBorders>
                  <w:vAlign w:val="center"/>
                </w:tcPr>
                <w:p w14:paraId="38B94EB5">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w:t>
                  </w:r>
                </w:p>
              </w:tc>
              <w:tc>
                <w:tcPr>
                  <w:tcW w:w="710" w:type="pct"/>
                  <w:tcBorders>
                    <w:tl2br w:val="nil"/>
                    <w:tr2bl w:val="nil"/>
                  </w:tcBorders>
                  <w:vAlign w:val="center"/>
                </w:tcPr>
                <w:p w14:paraId="380D53DD">
                  <w:pPr>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风机故障</w:t>
                  </w:r>
                </w:p>
              </w:tc>
              <w:tc>
                <w:tcPr>
                  <w:tcW w:w="936" w:type="pct"/>
                  <w:tcBorders>
                    <w:tl2br w:val="nil"/>
                    <w:tr2bl w:val="nil"/>
                  </w:tcBorders>
                  <w:vAlign w:val="center"/>
                </w:tcPr>
                <w:p w14:paraId="72572484">
                  <w:pPr>
                    <w:pStyle w:val="40"/>
                    <w:spacing w:before="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0.68</w:t>
                  </w:r>
                </w:p>
              </w:tc>
              <w:tc>
                <w:tcPr>
                  <w:tcW w:w="647" w:type="pct"/>
                  <w:tcBorders>
                    <w:tl2br w:val="nil"/>
                    <w:tr2bl w:val="nil"/>
                  </w:tcBorders>
                  <w:vAlign w:val="center"/>
                </w:tcPr>
                <w:p w14:paraId="1420D6FD">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647" w:type="pct"/>
                  <w:tcBorders>
                    <w:tl2br w:val="nil"/>
                    <w:tr2bl w:val="nil"/>
                  </w:tcBorders>
                  <w:vAlign w:val="center"/>
                </w:tcPr>
                <w:p w14:paraId="4AE46547">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641" w:type="pct"/>
                  <w:vMerge w:val="restart"/>
                  <w:tcBorders>
                    <w:tl2br w:val="nil"/>
                    <w:tr2bl w:val="nil"/>
                  </w:tcBorders>
                  <w:vAlign w:val="center"/>
                </w:tcPr>
                <w:p w14:paraId="370E2591">
                  <w:pPr>
                    <w:jc w:val="center"/>
                    <w:rPr>
                      <w:rFonts w:ascii="Times New Roman" w:hAnsi="Times New Roman" w:eastAsia="宋体"/>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加强管理，发现后立即停止生产，及时检修维护。</w:t>
                  </w:r>
                </w:p>
              </w:tc>
            </w:tr>
            <w:tr w14:paraId="25DBA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280" w:type="dxa"/>
                  <w:vAlign w:val="center"/>
                </w:tcPr>
                <w:p w14:paraId="5DFAB74C">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喷粉废气</w:t>
                  </w:r>
                </w:p>
              </w:tc>
              <w:tc>
                <w:tcPr>
                  <w:tcW w:w="1113" w:type="dxa"/>
                  <w:vAlign w:val="center"/>
                </w:tcPr>
                <w:p w14:paraId="7656CC3A">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w:t>
                  </w:r>
                </w:p>
              </w:tc>
              <w:tc>
                <w:tcPr>
                  <w:tcW w:w="1201" w:type="dxa"/>
                </w:tcPr>
                <w:p w14:paraId="7AE5C34E">
                  <w:pPr>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风机故障</w:t>
                  </w:r>
                </w:p>
              </w:tc>
              <w:tc>
                <w:tcPr>
                  <w:tcW w:w="936" w:type="pct"/>
                  <w:vAlign w:val="center"/>
                </w:tcPr>
                <w:p w14:paraId="5B827973">
                  <w:pPr>
                    <w:pStyle w:val="40"/>
                    <w:spacing w:before="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1.44</w:t>
                  </w:r>
                </w:p>
              </w:tc>
              <w:tc>
                <w:tcPr>
                  <w:tcW w:w="647" w:type="pct"/>
                  <w:vAlign w:val="center"/>
                </w:tcPr>
                <w:p w14:paraId="377A2332">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647" w:type="pct"/>
                  <w:vAlign w:val="center"/>
                </w:tcPr>
                <w:p w14:paraId="63A4F6A6">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641" w:type="pct"/>
                  <w:vMerge w:val="continue"/>
                </w:tcPr>
                <w:p w14:paraId="4A973511">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r>
            <w:tr w14:paraId="5B69C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280" w:type="dxa"/>
                  <w:vAlign w:val="center"/>
                </w:tcPr>
                <w:p w14:paraId="76107CB8">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固化废气</w:t>
                  </w:r>
                </w:p>
              </w:tc>
              <w:tc>
                <w:tcPr>
                  <w:tcW w:w="1113" w:type="dxa"/>
                  <w:vAlign w:val="center"/>
                </w:tcPr>
                <w:p w14:paraId="718D8A97">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非甲烷总烃</w:t>
                  </w:r>
                </w:p>
              </w:tc>
              <w:tc>
                <w:tcPr>
                  <w:tcW w:w="1201" w:type="dxa"/>
                </w:tcPr>
                <w:p w14:paraId="5E0AA47C">
                  <w:pPr>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活性炭失效</w:t>
                  </w:r>
                </w:p>
              </w:tc>
              <w:tc>
                <w:tcPr>
                  <w:tcW w:w="936" w:type="pct"/>
                  <w:vAlign w:val="center"/>
                </w:tcPr>
                <w:p w14:paraId="59551CF6">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0.01</w:t>
                  </w:r>
                  <w:r>
                    <w:rPr>
                      <w:rFonts w:hint="eastAsia" w:ascii="Times New Roman" w:hAnsi="Times New Roman" w:cs="Times New Roman"/>
                      <w:color w:val="000000" w:themeColor="text1"/>
                      <w:highlight w:val="none"/>
                      <w14:textFill>
                        <w14:solidFill>
                          <w14:schemeClr w14:val="tx1"/>
                        </w14:solidFill>
                      </w14:textFill>
                    </w:rPr>
                    <w:t>8</w:t>
                  </w:r>
                </w:p>
              </w:tc>
              <w:tc>
                <w:tcPr>
                  <w:tcW w:w="1095" w:type="dxa"/>
                  <w:vAlign w:val="center"/>
                </w:tcPr>
                <w:p w14:paraId="3144E322">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1095" w:type="dxa"/>
                  <w:vAlign w:val="center"/>
                </w:tcPr>
                <w:p w14:paraId="3ACA5A0E">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1</w:t>
                  </w:r>
                </w:p>
              </w:tc>
              <w:tc>
                <w:tcPr>
                  <w:tcW w:w="641" w:type="pct"/>
                  <w:vMerge w:val="continue"/>
                </w:tcPr>
                <w:p w14:paraId="7FEDA898">
                  <w:pPr>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p>
              </w:tc>
            </w:tr>
          </w:tbl>
          <w:p w14:paraId="037B48AD">
            <w:pPr>
              <w:pStyle w:val="21"/>
              <w:spacing w:before="31" w:beforeLines="1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评价要求项目一旦发生非正常排放，必须立即停产，并对废气处理设施进行及时检修。为杜绝废气非正常排放，确保达标排放，</w:t>
            </w:r>
            <w:r>
              <w:rPr>
                <w:rFonts w:hint="eastAsia" w:ascii="Times New Roman" w:hAnsi="Times New Roman" w:cs="宋体"/>
                <w:color w:val="000000" w:themeColor="text1"/>
                <w:szCs w:val="24"/>
                <w:highlight w:val="none"/>
                <w:u w:val="single"/>
                <w14:textFill>
                  <w14:solidFill>
                    <w14:schemeClr w14:val="tx1"/>
                  </w14:solidFill>
                </w14:textFill>
              </w:rPr>
              <w:t>应采取以下措施</w:t>
            </w:r>
            <w:r>
              <w:rPr>
                <w:rFonts w:hint="eastAsia" w:ascii="Times New Roman" w:hAnsi="Times New Roman" w:cs="宋体"/>
                <w:color w:val="000000" w:themeColor="text1"/>
                <w:szCs w:val="24"/>
                <w:highlight w:val="none"/>
                <w14:textFill>
                  <w14:solidFill>
                    <w14:schemeClr w14:val="tx1"/>
                  </w14:solidFill>
                </w14:textFill>
              </w:rPr>
              <w:t>：</w:t>
            </w:r>
          </w:p>
          <w:p w14:paraId="2B9FD609">
            <w:pPr>
              <w:pStyle w:val="21"/>
              <w:spacing w:before="0" w:beforeAutospacing="0" w:after="0" w:afterAutospacing="0" w:line="372" w:lineRule="auto"/>
              <w:ind w:firstLine="482"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①</w:t>
            </w:r>
            <w:r>
              <w:rPr>
                <w:rFonts w:hint="eastAsia" w:ascii="Times New Roman" w:hAnsi="Times New Roman" w:cs="宋体"/>
                <w:color w:val="000000" w:themeColor="text1"/>
                <w:szCs w:val="24"/>
                <w:highlight w:val="none"/>
                <w14:textFill>
                  <w14:solidFill>
                    <w14:schemeClr w14:val="tx1"/>
                  </w14:solidFill>
                </w14:textFill>
              </w:rPr>
              <w:t xml:space="preserve"> 安排专人负责环保设备日常维护和管理，固定时间检查、汇报情况，及时发现废气处理设备的隐患，确保废气处理系统正常运行；</w:t>
            </w:r>
          </w:p>
          <w:p w14:paraId="2DE2F229">
            <w:pPr>
              <w:pStyle w:val="21"/>
              <w:spacing w:before="0" w:beforeAutospacing="0" w:after="0" w:afterAutospacing="0" w:line="372" w:lineRule="auto"/>
              <w:ind w:firstLine="482"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②</w:t>
            </w:r>
            <w:r>
              <w:rPr>
                <w:rFonts w:hint="eastAsia" w:ascii="Times New Roman" w:hAnsi="Times New Roman" w:cs="宋体"/>
                <w:color w:val="000000" w:themeColor="text1"/>
                <w:szCs w:val="24"/>
                <w:highlight w:val="none"/>
                <w14:textFill>
                  <w14:solidFill>
                    <w14:schemeClr w14:val="tx1"/>
                  </w14:solidFill>
                </w14:textFill>
              </w:rPr>
              <w:t xml:space="preserve"> 建立健全的环保管理机构，对环保管理和技术人员进行岗位培训，委托具有专业资质环境检测单位对项目排放各类污染物进行定期检测。</w:t>
            </w:r>
          </w:p>
          <w:p w14:paraId="7670CF08">
            <w:pPr>
              <w:spacing w:before="31" w:beforeLines="10" w:after="31" w:afterLines="10" w:line="360"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4）废气排放环境影响分析</w:t>
            </w:r>
          </w:p>
          <w:p w14:paraId="60C35253">
            <w:pPr>
              <w:spacing w:line="372"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hint="eastAsia" w:ascii="Times New Roman" w:hAnsi="Times New Roman" w:cs="宋体"/>
                <w:color w:val="000000" w:themeColor="text1"/>
                <w:sz w:val="24"/>
                <w:highlight w:val="none"/>
                <w14:textFill>
                  <w14:solidFill>
                    <w14:schemeClr w14:val="tx1"/>
                  </w14:solidFill>
                </w14:textFill>
              </w:rPr>
              <w:t>本项目运营期大气排放达标情况见表4-12。</w:t>
            </w:r>
          </w:p>
          <w:p w14:paraId="403A3410">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表4-1</w:t>
            </w:r>
            <w:r>
              <w:rPr>
                <w:rFonts w:hint="eastAsia" w:ascii="Times New Roman" w:hAnsi="Times New Roman" w:eastAsia="宋体" w:cs="Times New Roman"/>
                <w:color w:val="000000" w:themeColor="text1"/>
                <w:szCs w:val="24"/>
                <w:highlight w:val="none"/>
                <w14:textFill>
                  <w14:solidFill>
                    <w14:schemeClr w14:val="tx1"/>
                  </w14:solidFill>
                </w14:textFill>
              </w:rPr>
              <w:t>2</w:t>
            </w:r>
            <w:r>
              <w:rPr>
                <w:rFonts w:ascii="Times New Roman" w:hAnsi="Times New Roman" w:eastAsia="宋体" w:cs="Times New Roman"/>
                <w:color w:val="000000" w:themeColor="text1"/>
                <w:szCs w:val="24"/>
                <w:highlight w:val="none"/>
                <w14:textFill>
                  <w14:solidFill>
                    <w14:schemeClr w14:val="tx1"/>
                  </w14:solidFill>
                </w14:textFill>
              </w:rPr>
              <w:t xml:space="preserve">  运营期废气污染物达标排放情况分析表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76"/>
              <w:gridCol w:w="1206"/>
              <w:gridCol w:w="1024"/>
              <w:gridCol w:w="1037"/>
              <w:gridCol w:w="1206"/>
              <w:gridCol w:w="1122"/>
              <w:gridCol w:w="1202"/>
              <w:gridCol w:w="779"/>
            </w:tblGrid>
            <w:tr w14:paraId="440DD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restart"/>
                  <w:tcBorders>
                    <w:tl2br w:val="nil"/>
                    <w:tr2bl w:val="nil"/>
                  </w:tcBorders>
                  <w:vAlign w:val="center"/>
                </w:tcPr>
                <w:p w14:paraId="13EC1199">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污染源</w:t>
                  </w:r>
                </w:p>
              </w:tc>
              <w:tc>
                <w:tcPr>
                  <w:tcW w:w="713" w:type="pct"/>
                  <w:vMerge w:val="restart"/>
                  <w:tcBorders>
                    <w:tl2br w:val="nil"/>
                    <w:tr2bl w:val="nil"/>
                  </w:tcBorders>
                  <w:vAlign w:val="center"/>
                </w:tcPr>
                <w:p w14:paraId="626BCE81">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污染物</w:t>
                  </w:r>
                </w:p>
              </w:tc>
              <w:tc>
                <w:tcPr>
                  <w:tcW w:w="605" w:type="pct"/>
                  <w:vMerge w:val="restart"/>
                  <w:tcBorders>
                    <w:tl2br w:val="nil"/>
                    <w:tr2bl w:val="nil"/>
                  </w:tcBorders>
                  <w:vAlign w:val="center"/>
                </w:tcPr>
                <w:p w14:paraId="5CDE2658">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治理措施</w:t>
                  </w:r>
                </w:p>
              </w:tc>
              <w:tc>
                <w:tcPr>
                  <w:tcW w:w="1326" w:type="pct"/>
                  <w:gridSpan w:val="2"/>
                  <w:tcBorders>
                    <w:tl2br w:val="nil"/>
                    <w:tr2bl w:val="nil"/>
                  </w:tcBorders>
                  <w:vAlign w:val="center"/>
                </w:tcPr>
                <w:p w14:paraId="5171E4FF">
                  <w:pPr>
                    <w:pStyle w:val="21"/>
                    <w:spacing w:before="62" w:beforeLines="20" w:beforeAutospacing="0" w:after="62" w:afterLines="20"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排放情况</w:t>
                  </w:r>
                </w:p>
              </w:tc>
              <w:tc>
                <w:tcPr>
                  <w:tcW w:w="1375" w:type="pct"/>
                  <w:gridSpan w:val="2"/>
                  <w:tcBorders>
                    <w:tl2br w:val="nil"/>
                    <w:tr2bl w:val="nil"/>
                  </w:tcBorders>
                  <w:vAlign w:val="center"/>
                </w:tcPr>
                <w:p w14:paraId="196ADB1D">
                  <w:pPr>
                    <w:pStyle w:val="21"/>
                    <w:spacing w:before="62" w:beforeLines="20" w:beforeAutospacing="0" w:after="62" w:afterLines="20"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排放标准</w:t>
                  </w:r>
                </w:p>
              </w:tc>
              <w:tc>
                <w:tcPr>
                  <w:tcW w:w="461" w:type="pct"/>
                  <w:vMerge w:val="restart"/>
                  <w:tcBorders>
                    <w:tl2br w:val="nil"/>
                    <w:tr2bl w:val="nil"/>
                  </w:tcBorders>
                  <w:vAlign w:val="center"/>
                </w:tcPr>
                <w:p w14:paraId="33649E29">
                  <w:pPr>
                    <w:pStyle w:val="21"/>
                    <w:spacing w:before="0" w:beforeAutospacing="0" w:after="0" w:afterAutospacing="0" w:line="300" w:lineRule="auto"/>
                    <w:jc w:val="center"/>
                    <w:rPr>
                      <w:rFonts w:ascii="Times New Roman" w:hAnsi="Times New Roman" w:eastAsia="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达标</w:t>
                  </w:r>
                </w:p>
                <w:p w14:paraId="36144E55">
                  <w:pPr>
                    <w:pStyle w:val="21"/>
                    <w:spacing w:before="0" w:beforeAutospacing="0" w:after="0"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分析</w:t>
                  </w:r>
                </w:p>
              </w:tc>
            </w:tr>
            <w:tr w14:paraId="51461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continue"/>
                  <w:tcBorders>
                    <w:tl2br w:val="nil"/>
                    <w:tr2bl w:val="nil"/>
                  </w:tcBorders>
                  <w:vAlign w:val="center"/>
                </w:tcPr>
                <w:p w14:paraId="623CC32C">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c>
                <w:tcPr>
                  <w:tcW w:w="713" w:type="pct"/>
                  <w:vMerge w:val="continue"/>
                  <w:tcBorders>
                    <w:tl2br w:val="nil"/>
                    <w:tr2bl w:val="nil"/>
                  </w:tcBorders>
                  <w:vAlign w:val="center"/>
                </w:tcPr>
                <w:p w14:paraId="501866A5">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c>
                <w:tcPr>
                  <w:tcW w:w="605" w:type="pct"/>
                  <w:vMerge w:val="continue"/>
                  <w:tcBorders>
                    <w:tl2br w:val="nil"/>
                    <w:tr2bl w:val="nil"/>
                  </w:tcBorders>
                  <w:vAlign w:val="center"/>
                </w:tcPr>
                <w:p w14:paraId="5326A4DA">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c>
                <w:tcPr>
                  <w:tcW w:w="613" w:type="pct"/>
                  <w:tcBorders>
                    <w:tl2br w:val="nil"/>
                    <w:tr2bl w:val="nil"/>
                  </w:tcBorders>
                  <w:vAlign w:val="center"/>
                </w:tcPr>
                <w:p w14:paraId="0C8F2207">
                  <w:pPr>
                    <w:pStyle w:val="21"/>
                    <w:spacing w:before="62" w:beforeLines="20" w:beforeAutospacing="0" w:after="62" w:afterLines="20"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速率kg/h</w:t>
                  </w:r>
                </w:p>
              </w:tc>
              <w:tc>
                <w:tcPr>
                  <w:tcW w:w="712" w:type="pct"/>
                  <w:tcBorders>
                    <w:tl2br w:val="nil"/>
                    <w:tr2bl w:val="nil"/>
                  </w:tcBorders>
                  <w:vAlign w:val="center"/>
                </w:tcPr>
                <w:p w14:paraId="6A19306C">
                  <w:pPr>
                    <w:pStyle w:val="21"/>
                    <w:spacing w:before="62" w:beforeLines="20" w:beforeAutospacing="0" w:after="62" w:afterLines="20"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浓度mg/m</w:t>
                  </w:r>
                  <w:r>
                    <w:rPr>
                      <w:rFonts w:hint="eastAsia" w:ascii="Times New Roman" w:hAnsi="Times New Roman" w:eastAsia="宋体"/>
                      <w:b/>
                      <w:bCs/>
                      <w:color w:val="000000" w:themeColor="text1"/>
                      <w:sz w:val="21"/>
                      <w:szCs w:val="21"/>
                      <w:highlight w:val="none"/>
                      <w:vertAlign w:val="superscript"/>
                      <w14:textFill>
                        <w14:solidFill>
                          <w14:schemeClr w14:val="tx1"/>
                        </w14:solidFill>
                      </w14:textFill>
                    </w:rPr>
                    <w:t>3</w:t>
                  </w:r>
                </w:p>
              </w:tc>
              <w:tc>
                <w:tcPr>
                  <w:tcW w:w="664" w:type="pct"/>
                  <w:tcBorders>
                    <w:tl2br w:val="nil"/>
                    <w:tr2bl w:val="nil"/>
                  </w:tcBorders>
                  <w:vAlign w:val="center"/>
                </w:tcPr>
                <w:p w14:paraId="63637CD1">
                  <w:pPr>
                    <w:pStyle w:val="21"/>
                    <w:spacing w:before="62" w:beforeLines="20" w:beforeAutospacing="0" w:after="62" w:afterLines="20"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速率kg/h</w:t>
                  </w:r>
                </w:p>
              </w:tc>
              <w:tc>
                <w:tcPr>
                  <w:tcW w:w="710" w:type="pct"/>
                  <w:tcBorders>
                    <w:tl2br w:val="nil"/>
                    <w:tr2bl w:val="nil"/>
                  </w:tcBorders>
                  <w:vAlign w:val="center"/>
                </w:tcPr>
                <w:p w14:paraId="7AB8591B">
                  <w:pPr>
                    <w:pStyle w:val="21"/>
                    <w:spacing w:before="62" w:beforeLines="20" w:beforeAutospacing="0" w:after="62" w:afterLines="20"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浓度mg/m</w:t>
                  </w:r>
                  <w:r>
                    <w:rPr>
                      <w:rFonts w:hint="eastAsia" w:ascii="Times New Roman" w:hAnsi="Times New Roman" w:eastAsia="宋体"/>
                      <w:b/>
                      <w:bCs/>
                      <w:color w:val="000000" w:themeColor="text1"/>
                      <w:sz w:val="21"/>
                      <w:szCs w:val="21"/>
                      <w:highlight w:val="none"/>
                      <w:vertAlign w:val="superscript"/>
                      <w14:textFill>
                        <w14:solidFill>
                          <w14:schemeClr w14:val="tx1"/>
                        </w14:solidFill>
                      </w14:textFill>
                    </w:rPr>
                    <w:t>3</w:t>
                  </w:r>
                </w:p>
              </w:tc>
              <w:tc>
                <w:tcPr>
                  <w:tcW w:w="461" w:type="pct"/>
                  <w:vMerge w:val="continue"/>
                  <w:tcBorders>
                    <w:tl2br w:val="nil"/>
                    <w:tr2bl w:val="nil"/>
                  </w:tcBorders>
                  <w:vAlign w:val="center"/>
                </w:tcPr>
                <w:p w14:paraId="0D3F5254">
                  <w:pPr>
                    <w:pStyle w:val="21"/>
                    <w:spacing w:before="78" w:beforeLines="25" w:beforeAutospacing="0" w:after="78" w:afterLines="25" w:afterAutospacing="0" w:line="300" w:lineRule="auto"/>
                    <w:jc w:val="center"/>
                    <w:rPr>
                      <w:rFonts w:ascii="Times New Roman" w:hAnsi="Times New Roman" w:eastAsia="宋体" w:cs="宋体"/>
                      <w:b/>
                      <w:bCs/>
                      <w:color w:val="000000" w:themeColor="text1"/>
                      <w:sz w:val="21"/>
                      <w:szCs w:val="21"/>
                      <w:highlight w:val="none"/>
                      <w14:textFill>
                        <w14:solidFill>
                          <w14:schemeClr w14:val="tx1"/>
                        </w14:solidFill>
                      </w14:textFill>
                    </w:rPr>
                  </w:pPr>
                </w:p>
              </w:tc>
            </w:tr>
            <w:tr w14:paraId="5AA9F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5" w:hRule="atLeast"/>
                <w:jc w:val="center"/>
              </w:trPr>
              <w:tc>
                <w:tcPr>
                  <w:tcW w:w="518" w:type="pct"/>
                  <w:tcBorders>
                    <w:tl2br w:val="nil"/>
                    <w:tr2bl w:val="nil"/>
                  </w:tcBorders>
                  <w:vAlign w:val="center"/>
                </w:tcPr>
                <w:p w14:paraId="098DBC89">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DA001</w:t>
                  </w:r>
                </w:p>
              </w:tc>
              <w:tc>
                <w:tcPr>
                  <w:tcW w:w="713" w:type="pct"/>
                  <w:tcBorders>
                    <w:tl2br w:val="nil"/>
                    <w:tr2bl w:val="nil"/>
                  </w:tcBorders>
                  <w:vAlign w:val="center"/>
                </w:tcPr>
                <w:p w14:paraId="1D867ACF">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颗粒物</w:t>
                  </w:r>
                </w:p>
              </w:tc>
              <w:tc>
                <w:tcPr>
                  <w:tcW w:w="605" w:type="pct"/>
                  <w:tcBorders>
                    <w:tl2br w:val="nil"/>
                    <w:tr2bl w:val="nil"/>
                  </w:tcBorders>
                  <w:vAlign w:val="center"/>
                </w:tcPr>
                <w:p w14:paraId="4B222307">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布袋除尘</w:t>
                  </w:r>
                </w:p>
              </w:tc>
              <w:tc>
                <w:tcPr>
                  <w:tcW w:w="613" w:type="pct"/>
                  <w:tcBorders>
                    <w:tl2br w:val="nil"/>
                    <w:tr2bl w:val="nil"/>
                  </w:tcBorders>
                  <w:vAlign w:val="center"/>
                </w:tcPr>
                <w:p w14:paraId="77A6967C">
                  <w:pPr>
                    <w:pStyle w:val="40"/>
                    <w:spacing w:before="31"/>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0.04</w:t>
                  </w:r>
                </w:p>
              </w:tc>
              <w:tc>
                <w:tcPr>
                  <w:tcW w:w="712" w:type="pct"/>
                  <w:tcBorders>
                    <w:tl2br w:val="nil"/>
                    <w:tr2bl w:val="nil"/>
                  </w:tcBorders>
                  <w:vAlign w:val="center"/>
                </w:tcPr>
                <w:p w14:paraId="4CE8162C">
                  <w:pPr>
                    <w:pStyle w:val="40"/>
                    <w:spacing w:before="31"/>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8</w:t>
                  </w:r>
                </w:p>
              </w:tc>
              <w:tc>
                <w:tcPr>
                  <w:tcW w:w="664" w:type="pct"/>
                  <w:tcBorders>
                    <w:tl2br w:val="nil"/>
                    <w:tr2bl w:val="nil"/>
                  </w:tcBorders>
                  <w:vAlign w:val="center"/>
                </w:tcPr>
                <w:p w14:paraId="7EA76B06">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0.8</w:t>
                  </w:r>
                </w:p>
              </w:tc>
              <w:tc>
                <w:tcPr>
                  <w:tcW w:w="710" w:type="pct"/>
                  <w:tcBorders>
                    <w:tl2br w:val="nil"/>
                    <w:tr2bl w:val="nil"/>
                  </w:tcBorders>
                  <w:vAlign w:val="center"/>
                </w:tcPr>
                <w:p w14:paraId="77C1CB99">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50</w:t>
                  </w:r>
                </w:p>
              </w:tc>
              <w:tc>
                <w:tcPr>
                  <w:tcW w:w="461" w:type="pct"/>
                  <w:tcBorders>
                    <w:tl2br w:val="nil"/>
                    <w:tr2bl w:val="nil"/>
                  </w:tcBorders>
                  <w:vAlign w:val="center"/>
                </w:tcPr>
                <w:p w14:paraId="60ACA7B0">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r w14:paraId="60E82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tcBorders>
                    <w:tl2br w:val="nil"/>
                    <w:tr2bl w:val="nil"/>
                  </w:tcBorders>
                  <w:vAlign w:val="center"/>
                </w:tcPr>
                <w:p w14:paraId="453E5AFF">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DA002</w:t>
                  </w:r>
                </w:p>
              </w:tc>
              <w:tc>
                <w:tcPr>
                  <w:tcW w:w="713" w:type="pct"/>
                  <w:tcBorders>
                    <w:tl2br w:val="nil"/>
                    <w:tr2bl w:val="nil"/>
                  </w:tcBorders>
                  <w:vAlign w:val="center"/>
                </w:tcPr>
                <w:p w14:paraId="0435BFA2">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颗粒物</w:t>
                  </w:r>
                </w:p>
              </w:tc>
              <w:tc>
                <w:tcPr>
                  <w:tcW w:w="605" w:type="pct"/>
                  <w:tcBorders>
                    <w:tl2br w:val="nil"/>
                    <w:tr2bl w:val="nil"/>
                  </w:tcBorders>
                  <w:vAlign w:val="center"/>
                </w:tcPr>
                <w:p w14:paraId="1D0558E9">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滤筒除尘</w:t>
                  </w:r>
                </w:p>
              </w:tc>
              <w:tc>
                <w:tcPr>
                  <w:tcW w:w="613" w:type="pct"/>
                  <w:tcBorders>
                    <w:tl2br w:val="nil"/>
                    <w:tr2bl w:val="nil"/>
                  </w:tcBorders>
                  <w:vAlign w:val="center"/>
                </w:tcPr>
                <w:p w14:paraId="713098D1">
                  <w:pPr>
                    <w:pStyle w:val="40"/>
                    <w:spacing w:before="31"/>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0.259</w:t>
                  </w:r>
                </w:p>
              </w:tc>
              <w:tc>
                <w:tcPr>
                  <w:tcW w:w="712" w:type="pct"/>
                  <w:tcBorders>
                    <w:tl2br w:val="nil"/>
                    <w:tr2bl w:val="nil"/>
                  </w:tcBorders>
                  <w:vAlign w:val="center"/>
                </w:tcPr>
                <w:p w14:paraId="70637046">
                  <w:pPr>
                    <w:pStyle w:val="40"/>
                    <w:spacing w:before="31"/>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32.38</w:t>
                  </w:r>
                </w:p>
              </w:tc>
              <w:tc>
                <w:tcPr>
                  <w:tcW w:w="664" w:type="pct"/>
                  <w:tcBorders>
                    <w:tl2br w:val="nil"/>
                    <w:tr2bl w:val="nil"/>
                  </w:tcBorders>
                  <w:vAlign w:val="center"/>
                </w:tcPr>
                <w:p w14:paraId="31D7326E">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0.8</w:t>
                  </w:r>
                </w:p>
              </w:tc>
              <w:tc>
                <w:tcPr>
                  <w:tcW w:w="710" w:type="pct"/>
                  <w:tcBorders>
                    <w:tl2br w:val="nil"/>
                    <w:tr2bl w:val="nil"/>
                  </w:tcBorders>
                  <w:vAlign w:val="center"/>
                </w:tcPr>
                <w:p w14:paraId="27B66953">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50</w:t>
                  </w:r>
                </w:p>
              </w:tc>
              <w:tc>
                <w:tcPr>
                  <w:tcW w:w="461" w:type="pct"/>
                  <w:tcBorders>
                    <w:tl2br w:val="nil"/>
                    <w:tr2bl w:val="nil"/>
                  </w:tcBorders>
                  <w:vAlign w:val="center"/>
                </w:tcPr>
                <w:p w14:paraId="1BF353F2">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r w14:paraId="173E6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restart"/>
                  <w:tcBorders>
                    <w:tl2br w:val="nil"/>
                    <w:tr2bl w:val="nil"/>
                  </w:tcBorders>
                  <w:vAlign w:val="center"/>
                </w:tcPr>
                <w:p w14:paraId="451EE5C6">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DA003</w:t>
                  </w:r>
                </w:p>
              </w:tc>
              <w:tc>
                <w:tcPr>
                  <w:tcW w:w="713" w:type="pct"/>
                  <w:tcBorders>
                    <w:tl2br w:val="nil"/>
                    <w:tr2bl w:val="nil"/>
                  </w:tcBorders>
                  <w:vAlign w:val="center"/>
                </w:tcPr>
                <w:p w14:paraId="4D61BD5D">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非甲烷总烃</w:t>
                  </w:r>
                </w:p>
              </w:tc>
              <w:tc>
                <w:tcPr>
                  <w:tcW w:w="605" w:type="pct"/>
                  <w:vMerge w:val="restart"/>
                  <w:tcBorders>
                    <w:tl2br w:val="nil"/>
                    <w:tr2bl w:val="nil"/>
                  </w:tcBorders>
                  <w:vAlign w:val="center"/>
                </w:tcPr>
                <w:p w14:paraId="39AA69DC">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“干式过滤+</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两级</w:t>
                  </w:r>
                  <w:r>
                    <w:rPr>
                      <w:rFonts w:hint="eastAsia" w:ascii="Times New Roman" w:hAnsi="Times New Roman" w:eastAsia="宋体" w:cs="宋体"/>
                      <w:color w:val="000000" w:themeColor="text1"/>
                      <w:sz w:val="21"/>
                      <w:szCs w:val="21"/>
                      <w:highlight w:val="none"/>
                      <w14:textFill>
                        <w14:solidFill>
                          <w14:schemeClr w14:val="tx1"/>
                        </w14:solidFill>
                      </w14:textFill>
                    </w:rPr>
                    <w:t>活性炭”</w:t>
                  </w:r>
                </w:p>
              </w:tc>
              <w:tc>
                <w:tcPr>
                  <w:tcW w:w="1037" w:type="dxa"/>
                  <w:tcBorders>
                    <w:tl2br w:val="nil"/>
                    <w:tr2bl w:val="nil"/>
                  </w:tcBorders>
                  <w:vAlign w:val="center"/>
                </w:tcPr>
                <w:p w14:paraId="59ABE4ED">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0.01</w:t>
                  </w:r>
                  <w:r>
                    <w:rPr>
                      <w:rFonts w:hint="eastAsia" w:ascii="Times New Roman" w:hAnsi="Times New Roman" w:cs="Times New Roman"/>
                      <w:color w:val="000000" w:themeColor="text1"/>
                      <w:highlight w:val="none"/>
                      <w:lang w:val="en-US" w:eastAsia="zh-CN"/>
                      <w14:textFill>
                        <w14:solidFill>
                          <w14:schemeClr w14:val="tx1"/>
                        </w14:solidFill>
                      </w14:textFill>
                    </w:rPr>
                    <w:t>2</w:t>
                  </w:r>
                </w:p>
              </w:tc>
              <w:tc>
                <w:tcPr>
                  <w:tcW w:w="1206" w:type="dxa"/>
                  <w:tcBorders>
                    <w:tl2br w:val="nil"/>
                    <w:tr2bl w:val="nil"/>
                  </w:tcBorders>
                  <w:vAlign w:val="center"/>
                </w:tcPr>
                <w:p w14:paraId="327A474B">
                  <w:pPr>
                    <w:pStyle w:val="40"/>
                    <w:spacing w:before="31"/>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2.4</w:t>
                  </w:r>
                </w:p>
              </w:tc>
              <w:tc>
                <w:tcPr>
                  <w:tcW w:w="664" w:type="pct"/>
                  <w:tcBorders>
                    <w:tl2br w:val="nil"/>
                    <w:tr2bl w:val="nil"/>
                  </w:tcBorders>
                  <w:vAlign w:val="center"/>
                </w:tcPr>
                <w:p w14:paraId="180DD101">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3.1</w:t>
                  </w:r>
                </w:p>
              </w:tc>
              <w:tc>
                <w:tcPr>
                  <w:tcW w:w="710" w:type="pct"/>
                  <w:tcBorders>
                    <w:tl2br w:val="nil"/>
                    <w:tr2bl w:val="nil"/>
                  </w:tcBorders>
                  <w:vAlign w:val="center"/>
                </w:tcPr>
                <w:p w14:paraId="6517D526">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50</w:t>
                  </w:r>
                </w:p>
              </w:tc>
              <w:tc>
                <w:tcPr>
                  <w:tcW w:w="461" w:type="pct"/>
                  <w:tcBorders>
                    <w:tl2br w:val="nil"/>
                    <w:tr2bl w:val="nil"/>
                  </w:tcBorders>
                  <w:vAlign w:val="center"/>
                </w:tcPr>
                <w:p w14:paraId="5E58FF13">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r w14:paraId="180C8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continue"/>
                  <w:tcBorders>
                    <w:tl2br w:val="nil"/>
                    <w:tr2bl w:val="nil"/>
                  </w:tcBorders>
                  <w:vAlign w:val="center"/>
                </w:tcPr>
                <w:p w14:paraId="5020EC87">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713" w:type="pct"/>
                  <w:tcBorders>
                    <w:tl2br w:val="nil"/>
                    <w:tr2bl w:val="nil"/>
                  </w:tcBorders>
                  <w:vAlign w:val="center"/>
                </w:tcPr>
                <w:p w14:paraId="1A1ED4B5">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颗粒物</w:t>
                  </w:r>
                </w:p>
              </w:tc>
              <w:tc>
                <w:tcPr>
                  <w:tcW w:w="605" w:type="pct"/>
                  <w:vMerge w:val="continue"/>
                  <w:tcBorders>
                    <w:tl2br w:val="nil"/>
                    <w:tr2bl w:val="nil"/>
                  </w:tcBorders>
                  <w:vAlign w:val="center"/>
                </w:tcPr>
                <w:p w14:paraId="2BD2D92E">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1037" w:type="dxa"/>
                  <w:tcBorders>
                    <w:tl2br w:val="nil"/>
                    <w:tr2bl w:val="nil"/>
                  </w:tcBorders>
                  <w:vAlign w:val="center"/>
                </w:tcPr>
                <w:p w14:paraId="52E280BE">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0.014</w:t>
                  </w:r>
                </w:p>
              </w:tc>
              <w:tc>
                <w:tcPr>
                  <w:tcW w:w="1206" w:type="dxa"/>
                  <w:tcBorders>
                    <w:tl2br w:val="nil"/>
                    <w:tr2bl w:val="nil"/>
                  </w:tcBorders>
                  <w:vAlign w:val="center"/>
                </w:tcPr>
                <w:p w14:paraId="5671DA5B">
                  <w:pPr>
                    <w:pStyle w:val="40"/>
                    <w:spacing w:before="31"/>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2.8</w:t>
                  </w:r>
                </w:p>
              </w:tc>
              <w:tc>
                <w:tcPr>
                  <w:tcW w:w="664" w:type="pct"/>
                  <w:tcBorders>
                    <w:tl2br w:val="nil"/>
                    <w:tr2bl w:val="nil"/>
                  </w:tcBorders>
                  <w:vAlign w:val="center"/>
                </w:tcPr>
                <w:p w14:paraId="68D2AD06">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0.8</w:t>
                  </w:r>
                </w:p>
              </w:tc>
              <w:tc>
                <w:tcPr>
                  <w:tcW w:w="710" w:type="pct"/>
                  <w:tcBorders>
                    <w:tl2br w:val="nil"/>
                    <w:tr2bl w:val="nil"/>
                  </w:tcBorders>
                  <w:vAlign w:val="center"/>
                </w:tcPr>
                <w:p w14:paraId="7544A275">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50</w:t>
                  </w:r>
                </w:p>
              </w:tc>
              <w:tc>
                <w:tcPr>
                  <w:tcW w:w="461" w:type="pct"/>
                  <w:tcBorders>
                    <w:tl2br w:val="nil"/>
                    <w:tr2bl w:val="nil"/>
                  </w:tcBorders>
                  <w:vAlign w:val="center"/>
                </w:tcPr>
                <w:p w14:paraId="65195631">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r w14:paraId="5F502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continue"/>
                  <w:tcBorders>
                    <w:tl2br w:val="nil"/>
                    <w:tr2bl w:val="nil"/>
                  </w:tcBorders>
                  <w:vAlign w:val="center"/>
                </w:tcPr>
                <w:p w14:paraId="32BE9A3F">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713" w:type="pct"/>
                  <w:tcBorders>
                    <w:tl2br w:val="nil"/>
                    <w:tr2bl w:val="nil"/>
                  </w:tcBorders>
                  <w:vAlign w:val="center"/>
                </w:tcPr>
                <w:p w14:paraId="55303F46">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二氧化硫</w:t>
                  </w:r>
                </w:p>
              </w:tc>
              <w:tc>
                <w:tcPr>
                  <w:tcW w:w="605" w:type="pct"/>
                  <w:vMerge w:val="continue"/>
                  <w:tcBorders>
                    <w:tl2br w:val="nil"/>
                    <w:tr2bl w:val="nil"/>
                  </w:tcBorders>
                  <w:vAlign w:val="center"/>
                </w:tcPr>
                <w:p w14:paraId="36F838D9">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1037" w:type="dxa"/>
                  <w:tcBorders>
                    <w:tl2br w:val="nil"/>
                    <w:tr2bl w:val="nil"/>
                  </w:tcBorders>
                  <w:vAlign w:val="center"/>
                </w:tcPr>
                <w:p w14:paraId="6BA99D31">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0.046</w:t>
                  </w:r>
                </w:p>
              </w:tc>
              <w:tc>
                <w:tcPr>
                  <w:tcW w:w="1206" w:type="dxa"/>
                  <w:tcBorders>
                    <w:tl2br w:val="nil"/>
                    <w:tr2bl w:val="nil"/>
                  </w:tcBorders>
                  <w:vAlign w:val="center"/>
                </w:tcPr>
                <w:p w14:paraId="65006220">
                  <w:pPr>
                    <w:pStyle w:val="40"/>
                    <w:spacing w:before="31"/>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9.2</w:t>
                  </w:r>
                </w:p>
              </w:tc>
              <w:tc>
                <w:tcPr>
                  <w:tcW w:w="664" w:type="pct"/>
                  <w:tcBorders>
                    <w:tl2br w:val="nil"/>
                    <w:tr2bl w:val="nil"/>
                  </w:tcBorders>
                  <w:vAlign w:val="center"/>
                </w:tcPr>
                <w:p w14:paraId="5AC1533E">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0.7</w:t>
                  </w:r>
                </w:p>
              </w:tc>
              <w:tc>
                <w:tcPr>
                  <w:tcW w:w="710" w:type="pct"/>
                  <w:tcBorders>
                    <w:tl2br w:val="nil"/>
                    <w:tr2bl w:val="nil"/>
                  </w:tcBorders>
                  <w:vAlign w:val="center"/>
                </w:tcPr>
                <w:p w14:paraId="45A367C3">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200</w:t>
                  </w:r>
                </w:p>
              </w:tc>
              <w:tc>
                <w:tcPr>
                  <w:tcW w:w="461" w:type="pct"/>
                  <w:tcBorders>
                    <w:tl2br w:val="nil"/>
                    <w:tr2bl w:val="nil"/>
                  </w:tcBorders>
                  <w:vAlign w:val="center"/>
                </w:tcPr>
                <w:p w14:paraId="28D06F72">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r w14:paraId="6AA6F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18" w:type="pct"/>
                  <w:vMerge w:val="continue"/>
                  <w:tcBorders>
                    <w:tl2br w:val="nil"/>
                    <w:tr2bl w:val="nil"/>
                  </w:tcBorders>
                  <w:vAlign w:val="center"/>
                </w:tcPr>
                <w:p w14:paraId="20E01944">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713" w:type="pct"/>
                  <w:tcBorders>
                    <w:tl2br w:val="nil"/>
                    <w:tr2bl w:val="nil"/>
                  </w:tcBorders>
                  <w:vAlign w:val="center"/>
                </w:tcPr>
                <w:p w14:paraId="50361979">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氮氧化物</w:t>
                  </w:r>
                </w:p>
              </w:tc>
              <w:tc>
                <w:tcPr>
                  <w:tcW w:w="605" w:type="pct"/>
                  <w:vMerge w:val="continue"/>
                  <w:tcBorders>
                    <w:tl2br w:val="nil"/>
                    <w:tr2bl w:val="nil"/>
                  </w:tcBorders>
                  <w:vAlign w:val="center"/>
                </w:tcPr>
                <w:p w14:paraId="467C13A5">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1037" w:type="dxa"/>
                  <w:tcBorders>
                    <w:tl2br w:val="nil"/>
                    <w:tr2bl w:val="nil"/>
                  </w:tcBorders>
                  <w:vAlign w:val="center"/>
                </w:tcPr>
                <w:p w14:paraId="210A6EDE">
                  <w:pPr>
                    <w:pStyle w:val="40"/>
                    <w:spacing w:before="31"/>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0.139</w:t>
                  </w:r>
                </w:p>
              </w:tc>
              <w:tc>
                <w:tcPr>
                  <w:tcW w:w="1206" w:type="dxa"/>
                  <w:tcBorders>
                    <w:tl2br w:val="nil"/>
                    <w:tr2bl w:val="nil"/>
                  </w:tcBorders>
                  <w:vAlign w:val="center"/>
                </w:tcPr>
                <w:p w14:paraId="284C10E5">
                  <w:pPr>
                    <w:pStyle w:val="40"/>
                    <w:spacing w:before="31"/>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27.8</w:t>
                  </w:r>
                </w:p>
              </w:tc>
              <w:tc>
                <w:tcPr>
                  <w:tcW w:w="664" w:type="pct"/>
                  <w:tcBorders>
                    <w:tl2br w:val="nil"/>
                    <w:tr2bl w:val="nil"/>
                  </w:tcBorders>
                  <w:vAlign w:val="center"/>
                </w:tcPr>
                <w:p w14:paraId="0930D74B">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0.3</w:t>
                  </w:r>
                </w:p>
              </w:tc>
              <w:tc>
                <w:tcPr>
                  <w:tcW w:w="710" w:type="pct"/>
                  <w:tcBorders>
                    <w:tl2br w:val="nil"/>
                    <w:tr2bl w:val="nil"/>
                  </w:tcBorders>
                  <w:vAlign w:val="center"/>
                </w:tcPr>
                <w:p w14:paraId="31C01145">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200</w:t>
                  </w:r>
                </w:p>
              </w:tc>
              <w:tc>
                <w:tcPr>
                  <w:tcW w:w="461" w:type="pct"/>
                  <w:tcBorders>
                    <w:tl2br w:val="nil"/>
                    <w:tr2bl w:val="nil"/>
                  </w:tcBorders>
                  <w:vAlign w:val="center"/>
                </w:tcPr>
                <w:p w14:paraId="3063404F">
                  <w:pPr>
                    <w:pStyle w:val="21"/>
                    <w:spacing w:before="0" w:beforeAutospacing="0" w:after="0" w:afterAutospacing="0"/>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达标</w:t>
                  </w:r>
                </w:p>
              </w:tc>
            </w:tr>
          </w:tbl>
          <w:p w14:paraId="21A02D38">
            <w:pPr>
              <w:pStyle w:val="21"/>
              <w:spacing w:before="15" w:beforeLines="5" w:beforeAutospacing="0" w:after="0" w:afterAutospacing="0" w:line="372" w:lineRule="auto"/>
              <w:ind w:firstLine="480" w:firstLineChars="200"/>
              <w:jc w:val="both"/>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项目运营期废气污染物主要为颗粒物，经可行技术措施治理后排放，排放浓度（速率）能够满足相关排放标准。运营期废气排放对环境影响小。</w:t>
            </w:r>
          </w:p>
          <w:p w14:paraId="18F3910B">
            <w:pPr>
              <w:spacing w:before="31" w:beforeLines="10" w:after="31" w:afterLines="10" w:line="360"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5）废气排放监测要求</w:t>
            </w:r>
          </w:p>
          <w:p w14:paraId="5310025A">
            <w:pPr>
              <w:pStyle w:val="21"/>
              <w:spacing w:before="0" w:beforeAutospacing="0" w:after="0" w:afterAutospacing="0" w:line="372" w:lineRule="auto"/>
              <w:ind w:firstLine="480" w:firstLineChars="200"/>
              <w:jc w:val="both"/>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本项目排放口基本情况见下表：</w:t>
            </w:r>
          </w:p>
          <w:p w14:paraId="283708BE">
            <w:pPr>
              <w:spacing w:before="31" w:beforeLines="10" w:line="377"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根据《排污许可证申请与核发技术规范 铁路、船舶、航空航天和其他运输设备制造业》（HJ 1124—2020），“表面处理（涂装）排污单位，参照本标准附录A执行”。故参照《排污单位自行监测技术指南 总则》（HJ819-2017）、《排污单位自行监测技术指南 涂装》（HJ 1086-2020）、《排污许可证申请与核发技术规范 铁路、船舶、航空航天和其他运输设备制造业》（HJ 1124—2020）等文件制定出运营期废气监测计划，详见表4-13。</w:t>
            </w:r>
          </w:p>
          <w:p w14:paraId="625736E4">
            <w:pPr>
              <w:pStyle w:val="44"/>
              <w:spacing w:before="156"/>
              <w:rPr>
                <w:rFonts w:ascii="Times New Roman" w:hAnsi="Times New Roman" w:eastAsia="宋体"/>
                <w:color w:val="000000" w:themeColor="text1"/>
                <w:sz w:val="24"/>
                <w:highlight w:val="none"/>
                <w14:textFill>
                  <w14:solidFill>
                    <w14:schemeClr w14:val="tx1"/>
                  </w14:solidFill>
                </w14:textFill>
              </w:rPr>
            </w:pPr>
            <w:bookmarkStart w:id="14" w:name="_Ref20790"/>
            <w:r>
              <w:rPr>
                <w:rFonts w:ascii="Times New Roman" w:hAnsi="Times New Roman" w:eastAsia="宋体"/>
                <w:color w:val="000000" w:themeColor="text1"/>
                <w:sz w:val="24"/>
                <w:highlight w:val="none"/>
                <w14:textFill>
                  <w14:solidFill>
                    <w14:schemeClr w14:val="tx1"/>
                  </w14:solidFill>
                </w14:textFill>
              </w:rPr>
              <w:t>表</w:t>
            </w:r>
            <w:bookmarkEnd w:id="14"/>
            <w:r>
              <w:rPr>
                <w:rFonts w:ascii="Times New Roman" w:hAnsi="Times New Roman" w:eastAsia="宋体"/>
                <w:color w:val="000000" w:themeColor="text1"/>
                <w:sz w:val="24"/>
                <w:highlight w:val="none"/>
                <w14:textFill>
                  <w14:solidFill>
                    <w14:schemeClr w14:val="tx1"/>
                  </w14:solidFill>
                </w14:textFill>
              </w:rPr>
              <w:t>4-1</w:t>
            </w:r>
            <w:r>
              <w:rPr>
                <w:rFonts w:hint="eastAsia" w:ascii="Times New Roman" w:hAnsi="Times New Roman" w:eastAsia="宋体"/>
                <w:color w:val="000000" w:themeColor="text1"/>
                <w:sz w:val="24"/>
                <w:highlight w:val="none"/>
                <w14:textFill>
                  <w14:solidFill>
                    <w14:schemeClr w14:val="tx1"/>
                  </w14:solidFill>
                </w14:textFill>
              </w:rPr>
              <w:t>3</w:t>
            </w:r>
            <w:r>
              <w:rPr>
                <w:rFonts w:ascii="Times New Roman" w:hAnsi="Times New Roman" w:eastAsia="宋体"/>
                <w:color w:val="000000" w:themeColor="text1"/>
                <w:sz w:val="24"/>
                <w:highlight w:val="none"/>
                <w14:textFill>
                  <w14:solidFill>
                    <w14:schemeClr w14:val="tx1"/>
                  </w14:solidFill>
                </w14:textFill>
              </w:rPr>
              <w:t xml:space="preserve">  环境监测计划</w:t>
            </w:r>
          </w:p>
          <w:tbl>
            <w:tblPr>
              <w:tblStyle w:val="27"/>
              <w:tblW w:w="49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4"/>
              <w:gridCol w:w="765"/>
              <w:gridCol w:w="1273"/>
              <w:gridCol w:w="2002"/>
              <w:gridCol w:w="867"/>
              <w:gridCol w:w="2844"/>
            </w:tblGrid>
            <w:tr w14:paraId="1F83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328" w:type="pct"/>
                  <w:tcMar>
                    <w:top w:w="0" w:type="dxa"/>
                    <w:left w:w="57" w:type="dxa"/>
                    <w:bottom w:w="0" w:type="dxa"/>
                    <w:right w:w="57" w:type="dxa"/>
                  </w:tcMar>
                  <w:vAlign w:val="center"/>
                </w:tcPr>
                <w:p w14:paraId="46E1A8D0">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监测项目</w:t>
                  </w:r>
                </w:p>
              </w:tc>
              <w:tc>
                <w:tcPr>
                  <w:tcW w:w="461" w:type="pct"/>
                  <w:tcMar>
                    <w:top w:w="0" w:type="dxa"/>
                    <w:left w:w="57" w:type="dxa"/>
                    <w:bottom w:w="0" w:type="dxa"/>
                    <w:right w:w="57" w:type="dxa"/>
                  </w:tcMar>
                  <w:vAlign w:val="center"/>
                </w:tcPr>
                <w:p w14:paraId="5A160130">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排气筒</w:t>
                  </w:r>
                </w:p>
              </w:tc>
              <w:tc>
                <w:tcPr>
                  <w:tcW w:w="767" w:type="pct"/>
                  <w:tcMar>
                    <w:top w:w="0" w:type="dxa"/>
                    <w:left w:w="57" w:type="dxa"/>
                    <w:bottom w:w="0" w:type="dxa"/>
                    <w:right w:w="57" w:type="dxa"/>
                  </w:tcMar>
                  <w:vAlign w:val="center"/>
                </w:tcPr>
                <w:p w14:paraId="19386F2C">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污染源</w:t>
                  </w:r>
                </w:p>
              </w:tc>
              <w:tc>
                <w:tcPr>
                  <w:tcW w:w="1207" w:type="pct"/>
                  <w:tcMar>
                    <w:top w:w="0" w:type="dxa"/>
                    <w:left w:w="57" w:type="dxa"/>
                    <w:bottom w:w="0" w:type="dxa"/>
                    <w:right w:w="57" w:type="dxa"/>
                  </w:tcMar>
                  <w:vAlign w:val="center"/>
                </w:tcPr>
                <w:p w14:paraId="250DB192">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污染物</w:t>
                  </w:r>
                </w:p>
              </w:tc>
              <w:tc>
                <w:tcPr>
                  <w:tcW w:w="523" w:type="pct"/>
                  <w:tcMar>
                    <w:top w:w="0" w:type="dxa"/>
                    <w:left w:w="57" w:type="dxa"/>
                    <w:bottom w:w="0" w:type="dxa"/>
                    <w:right w:w="57" w:type="dxa"/>
                  </w:tcMar>
                  <w:vAlign w:val="center"/>
                </w:tcPr>
                <w:p w14:paraId="1961E590">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监测频率</w:t>
                  </w:r>
                </w:p>
              </w:tc>
              <w:tc>
                <w:tcPr>
                  <w:tcW w:w="1711" w:type="pct"/>
                  <w:tcMar>
                    <w:top w:w="0" w:type="dxa"/>
                    <w:left w:w="57" w:type="dxa"/>
                    <w:bottom w:w="0" w:type="dxa"/>
                    <w:right w:w="57" w:type="dxa"/>
                  </w:tcMar>
                  <w:vAlign w:val="center"/>
                </w:tcPr>
                <w:p w14:paraId="5BB08FA4">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执行标准</w:t>
                  </w:r>
                </w:p>
              </w:tc>
            </w:tr>
            <w:tr w14:paraId="78DE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28" w:type="pct"/>
                  <w:vMerge w:val="restart"/>
                  <w:tcMar>
                    <w:top w:w="0" w:type="dxa"/>
                    <w:left w:w="57" w:type="dxa"/>
                    <w:bottom w:w="0" w:type="dxa"/>
                    <w:right w:w="57" w:type="dxa"/>
                  </w:tcMar>
                  <w:vAlign w:val="center"/>
                </w:tcPr>
                <w:p w14:paraId="0F2AAE22">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有组织废气</w:t>
                  </w:r>
                </w:p>
              </w:tc>
              <w:tc>
                <w:tcPr>
                  <w:tcW w:w="461" w:type="pct"/>
                  <w:tcMar>
                    <w:top w:w="0" w:type="dxa"/>
                    <w:left w:w="57" w:type="dxa"/>
                    <w:bottom w:w="0" w:type="dxa"/>
                    <w:right w:w="57" w:type="dxa"/>
                  </w:tcMar>
                  <w:vAlign w:val="center"/>
                </w:tcPr>
                <w:p w14:paraId="7366F56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DA00</w:t>
                  </w:r>
                  <w:r>
                    <w:rPr>
                      <w:rFonts w:hint="eastAsia" w:ascii="Times New Roman" w:hAnsi="Times New Roman" w:eastAsia="宋体" w:cs="Times New Roman"/>
                      <w:color w:val="000000" w:themeColor="text1"/>
                      <w:highlight w:val="none"/>
                      <w14:textFill>
                        <w14:solidFill>
                          <w14:schemeClr w14:val="tx1"/>
                        </w14:solidFill>
                      </w14:textFill>
                    </w:rPr>
                    <w:t>1</w:t>
                  </w:r>
                </w:p>
              </w:tc>
              <w:tc>
                <w:tcPr>
                  <w:tcW w:w="767" w:type="pct"/>
                  <w:tcMar>
                    <w:top w:w="0" w:type="dxa"/>
                    <w:left w:w="57" w:type="dxa"/>
                    <w:bottom w:w="0" w:type="dxa"/>
                    <w:right w:w="57" w:type="dxa"/>
                  </w:tcMar>
                  <w:vAlign w:val="center"/>
                </w:tcPr>
                <w:p w14:paraId="4FE0C928">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抛丸废气</w:t>
                  </w:r>
                </w:p>
              </w:tc>
              <w:tc>
                <w:tcPr>
                  <w:tcW w:w="1207" w:type="pct"/>
                  <w:tcMar>
                    <w:top w:w="0" w:type="dxa"/>
                    <w:left w:w="57" w:type="dxa"/>
                    <w:bottom w:w="0" w:type="dxa"/>
                    <w:right w:w="57" w:type="dxa"/>
                  </w:tcMar>
                  <w:vAlign w:val="center"/>
                </w:tcPr>
                <w:p w14:paraId="7D91D679">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w:t>
                  </w:r>
                </w:p>
              </w:tc>
              <w:tc>
                <w:tcPr>
                  <w:tcW w:w="523" w:type="pct"/>
                  <w:tcMar>
                    <w:top w:w="0" w:type="dxa"/>
                    <w:left w:w="57" w:type="dxa"/>
                    <w:bottom w:w="0" w:type="dxa"/>
                    <w:right w:w="57" w:type="dxa"/>
                  </w:tcMar>
                  <w:vAlign w:val="center"/>
                </w:tcPr>
                <w:p w14:paraId="5EDDE314">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1次/年</w:t>
                  </w:r>
                </w:p>
              </w:tc>
              <w:tc>
                <w:tcPr>
                  <w:tcW w:w="1711" w:type="pct"/>
                  <w:tcMar>
                    <w:top w:w="0" w:type="dxa"/>
                    <w:left w:w="57" w:type="dxa"/>
                    <w:bottom w:w="0" w:type="dxa"/>
                    <w:right w:w="57" w:type="dxa"/>
                  </w:tcMar>
                  <w:vAlign w:val="center"/>
                </w:tcPr>
                <w:p w14:paraId="015D71AD">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r w14:paraId="0A79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28" w:type="pct"/>
                  <w:vMerge w:val="continue"/>
                  <w:tcMar>
                    <w:top w:w="0" w:type="dxa"/>
                    <w:left w:w="57" w:type="dxa"/>
                    <w:bottom w:w="0" w:type="dxa"/>
                    <w:right w:w="57" w:type="dxa"/>
                  </w:tcMar>
                  <w:vAlign w:val="center"/>
                </w:tcPr>
                <w:p w14:paraId="129AB018">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461" w:type="pct"/>
                  <w:tcMar>
                    <w:top w:w="0" w:type="dxa"/>
                    <w:left w:w="57" w:type="dxa"/>
                    <w:bottom w:w="0" w:type="dxa"/>
                    <w:right w:w="57" w:type="dxa"/>
                  </w:tcMar>
                  <w:vAlign w:val="center"/>
                </w:tcPr>
                <w:p w14:paraId="53624A94">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DA00</w:t>
                  </w:r>
                  <w:r>
                    <w:rPr>
                      <w:rFonts w:hint="eastAsia" w:ascii="Times New Roman" w:hAnsi="Times New Roman" w:eastAsia="宋体" w:cs="Times New Roman"/>
                      <w:color w:val="000000" w:themeColor="text1"/>
                      <w:highlight w:val="none"/>
                      <w14:textFill>
                        <w14:solidFill>
                          <w14:schemeClr w14:val="tx1"/>
                        </w14:solidFill>
                      </w14:textFill>
                    </w:rPr>
                    <w:t>2</w:t>
                  </w:r>
                </w:p>
              </w:tc>
              <w:tc>
                <w:tcPr>
                  <w:tcW w:w="767" w:type="pct"/>
                  <w:tcMar>
                    <w:top w:w="0" w:type="dxa"/>
                    <w:left w:w="57" w:type="dxa"/>
                    <w:bottom w:w="0" w:type="dxa"/>
                    <w:right w:w="57" w:type="dxa"/>
                  </w:tcMar>
                  <w:vAlign w:val="center"/>
                </w:tcPr>
                <w:p w14:paraId="7CD40300">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喷粉废气</w:t>
                  </w:r>
                </w:p>
              </w:tc>
              <w:tc>
                <w:tcPr>
                  <w:tcW w:w="1207" w:type="pct"/>
                  <w:tcMar>
                    <w:top w:w="0" w:type="dxa"/>
                    <w:left w:w="57" w:type="dxa"/>
                    <w:bottom w:w="0" w:type="dxa"/>
                    <w:right w:w="57" w:type="dxa"/>
                  </w:tcMar>
                  <w:vAlign w:val="center"/>
                </w:tcPr>
                <w:p w14:paraId="6C84252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w:t>
                  </w:r>
                </w:p>
              </w:tc>
              <w:tc>
                <w:tcPr>
                  <w:tcW w:w="523" w:type="pct"/>
                  <w:tcMar>
                    <w:top w:w="0" w:type="dxa"/>
                    <w:left w:w="57" w:type="dxa"/>
                    <w:bottom w:w="0" w:type="dxa"/>
                    <w:right w:w="57" w:type="dxa"/>
                  </w:tcMar>
                  <w:vAlign w:val="center"/>
                </w:tcPr>
                <w:p w14:paraId="24919F96">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1次/年</w:t>
                  </w:r>
                </w:p>
              </w:tc>
              <w:tc>
                <w:tcPr>
                  <w:tcW w:w="1711" w:type="pct"/>
                  <w:tcMar>
                    <w:top w:w="0" w:type="dxa"/>
                    <w:left w:w="57" w:type="dxa"/>
                    <w:bottom w:w="0" w:type="dxa"/>
                    <w:right w:w="57" w:type="dxa"/>
                  </w:tcMar>
                  <w:vAlign w:val="center"/>
                </w:tcPr>
                <w:p w14:paraId="01A3F851">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r w14:paraId="0ED1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8" w:type="pct"/>
                  <w:vMerge w:val="continue"/>
                  <w:tcMar>
                    <w:top w:w="0" w:type="dxa"/>
                    <w:left w:w="57" w:type="dxa"/>
                    <w:bottom w:w="0" w:type="dxa"/>
                    <w:right w:w="57" w:type="dxa"/>
                  </w:tcMar>
                  <w:vAlign w:val="center"/>
                </w:tcPr>
                <w:p w14:paraId="007060E2">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461" w:type="pct"/>
                  <w:vMerge w:val="restart"/>
                  <w:tcMar>
                    <w:top w:w="0" w:type="dxa"/>
                    <w:left w:w="57" w:type="dxa"/>
                    <w:bottom w:w="0" w:type="dxa"/>
                    <w:right w:w="57" w:type="dxa"/>
                  </w:tcMar>
                  <w:vAlign w:val="center"/>
                </w:tcPr>
                <w:p w14:paraId="72416FD0">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DA00</w:t>
                  </w:r>
                  <w:r>
                    <w:rPr>
                      <w:rFonts w:hint="eastAsia" w:ascii="Times New Roman" w:hAnsi="Times New Roman" w:eastAsia="宋体" w:cs="Times New Roman"/>
                      <w:color w:val="000000" w:themeColor="text1"/>
                      <w:highlight w:val="none"/>
                      <w14:textFill>
                        <w14:solidFill>
                          <w14:schemeClr w14:val="tx1"/>
                        </w14:solidFill>
                      </w14:textFill>
                    </w:rPr>
                    <w:t>3</w:t>
                  </w:r>
                </w:p>
              </w:tc>
              <w:tc>
                <w:tcPr>
                  <w:tcW w:w="767" w:type="pct"/>
                  <w:vMerge w:val="restart"/>
                  <w:tcMar>
                    <w:top w:w="0" w:type="dxa"/>
                    <w:left w:w="57" w:type="dxa"/>
                    <w:bottom w:w="0" w:type="dxa"/>
                    <w:right w:w="57" w:type="dxa"/>
                  </w:tcMar>
                  <w:vAlign w:val="center"/>
                </w:tcPr>
                <w:p w14:paraId="536B7F7A">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固化废气</w:t>
                  </w:r>
                </w:p>
              </w:tc>
              <w:tc>
                <w:tcPr>
                  <w:tcW w:w="1207" w:type="pct"/>
                  <w:tcMar>
                    <w:top w:w="0" w:type="dxa"/>
                    <w:left w:w="57" w:type="dxa"/>
                    <w:bottom w:w="0" w:type="dxa"/>
                    <w:right w:w="57" w:type="dxa"/>
                  </w:tcMar>
                  <w:vAlign w:val="center"/>
                </w:tcPr>
                <w:p w14:paraId="5E065125">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非甲烷总烃</w:t>
                  </w:r>
                </w:p>
              </w:tc>
              <w:tc>
                <w:tcPr>
                  <w:tcW w:w="523" w:type="pct"/>
                  <w:tcMar>
                    <w:top w:w="0" w:type="dxa"/>
                    <w:left w:w="57" w:type="dxa"/>
                    <w:bottom w:w="0" w:type="dxa"/>
                    <w:right w:w="57" w:type="dxa"/>
                  </w:tcMar>
                  <w:vAlign w:val="center"/>
                </w:tcPr>
                <w:p w14:paraId="3363F2E0">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1次/年</w:t>
                  </w:r>
                </w:p>
              </w:tc>
              <w:tc>
                <w:tcPr>
                  <w:tcW w:w="1711" w:type="pct"/>
                  <w:tcMar>
                    <w:top w:w="0" w:type="dxa"/>
                    <w:left w:w="57" w:type="dxa"/>
                    <w:bottom w:w="0" w:type="dxa"/>
                    <w:right w:w="57" w:type="dxa"/>
                  </w:tcMar>
                  <w:vAlign w:val="center"/>
                </w:tcPr>
                <w:p w14:paraId="1C694D9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《摩托车及汽车配件制造表面涂装大气污染物排放标准》（DB50/660-2016）</w:t>
                  </w:r>
                </w:p>
              </w:tc>
            </w:tr>
            <w:tr w14:paraId="404B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8" w:type="pct"/>
                  <w:vMerge w:val="continue"/>
                  <w:tcMar>
                    <w:top w:w="0" w:type="dxa"/>
                    <w:left w:w="57" w:type="dxa"/>
                    <w:bottom w:w="0" w:type="dxa"/>
                    <w:right w:w="57" w:type="dxa"/>
                  </w:tcMar>
                  <w:vAlign w:val="center"/>
                </w:tcPr>
                <w:p w14:paraId="1F6CDF36">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461" w:type="pct"/>
                  <w:vMerge w:val="continue"/>
                  <w:tcMar>
                    <w:top w:w="0" w:type="dxa"/>
                    <w:left w:w="57" w:type="dxa"/>
                    <w:bottom w:w="0" w:type="dxa"/>
                    <w:right w:w="57" w:type="dxa"/>
                  </w:tcMar>
                  <w:vAlign w:val="center"/>
                </w:tcPr>
                <w:p w14:paraId="2EBBE8FE">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767" w:type="pct"/>
                  <w:vMerge w:val="continue"/>
                  <w:tcMar>
                    <w:top w:w="0" w:type="dxa"/>
                    <w:left w:w="57" w:type="dxa"/>
                    <w:bottom w:w="0" w:type="dxa"/>
                    <w:right w:w="57" w:type="dxa"/>
                  </w:tcMar>
                  <w:vAlign w:val="center"/>
                </w:tcPr>
                <w:p w14:paraId="79E631F6">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207" w:type="pct"/>
                  <w:tcMar>
                    <w:top w:w="0" w:type="dxa"/>
                    <w:left w:w="57" w:type="dxa"/>
                    <w:bottom w:w="0" w:type="dxa"/>
                    <w:right w:w="57" w:type="dxa"/>
                  </w:tcMar>
                  <w:vAlign w:val="center"/>
                </w:tcPr>
                <w:p w14:paraId="0F179478">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颗粒物、二氧化硫、氮氧化物</w:t>
                  </w:r>
                </w:p>
              </w:tc>
              <w:tc>
                <w:tcPr>
                  <w:tcW w:w="523" w:type="pct"/>
                  <w:tcMar>
                    <w:top w:w="0" w:type="dxa"/>
                    <w:left w:w="57" w:type="dxa"/>
                    <w:bottom w:w="0" w:type="dxa"/>
                    <w:right w:w="57" w:type="dxa"/>
                  </w:tcMar>
                  <w:vAlign w:val="center"/>
                </w:tcPr>
                <w:p w14:paraId="16A77ADD">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1次/年</w:t>
                  </w:r>
                </w:p>
              </w:tc>
              <w:tc>
                <w:tcPr>
                  <w:tcW w:w="1711" w:type="pct"/>
                  <w:tcMar>
                    <w:top w:w="0" w:type="dxa"/>
                    <w:left w:w="57" w:type="dxa"/>
                    <w:bottom w:w="0" w:type="dxa"/>
                    <w:right w:w="57" w:type="dxa"/>
                  </w:tcMar>
                  <w:vAlign w:val="center"/>
                </w:tcPr>
                <w:p w14:paraId="32213DC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r w14:paraId="0B70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8" w:type="pct"/>
                  <w:vMerge w:val="restart"/>
                  <w:vAlign w:val="center"/>
                </w:tcPr>
                <w:p w14:paraId="202F200B">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无组织废气</w:t>
                  </w:r>
                </w:p>
              </w:tc>
              <w:tc>
                <w:tcPr>
                  <w:tcW w:w="1228" w:type="pct"/>
                  <w:gridSpan w:val="2"/>
                  <w:vAlign w:val="center"/>
                </w:tcPr>
                <w:p w14:paraId="4AECFCC5">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厂房外</w:t>
                  </w:r>
                  <w:r>
                    <w:rPr>
                      <w:rFonts w:ascii="Times New Roman" w:hAnsi="Times New Roman" w:eastAsia="宋体" w:cs="Times New Roman"/>
                      <w:color w:val="000000" w:themeColor="text1"/>
                      <w:highlight w:val="none"/>
                      <w:vertAlign w:val="superscript"/>
                      <w14:textFill>
                        <w14:solidFill>
                          <w14:schemeClr w14:val="tx1"/>
                        </w14:solidFill>
                      </w14:textFill>
                    </w:rPr>
                    <w:t>①</w:t>
                  </w:r>
                </w:p>
              </w:tc>
              <w:tc>
                <w:tcPr>
                  <w:tcW w:w="1207" w:type="pct"/>
                  <w:vAlign w:val="center"/>
                </w:tcPr>
                <w:p w14:paraId="00A9E2F1">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非甲烷总烃</w:t>
                  </w:r>
                </w:p>
              </w:tc>
              <w:tc>
                <w:tcPr>
                  <w:tcW w:w="523" w:type="pct"/>
                  <w:vAlign w:val="center"/>
                </w:tcPr>
                <w:p w14:paraId="1073F512">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1次/半年</w:t>
                  </w:r>
                  <w:r>
                    <w:rPr>
                      <w:rFonts w:ascii="Times New Roman" w:hAnsi="Times New Roman" w:eastAsia="宋体" w:cs="Times New Roman"/>
                      <w:color w:val="000000" w:themeColor="text1"/>
                      <w:highlight w:val="none"/>
                      <w:vertAlign w:val="superscript"/>
                      <w14:textFill>
                        <w14:solidFill>
                          <w14:schemeClr w14:val="tx1"/>
                        </w14:solidFill>
                      </w14:textFill>
                    </w:rPr>
                    <w:t>②</w:t>
                  </w:r>
                </w:p>
              </w:tc>
              <w:tc>
                <w:tcPr>
                  <w:tcW w:w="1711" w:type="pct"/>
                  <w:vAlign w:val="center"/>
                </w:tcPr>
                <w:p w14:paraId="4B8D6BE3">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《挥发性有机物无组织排放控制标准》（GB 37822-2019）</w:t>
                  </w:r>
                </w:p>
              </w:tc>
            </w:tr>
            <w:tr w14:paraId="58BF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8" w:type="pct"/>
                  <w:vMerge w:val="continue"/>
                  <w:vAlign w:val="center"/>
                </w:tcPr>
                <w:p w14:paraId="7E7E8217">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228" w:type="pct"/>
                  <w:gridSpan w:val="2"/>
                  <w:vMerge w:val="restart"/>
                  <w:vAlign w:val="center"/>
                </w:tcPr>
                <w:p w14:paraId="5651AA02">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厂界</w:t>
                  </w:r>
                </w:p>
              </w:tc>
              <w:tc>
                <w:tcPr>
                  <w:tcW w:w="1207" w:type="pct"/>
                  <w:vAlign w:val="center"/>
                </w:tcPr>
                <w:p w14:paraId="15F40019">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颗粒物、</w:t>
                  </w:r>
                  <w:r>
                    <w:rPr>
                      <w:rFonts w:hint="eastAsia" w:ascii="Times New Roman" w:hAnsi="Times New Roman" w:eastAsia="宋体" w:cs="Times New Roman"/>
                      <w:color w:val="000000" w:themeColor="text1"/>
                      <w:highlight w:val="none"/>
                      <w14:textFill>
                        <w14:solidFill>
                          <w14:schemeClr w14:val="tx1"/>
                        </w14:solidFill>
                      </w14:textFill>
                    </w:rPr>
                    <w:t>二氧化硫、氮氧化物</w:t>
                  </w:r>
                </w:p>
              </w:tc>
              <w:tc>
                <w:tcPr>
                  <w:tcW w:w="523" w:type="pct"/>
                  <w:vAlign w:val="center"/>
                </w:tcPr>
                <w:p w14:paraId="4CB46BBD">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1次/半年</w:t>
                  </w:r>
                  <w:r>
                    <w:rPr>
                      <w:rFonts w:ascii="Times New Roman" w:hAnsi="Times New Roman" w:eastAsia="宋体" w:cs="Times New Roman"/>
                      <w:color w:val="000000" w:themeColor="text1"/>
                      <w:highlight w:val="none"/>
                      <w:vertAlign w:val="superscript"/>
                      <w14:textFill>
                        <w14:solidFill>
                          <w14:schemeClr w14:val="tx1"/>
                        </w14:solidFill>
                      </w14:textFill>
                    </w:rPr>
                    <w:t>③</w:t>
                  </w:r>
                </w:p>
              </w:tc>
              <w:tc>
                <w:tcPr>
                  <w:tcW w:w="1711" w:type="pct"/>
                  <w:vAlign w:val="center"/>
                </w:tcPr>
                <w:p w14:paraId="40961564">
                  <w:pPr>
                    <w:pStyle w:val="40"/>
                    <w:spacing w:before="31"/>
                    <w:rPr>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r w14:paraId="5627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328" w:type="pct"/>
                  <w:vMerge w:val="continue"/>
                  <w:vAlign w:val="center"/>
                </w:tcPr>
                <w:p w14:paraId="42EFADF1">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228" w:type="pct"/>
                  <w:gridSpan w:val="2"/>
                  <w:vMerge w:val="continue"/>
                  <w:vAlign w:val="center"/>
                </w:tcPr>
                <w:p w14:paraId="7FF0CFDD">
                  <w:pPr>
                    <w:pStyle w:val="40"/>
                    <w:spacing w:before="31"/>
                    <w:rPr>
                      <w:rFonts w:ascii="Times New Roman" w:hAnsi="Times New Roman" w:eastAsia="宋体" w:cs="Times New Roman"/>
                      <w:color w:val="000000" w:themeColor="text1"/>
                      <w:highlight w:val="none"/>
                      <w14:textFill>
                        <w14:solidFill>
                          <w14:schemeClr w14:val="tx1"/>
                        </w14:solidFill>
                      </w14:textFill>
                    </w:rPr>
                  </w:pPr>
                </w:p>
              </w:tc>
              <w:tc>
                <w:tcPr>
                  <w:tcW w:w="1207" w:type="pct"/>
                  <w:vAlign w:val="center"/>
                </w:tcPr>
                <w:p w14:paraId="54633EE8">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非甲烷总烃</w:t>
                  </w:r>
                </w:p>
              </w:tc>
              <w:tc>
                <w:tcPr>
                  <w:tcW w:w="523" w:type="pct"/>
                  <w:vAlign w:val="center"/>
                </w:tcPr>
                <w:p w14:paraId="7E711A3A">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1次/半年</w:t>
                  </w:r>
                  <w:r>
                    <w:rPr>
                      <w:rFonts w:ascii="Times New Roman" w:hAnsi="Times New Roman" w:eastAsia="宋体" w:cs="Times New Roman"/>
                      <w:color w:val="000000" w:themeColor="text1"/>
                      <w:highlight w:val="none"/>
                      <w:vertAlign w:val="superscript"/>
                      <w14:textFill>
                        <w14:solidFill>
                          <w14:schemeClr w14:val="tx1"/>
                        </w14:solidFill>
                      </w14:textFill>
                    </w:rPr>
                    <w:t>③</w:t>
                  </w:r>
                </w:p>
              </w:tc>
              <w:tc>
                <w:tcPr>
                  <w:tcW w:w="1711" w:type="pct"/>
                  <w:vAlign w:val="center"/>
                </w:tcPr>
                <w:p w14:paraId="54081C01">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《摩托车及汽车配件制造表面涂装大气污染物排放标准》（DB50/660-2016）</w:t>
                  </w:r>
                </w:p>
              </w:tc>
            </w:tr>
            <w:tr w14:paraId="00E2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5000" w:type="pct"/>
                  <w:gridSpan w:val="6"/>
                  <w:vAlign w:val="center"/>
                </w:tcPr>
                <w:p w14:paraId="38D48D2F">
                  <w:pPr>
                    <w:pStyle w:val="40"/>
                    <w:spacing w:before="31"/>
                    <w:jc w:val="both"/>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注</w:t>
                  </w:r>
                  <w:r>
                    <w:rPr>
                      <w:rFonts w:ascii="Times New Roman" w:hAnsi="Times New Roman" w:eastAsia="宋体" w:cs="Times New Roman"/>
                      <w:color w:val="000000" w:themeColor="text1"/>
                      <w:highlight w:val="none"/>
                      <w:vertAlign w:val="superscript"/>
                      <w14:textFill>
                        <w14:solidFill>
                          <w14:schemeClr w14:val="tx1"/>
                        </w14:solidFill>
                      </w14:textFill>
                    </w:rPr>
                    <w:t>①</w:t>
                  </w:r>
                  <w:r>
                    <w:rPr>
                      <w:rFonts w:ascii="Times New Roman" w:hAnsi="Times New Roman" w:eastAsia="宋体" w:cs="Times New Roman"/>
                      <w:color w:val="000000" w:themeColor="text1"/>
                      <w:highlight w:val="none"/>
                      <w14:textFill>
                        <w14:solidFill>
                          <w14:schemeClr w14:val="tx1"/>
                        </w14:solidFill>
                      </w14:textFill>
                    </w:rPr>
                    <w:t>：按照《挥发性有机物无组织排放控制标准》（GB 37822-2019）要求，对厂区内VOC</w:t>
                  </w:r>
                  <w:r>
                    <w:rPr>
                      <w:rFonts w:ascii="Times New Roman" w:hAnsi="Times New Roman" w:eastAsia="宋体" w:cs="Times New Roman"/>
                      <w:color w:val="000000" w:themeColor="text1"/>
                      <w:highlight w:val="none"/>
                      <w:vertAlign w:val="subscript"/>
                      <w14:textFill>
                        <w14:solidFill>
                          <w14:schemeClr w14:val="tx1"/>
                        </w14:solidFill>
                      </w14:textFill>
                    </w:rPr>
                    <w:t>S</w:t>
                  </w:r>
                  <w:r>
                    <w:rPr>
                      <w:rFonts w:ascii="Times New Roman" w:hAnsi="Times New Roman" w:eastAsia="宋体" w:cs="Times New Roman"/>
                      <w:color w:val="000000" w:themeColor="text1"/>
                      <w:highlight w:val="none"/>
                      <w14:textFill>
                        <w14:solidFill>
                          <w14:schemeClr w14:val="tx1"/>
                        </w14:solidFill>
                      </w14:textFill>
                    </w:rPr>
                    <w:t>无组织排放进行监控时，在厂房门窗或通风口、其他开口（孔）等排放口外1m，距离地面1.5m以上位置进行监测。</w:t>
                  </w:r>
                </w:p>
                <w:p w14:paraId="4D390C14">
                  <w:pPr>
                    <w:pStyle w:val="40"/>
                    <w:spacing w:before="31"/>
                    <w:jc w:val="both"/>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注</w:t>
                  </w:r>
                  <w:r>
                    <w:rPr>
                      <w:rFonts w:ascii="Times New Roman" w:hAnsi="Times New Roman" w:eastAsia="宋体" w:cs="Times New Roman"/>
                      <w:color w:val="000000" w:themeColor="text1"/>
                      <w:highlight w:val="none"/>
                      <w:vertAlign w:val="superscript"/>
                      <w14:textFill>
                        <w14:solidFill>
                          <w14:schemeClr w14:val="tx1"/>
                        </w14:solidFill>
                      </w14:textFill>
                    </w:rPr>
                    <w:t>②</w:t>
                  </w:r>
                  <w:r>
                    <w:rPr>
                      <w:rFonts w:ascii="Times New Roman" w:hAnsi="Times New Roman" w:eastAsia="宋体" w:cs="Times New Roman"/>
                      <w:color w:val="000000" w:themeColor="text1"/>
                      <w:highlight w:val="none"/>
                      <w14:textFill>
                        <w14:solidFill>
                          <w14:schemeClr w14:val="tx1"/>
                        </w14:solidFill>
                      </w14:textFill>
                    </w:rPr>
                    <w:t>：参照厂界无组织废气监测频次执行。</w:t>
                  </w:r>
                </w:p>
                <w:p w14:paraId="20914A76">
                  <w:pPr>
                    <w:pStyle w:val="40"/>
                    <w:spacing w:before="31"/>
                    <w:jc w:val="both"/>
                    <w:rPr>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注</w:t>
                  </w:r>
                  <w:r>
                    <w:rPr>
                      <w:rFonts w:ascii="Times New Roman" w:hAnsi="Times New Roman" w:eastAsia="宋体" w:cs="Times New Roman"/>
                      <w:color w:val="000000" w:themeColor="text1"/>
                      <w:highlight w:val="none"/>
                      <w:vertAlign w:val="superscript"/>
                      <w14:textFill>
                        <w14:solidFill>
                          <w14:schemeClr w14:val="tx1"/>
                        </w14:solidFill>
                      </w14:textFill>
                    </w:rPr>
                    <w:t>③</w:t>
                  </w:r>
                  <w:r>
                    <w:rPr>
                      <w:rFonts w:ascii="Times New Roman" w:hAnsi="Times New Roman" w:eastAsia="宋体" w:cs="Times New Roman"/>
                      <w:color w:val="000000" w:themeColor="text1"/>
                      <w:highlight w:val="none"/>
                      <w14:textFill>
                        <w14:solidFill>
                          <w14:schemeClr w14:val="tx1"/>
                        </w14:solidFill>
                      </w14:textFill>
                    </w:rPr>
                    <w:t>：参照《排污单位自行监测技术指南 涂装》（HJ 1086-2020）执行半年监测。</w:t>
                  </w:r>
                </w:p>
              </w:tc>
            </w:tr>
          </w:tbl>
          <w:p w14:paraId="069510EA">
            <w:pPr>
              <w:spacing w:line="360"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6）大气环境影响分析结论</w:t>
            </w:r>
          </w:p>
          <w:p w14:paraId="1FB6A6EB">
            <w:pPr>
              <w:adjustRightInd w:val="0"/>
              <w:spacing w:line="360" w:lineRule="auto"/>
              <w:ind w:firstLine="480" w:firstLineChars="200"/>
              <w:rPr>
                <w:color w:val="000000" w:themeColor="text1"/>
                <w:highlight w:val="none"/>
                <w14:textFill>
                  <w14:solidFill>
                    <w14:schemeClr w14:val="tx1"/>
                  </w14:solidFill>
                </w14:textFill>
              </w:rPr>
            </w:pPr>
            <w:r>
              <w:rPr>
                <w:rFonts w:ascii="Times New Roman" w:hAnsi="Times New Roman" w:cs="Times New Roman"/>
                <w:color w:val="000000" w:themeColor="text1"/>
                <w:kern w:val="0"/>
                <w:sz w:val="24"/>
                <w:szCs w:val="26"/>
                <w:highlight w:val="none"/>
                <w14:textFill>
                  <w14:solidFill>
                    <w14:schemeClr w14:val="tx1"/>
                  </w14:solidFill>
                </w14:textFill>
              </w:rPr>
              <w:t>项目位于西彭工业园区D分区，周边主要为工业项目，厂界外500m范围内无自然保护区、风景名胜区、森林公园、居住区、文化区、人群较集中的区域，无饮用水源保护区分布，未发现珍稀濒危保护野生动植物和古树名木。项目各废气均采用可行的污染治理措施，经过废气收集设施和处理措施后，可满足相关标准要求达标排放，对周边环境保护目标的影响较小。</w:t>
            </w:r>
          </w:p>
        </w:tc>
      </w:tr>
    </w:tbl>
    <w:p w14:paraId="35B57D7B">
      <w:pPr>
        <w:pStyle w:val="24"/>
        <w:rPr>
          <w:color w:val="000000" w:themeColor="text1"/>
          <w:highlight w:val="none"/>
          <w14:textFill>
            <w14:solidFill>
              <w14:schemeClr w14:val="tx1"/>
            </w14:solidFill>
          </w14:textFill>
        </w:rPr>
        <w:sectPr>
          <w:pgSz w:w="11906" w:h="16838"/>
          <w:pgMar w:top="1440" w:right="1344" w:bottom="1440" w:left="1514" w:header="851" w:footer="992" w:gutter="0"/>
          <w:pgNumType w:fmt="numberInDash"/>
          <w:cols w:space="425" w:num="1"/>
          <w:docGrid w:type="lines" w:linePitch="312" w:charSpace="0"/>
        </w:sectPr>
      </w:pPr>
    </w:p>
    <w:tbl>
      <w:tblPr>
        <w:tblStyle w:val="26"/>
        <w:tblW w:w="5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6"/>
        <w:gridCol w:w="8552"/>
      </w:tblGrid>
      <w:tr w14:paraId="2EC6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33" w:hRule="atLeast"/>
          <w:jc w:val="center"/>
        </w:trPr>
        <w:tc>
          <w:tcPr>
            <w:tcW w:w="346" w:type="pct"/>
            <w:tcMar>
              <w:left w:w="28" w:type="dxa"/>
              <w:right w:w="28" w:type="dxa"/>
            </w:tcMar>
            <w:vAlign w:val="center"/>
          </w:tcPr>
          <w:p w14:paraId="0E9BA191">
            <w:pPr>
              <w:pStyle w:val="48"/>
              <w:spacing w:before="93" w:after="93"/>
              <w:rPr>
                <w:rFonts w:cs="宋体"/>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运营期环境影响和保护措施</w:t>
            </w:r>
          </w:p>
        </w:tc>
        <w:tc>
          <w:tcPr>
            <w:tcW w:w="4653" w:type="pct"/>
            <w:vAlign w:val="center"/>
          </w:tcPr>
          <w:p w14:paraId="0391EEE7">
            <w:pPr>
              <w:spacing w:before="31" w:beforeLines="10" w:after="31" w:afterLines="10" w:line="360" w:lineRule="auto"/>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2、运营期废水环境影响及环保措施：</w:t>
            </w:r>
          </w:p>
          <w:p w14:paraId="1086C260">
            <w:pPr>
              <w:spacing w:before="31" w:beforeLines="10" w:after="31" w:afterLines="10" w:line="360"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1）废水产生情况</w:t>
            </w:r>
          </w:p>
          <w:p w14:paraId="1CDBA808">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项目厂区车间地面采用干式清扫，不进行地面冲洗，</w:t>
            </w:r>
            <w:r>
              <w:rPr>
                <w:color w:val="000000" w:themeColor="text1"/>
                <w:szCs w:val="28"/>
                <w:highlight w:val="none"/>
                <w14:textFill>
                  <w14:solidFill>
                    <w14:schemeClr w14:val="tx1"/>
                  </w14:solidFill>
                </w14:textFill>
              </w:rPr>
              <w:t>项目</w:t>
            </w:r>
            <w:r>
              <w:rPr>
                <w:rFonts w:hint="eastAsia" w:ascii="Times New Roman" w:hAnsi="Times New Roman" w:cs="宋体"/>
                <w:color w:val="000000" w:themeColor="text1"/>
                <w:szCs w:val="24"/>
                <w:highlight w:val="none"/>
                <w14:textFill>
                  <w14:solidFill>
                    <w14:schemeClr w14:val="tx1"/>
                  </w14:solidFill>
                </w14:textFill>
              </w:rPr>
              <w:t>运营期</w:t>
            </w:r>
            <w:r>
              <w:rPr>
                <w:rFonts w:hint="eastAsia"/>
                <w:color w:val="000000" w:themeColor="text1"/>
                <w:szCs w:val="28"/>
                <w:highlight w:val="none"/>
                <w14:textFill>
                  <w14:solidFill>
                    <w14:schemeClr w14:val="tx1"/>
                  </w14:solidFill>
                </w14:textFill>
              </w:rPr>
              <w:t>无生产废水产生，</w:t>
            </w:r>
            <w:r>
              <w:rPr>
                <w:rFonts w:hint="eastAsia" w:ascii="Times New Roman" w:hAnsi="Times New Roman" w:cs="宋体"/>
                <w:color w:val="000000" w:themeColor="text1"/>
                <w:szCs w:val="24"/>
                <w:highlight w:val="none"/>
                <w14:textFill>
                  <w14:solidFill>
                    <w14:schemeClr w14:val="tx1"/>
                  </w14:solidFill>
                </w14:textFill>
              </w:rPr>
              <w:t>外排污废水主要为生活污水。</w:t>
            </w:r>
          </w:p>
          <w:p w14:paraId="31C9F580">
            <w:pPr>
              <w:pStyle w:val="21"/>
              <w:spacing w:before="31" w:beforeLines="10" w:beforeAutospacing="0" w:after="31" w:afterLines="10" w:afterAutospacing="0" w:line="360" w:lineRule="auto"/>
              <w:ind w:firstLine="482"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 xml:space="preserve">① </w:t>
            </w:r>
            <w:r>
              <w:rPr>
                <w:rFonts w:hint="eastAsia" w:ascii="Times New Roman" w:hAnsi="Times New Roman" w:cs="宋体"/>
                <w:color w:val="000000" w:themeColor="text1"/>
                <w:szCs w:val="24"/>
                <w:highlight w:val="none"/>
                <w:u w:val="single"/>
                <w14:textFill>
                  <w14:solidFill>
                    <w14:schemeClr w14:val="tx1"/>
                  </w14:solidFill>
                </w14:textFill>
              </w:rPr>
              <w:t>生活污水</w:t>
            </w:r>
            <w:r>
              <w:rPr>
                <w:rFonts w:hint="eastAsia" w:ascii="Times New Roman" w:hAnsi="Times New Roman" w:cs="宋体"/>
                <w:color w:val="000000" w:themeColor="text1"/>
                <w:szCs w:val="24"/>
                <w:highlight w:val="none"/>
                <w14:textFill>
                  <w14:solidFill>
                    <w14:schemeClr w14:val="tx1"/>
                  </w14:solidFill>
                </w14:textFill>
              </w:rPr>
              <w:t>：</w:t>
            </w:r>
          </w:p>
          <w:p w14:paraId="2BDC0AFD">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项目运营期劳动定员10人，不设食宿。额定用水量按50L/d，产污系数按0.9计，则生活污水产生量约0.45m</w:t>
            </w:r>
            <w:r>
              <w:rPr>
                <w:rFonts w:hint="eastAsia" w:ascii="Times New Roman" w:hAnsi="Times New Roman" w:cs="宋体"/>
                <w:color w:val="000000" w:themeColor="text1"/>
                <w:szCs w:val="24"/>
                <w:highlight w:val="none"/>
                <w:vertAlign w:val="superscript"/>
                <w14:textFill>
                  <w14:solidFill>
                    <w14:schemeClr w14:val="tx1"/>
                  </w14:solidFill>
                </w14:textFill>
              </w:rPr>
              <w:t>3</w:t>
            </w:r>
            <w:r>
              <w:rPr>
                <w:rFonts w:hint="eastAsia" w:ascii="Times New Roman" w:hAnsi="Times New Roman" w:cs="宋体"/>
                <w:color w:val="000000" w:themeColor="text1"/>
                <w:szCs w:val="24"/>
                <w:highlight w:val="none"/>
                <w14:textFill>
                  <w14:solidFill>
                    <w14:schemeClr w14:val="tx1"/>
                  </w14:solidFill>
                </w14:textFill>
              </w:rPr>
              <w:t>/d。其主要污染物为COD、BOD</w:t>
            </w:r>
            <w:r>
              <w:rPr>
                <w:rFonts w:hint="eastAsia" w:ascii="Times New Roman" w:hAnsi="Times New Roman" w:cs="宋体"/>
                <w:color w:val="000000" w:themeColor="text1"/>
                <w:szCs w:val="24"/>
                <w:highlight w:val="none"/>
                <w:vertAlign w:val="subscript"/>
                <w14:textFill>
                  <w14:solidFill>
                    <w14:schemeClr w14:val="tx1"/>
                  </w14:solidFill>
                </w14:textFill>
              </w:rPr>
              <w:t>5</w:t>
            </w:r>
            <w:r>
              <w:rPr>
                <w:rFonts w:hint="eastAsia" w:ascii="Times New Roman" w:hAnsi="Times New Roman" w:cs="宋体"/>
                <w:color w:val="000000" w:themeColor="text1"/>
                <w:szCs w:val="24"/>
                <w:highlight w:val="none"/>
                <w14:textFill>
                  <w14:solidFill>
                    <w14:schemeClr w14:val="tx1"/>
                  </w14:solidFill>
                </w14:textFill>
              </w:rPr>
              <w:t>、SS、氨氮等，各污染物浓度约550mg/L、350mg/L、450mg/L、50mg/L。</w:t>
            </w:r>
          </w:p>
          <w:p w14:paraId="339E5D6F">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项目运营期生活污水依坤坤农业公司已建成生化池预处理达《污水综合排放标准》（GB 8978-1996）三级标准后排入园区市政污水管网，进入西彭污水处理厂深度处理达标后排放，最终汇入长江。</w:t>
            </w:r>
          </w:p>
          <w:p w14:paraId="5D7336C7">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项目废水污染物产生、排放情况见下表：</w:t>
            </w:r>
          </w:p>
          <w:p w14:paraId="280946C3">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表4-1</w:t>
            </w:r>
            <w:r>
              <w:rPr>
                <w:rFonts w:hint="eastAsia" w:ascii="Times New Roman" w:hAnsi="Times New Roman" w:eastAsia="宋体" w:cs="Times New Roman"/>
                <w:color w:val="000000" w:themeColor="text1"/>
                <w:szCs w:val="24"/>
                <w:highlight w:val="none"/>
                <w14:textFill>
                  <w14:solidFill>
                    <w14:schemeClr w14:val="tx1"/>
                  </w14:solidFill>
                </w14:textFill>
              </w:rPr>
              <w:t>4</w:t>
            </w:r>
            <w:r>
              <w:rPr>
                <w:rFonts w:ascii="Times New Roman" w:hAnsi="Times New Roman" w:eastAsia="宋体" w:cs="Times New Roman"/>
                <w:color w:val="000000" w:themeColor="text1"/>
                <w:szCs w:val="24"/>
                <w:highlight w:val="none"/>
                <w14:textFill>
                  <w14:solidFill>
                    <w14:schemeClr w14:val="tx1"/>
                  </w14:solidFill>
                </w14:textFill>
              </w:rPr>
              <w:t xml:space="preserve">  项目废水污染物产生、排放情况汇总表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56"/>
              <w:gridCol w:w="926"/>
              <w:gridCol w:w="1041"/>
              <w:gridCol w:w="1043"/>
              <w:gridCol w:w="1041"/>
              <w:gridCol w:w="1043"/>
              <w:gridCol w:w="1041"/>
              <w:gridCol w:w="1048"/>
            </w:tblGrid>
            <w:tr w14:paraId="1A00D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restart"/>
                  <w:tcBorders>
                    <w:tl2br w:val="nil"/>
                    <w:tr2bl w:val="nil"/>
                  </w:tcBorders>
                  <w:vAlign w:val="center"/>
                </w:tcPr>
                <w:p w14:paraId="06EC71D9">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废水产生量</w:t>
                  </w:r>
                </w:p>
              </w:tc>
              <w:tc>
                <w:tcPr>
                  <w:tcW w:w="549" w:type="pct"/>
                  <w:vMerge w:val="restart"/>
                  <w:tcBorders>
                    <w:tl2br w:val="nil"/>
                    <w:tr2bl w:val="nil"/>
                  </w:tcBorders>
                  <w:vAlign w:val="center"/>
                </w:tcPr>
                <w:p w14:paraId="37D83E7D">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污染物</w:t>
                  </w:r>
                </w:p>
              </w:tc>
              <w:tc>
                <w:tcPr>
                  <w:tcW w:w="1235" w:type="pct"/>
                  <w:gridSpan w:val="2"/>
                  <w:tcBorders>
                    <w:tl2br w:val="nil"/>
                    <w:tr2bl w:val="nil"/>
                  </w:tcBorders>
                  <w:vAlign w:val="center"/>
                </w:tcPr>
                <w:p w14:paraId="7DE22523">
                  <w:pPr>
                    <w:pStyle w:val="21"/>
                    <w:spacing w:before="62" w:beforeLines="20" w:beforeAutospacing="0" w:after="62" w:afterLines="20"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产生情况</w:t>
                  </w:r>
                </w:p>
              </w:tc>
              <w:tc>
                <w:tcPr>
                  <w:tcW w:w="1235" w:type="pct"/>
                  <w:gridSpan w:val="2"/>
                  <w:tcBorders>
                    <w:tl2br w:val="nil"/>
                    <w:tr2bl w:val="nil"/>
                  </w:tcBorders>
                  <w:vAlign w:val="center"/>
                </w:tcPr>
                <w:p w14:paraId="67B7A6D9">
                  <w:pPr>
                    <w:pStyle w:val="21"/>
                    <w:spacing w:before="62" w:beforeLines="20" w:beforeAutospacing="0" w:after="62" w:afterLines="20"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接管情况</w:t>
                  </w:r>
                </w:p>
              </w:tc>
              <w:tc>
                <w:tcPr>
                  <w:tcW w:w="1237" w:type="pct"/>
                  <w:gridSpan w:val="2"/>
                  <w:tcBorders>
                    <w:tl2br w:val="nil"/>
                    <w:tr2bl w:val="nil"/>
                  </w:tcBorders>
                  <w:vAlign w:val="center"/>
                </w:tcPr>
                <w:p w14:paraId="0B88CBD8">
                  <w:pPr>
                    <w:pStyle w:val="21"/>
                    <w:spacing w:before="62" w:beforeLines="20" w:beforeAutospacing="0" w:after="62" w:afterLines="20"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排入环境情况</w:t>
                  </w:r>
                </w:p>
              </w:tc>
            </w:tr>
            <w:tr w14:paraId="16111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2E5F2E70">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549" w:type="pct"/>
                  <w:vMerge w:val="continue"/>
                  <w:tcBorders>
                    <w:tl2br w:val="nil"/>
                    <w:tr2bl w:val="nil"/>
                  </w:tcBorders>
                  <w:vAlign w:val="center"/>
                </w:tcPr>
                <w:p w14:paraId="14854F50">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617" w:type="pct"/>
                  <w:tcBorders>
                    <w:tl2br w:val="nil"/>
                    <w:tr2bl w:val="nil"/>
                  </w:tcBorders>
                  <w:vAlign w:val="center"/>
                </w:tcPr>
                <w:p w14:paraId="5940749F">
                  <w:pPr>
                    <w:widowControl/>
                    <w:spacing w:line="300" w:lineRule="auto"/>
                    <w:jc w:val="center"/>
                    <w:rPr>
                      <w:rFonts w:ascii="Times New Roman" w:hAnsi="Times New Roman" w:eastAsia="宋体" w:cs="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szCs w:val="21"/>
                      <w:highlight w:val="none"/>
                      <w14:textFill>
                        <w14:solidFill>
                          <w14:schemeClr w14:val="tx1"/>
                        </w14:solidFill>
                      </w14:textFill>
                    </w:rPr>
                    <w:t>浓度</w:t>
                  </w:r>
                </w:p>
                <w:p w14:paraId="18C6D952">
                  <w:pPr>
                    <w:pStyle w:val="21"/>
                    <w:spacing w:before="0" w:beforeAutospacing="0" w:after="0"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（mg/L）</w:t>
                  </w:r>
                </w:p>
              </w:tc>
              <w:tc>
                <w:tcPr>
                  <w:tcW w:w="618" w:type="pct"/>
                  <w:tcBorders>
                    <w:tl2br w:val="nil"/>
                    <w:tr2bl w:val="nil"/>
                  </w:tcBorders>
                  <w:vAlign w:val="center"/>
                </w:tcPr>
                <w:p w14:paraId="1F8BE54D">
                  <w:pPr>
                    <w:widowControl/>
                    <w:spacing w:line="300" w:lineRule="auto"/>
                    <w:jc w:val="center"/>
                    <w:rPr>
                      <w:rFonts w:ascii="Times New Roman" w:hAnsi="Times New Roman" w:eastAsia="宋体" w:cs="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szCs w:val="21"/>
                      <w:highlight w:val="none"/>
                      <w14:textFill>
                        <w14:solidFill>
                          <w14:schemeClr w14:val="tx1"/>
                        </w14:solidFill>
                      </w14:textFill>
                    </w:rPr>
                    <w:t>总量</w:t>
                  </w:r>
                </w:p>
                <w:p w14:paraId="54E86B86">
                  <w:pPr>
                    <w:pStyle w:val="21"/>
                    <w:spacing w:before="0" w:beforeAutospacing="0" w:after="0"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（t/a）</w:t>
                  </w:r>
                </w:p>
              </w:tc>
              <w:tc>
                <w:tcPr>
                  <w:tcW w:w="617" w:type="pct"/>
                  <w:tcBorders>
                    <w:tl2br w:val="nil"/>
                    <w:tr2bl w:val="nil"/>
                  </w:tcBorders>
                  <w:vAlign w:val="center"/>
                </w:tcPr>
                <w:p w14:paraId="7371E87D">
                  <w:pPr>
                    <w:widowControl/>
                    <w:spacing w:line="300" w:lineRule="auto"/>
                    <w:jc w:val="center"/>
                    <w:rPr>
                      <w:rFonts w:ascii="Times New Roman" w:hAnsi="Times New Roman" w:eastAsia="宋体" w:cs="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szCs w:val="21"/>
                      <w:highlight w:val="none"/>
                      <w14:textFill>
                        <w14:solidFill>
                          <w14:schemeClr w14:val="tx1"/>
                        </w14:solidFill>
                      </w14:textFill>
                    </w:rPr>
                    <w:t>浓度</w:t>
                  </w:r>
                </w:p>
                <w:p w14:paraId="73F10A6E">
                  <w:pPr>
                    <w:pStyle w:val="21"/>
                    <w:spacing w:before="0" w:beforeAutospacing="0" w:after="0"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（mg/L）</w:t>
                  </w:r>
                </w:p>
              </w:tc>
              <w:tc>
                <w:tcPr>
                  <w:tcW w:w="618" w:type="pct"/>
                  <w:tcBorders>
                    <w:tl2br w:val="nil"/>
                    <w:tr2bl w:val="nil"/>
                  </w:tcBorders>
                  <w:vAlign w:val="center"/>
                </w:tcPr>
                <w:p w14:paraId="012A0418">
                  <w:pPr>
                    <w:widowControl/>
                    <w:spacing w:line="300" w:lineRule="auto"/>
                    <w:jc w:val="center"/>
                    <w:rPr>
                      <w:rFonts w:ascii="Times New Roman" w:hAnsi="Times New Roman" w:eastAsia="宋体" w:cs="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szCs w:val="21"/>
                      <w:highlight w:val="none"/>
                      <w14:textFill>
                        <w14:solidFill>
                          <w14:schemeClr w14:val="tx1"/>
                        </w14:solidFill>
                      </w14:textFill>
                    </w:rPr>
                    <w:t>总量</w:t>
                  </w:r>
                </w:p>
                <w:p w14:paraId="43EBB003">
                  <w:pPr>
                    <w:pStyle w:val="21"/>
                    <w:spacing w:before="0" w:beforeAutospacing="0" w:after="0"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（t/a）</w:t>
                  </w:r>
                </w:p>
              </w:tc>
              <w:tc>
                <w:tcPr>
                  <w:tcW w:w="617" w:type="pct"/>
                  <w:tcBorders>
                    <w:tl2br w:val="nil"/>
                    <w:tr2bl w:val="nil"/>
                  </w:tcBorders>
                  <w:vAlign w:val="center"/>
                </w:tcPr>
                <w:p w14:paraId="43CC2BC6">
                  <w:pPr>
                    <w:widowControl/>
                    <w:spacing w:line="300" w:lineRule="auto"/>
                    <w:jc w:val="center"/>
                    <w:rPr>
                      <w:rFonts w:ascii="Times New Roman" w:hAnsi="Times New Roman" w:eastAsia="宋体" w:cs="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szCs w:val="21"/>
                      <w:highlight w:val="none"/>
                      <w14:textFill>
                        <w14:solidFill>
                          <w14:schemeClr w14:val="tx1"/>
                        </w14:solidFill>
                      </w14:textFill>
                    </w:rPr>
                    <w:t>浓度</w:t>
                  </w:r>
                </w:p>
                <w:p w14:paraId="0AB81137">
                  <w:pPr>
                    <w:pStyle w:val="21"/>
                    <w:spacing w:before="0" w:beforeAutospacing="0" w:after="0"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（mg/L）</w:t>
                  </w:r>
                </w:p>
              </w:tc>
              <w:tc>
                <w:tcPr>
                  <w:tcW w:w="620" w:type="pct"/>
                  <w:tcBorders>
                    <w:tl2br w:val="nil"/>
                    <w:tr2bl w:val="nil"/>
                  </w:tcBorders>
                  <w:vAlign w:val="center"/>
                </w:tcPr>
                <w:p w14:paraId="52792CFE">
                  <w:pPr>
                    <w:widowControl/>
                    <w:spacing w:before="78" w:beforeLines="25" w:line="300" w:lineRule="auto"/>
                    <w:jc w:val="center"/>
                    <w:rPr>
                      <w:rFonts w:ascii="Times New Roman" w:hAnsi="Times New Roman" w:eastAsia="宋体" w:cs="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szCs w:val="21"/>
                      <w:highlight w:val="none"/>
                      <w14:textFill>
                        <w14:solidFill>
                          <w14:schemeClr w14:val="tx1"/>
                        </w14:solidFill>
                      </w14:textFill>
                    </w:rPr>
                    <w:t>总量</w:t>
                  </w:r>
                </w:p>
                <w:p w14:paraId="0DBFE717">
                  <w:pPr>
                    <w:pStyle w:val="21"/>
                    <w:spacing w:before="0"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（t/a）</w:t>
                  </w:r>
                </w:p>
              </w:tc>
            </w:tr>
            <w:tr w14:paraId="0B86E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restart"/>
                  <w:tcBorders>
                    <w:tl2br w:val="nil"/>
                    <w:tr2bl w:val="nil"/>
                  </w:tcBorders>
                  <w:vAlign w:val="center"/>
                </w:tcPr>
                <w:p w14:paraId="289A0339">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生活污水112.5m</w:t>
                  </w:r>
                  <w:r>
                    <w:rPr>
                      <w:rFonts w:hint="eastAsia" w:ascii="Times New Roman" w:hAnsi="Times New Roman" w:eastAsia="宋体" w:cs="宋体"/>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宋体"/>
                      <w:color w:val="000000" w:themeColor="text1"/>
                      <w:sz w:val="21"/>
                      <w:szCs w:val="21"/>
                      <w:highlight w:val="none"/>
                      <w14:textFill>
                        <w14:solidFill>
                          <w14:schemeClr w14:val="tx1"/>
                        </w14:solidFill>
                      </w14:textFill>
                    </w:rPr>
                    <w:t>/a</w:t>
                  </w:r>
                </w:p>
              </w:tc>
              <w:tc>
                <w:tcPr>
                  <w:tcW w:w="549" w:type="pct"/>
                  <w:tcBorders>
                    <w:tl2br w:val="nil"/>
                    <w:tr2bl w:val="nil"/>
                  </w:tcBorders>
                  <w:vAlign w:val="center"/>
                </w:tcPr>
                <w:p w14:paraId="377A74CE">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COD</w:t>
                  </w:r>
                </w:p>
              </w:tc>
              <w:tc>
                <w:tcPr>
                  <w:tcW w:w="617" w:type="pct"/>
                  <w:tcBorders>
                    <w:tl2br w:val="nil"/>
                    <w:tr2bl w:val="nil"/>
                  </w:tcBorders>
                  <w:vAlign w:val="center"/>
                </w:tcPr>
                <w:p w14:paraId="6FDFC72B">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550</w:t>
                  </w:r>
                </w:p>
              </w:tc>
              <w:tc>
                <w:tcPr>
                  <w:tcW w:w="1045" w:type="dxa"/>
                  <w:tcBorders>
                    <w:tl2br w:val="nil"/>
                    <w:tr2bl w:val="nil"/>
                  </w:tcBorders>
                  <w:vAlign w:val="bottom"/>
                </w:tcPr>
                <w:p w14:paraId="76E8AFA2">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0.062</w:t>
                  </w:r>
                </w:p>
              </w:tc>
              <w:tc>
                <w:tcPr>
                  <w:tcW w:w="617" w:type="pct"/>
                  <w:tcBorders>
                    <w:tl2br w:val="nil"/>
                    <w:tr2bl w:val="nil"/>
                  </w:tcBorders>
                  <w:vAlign w:val="center"/>
                </w:tcPr>
                <w:p w14:paraId="57A6D329">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500</w:t>
                  </w:r>
                </w:p>
              </w:tc>
              <w:tc>
                <w:tcPr>
                  <w:tcW w:w="1045" w:type="dxa"/>
                  <w:tcBorders>
                    <w:tl2br w:val="nil"/>
                    <w:tr2bl w:val="nil"/>
                  </w:tcBorders>
                  <w:vAlign w:val="bottom"/>
                </w:tcPr>
                <w:p w14:paraId="35FFA8BB">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0.05</w:t>
                  </w:r>
                  <w:r>
                    <w:rPr>
                      <w:rFonts w:hint="eastAsia" w:ascii="Times New Roman" w:hAnsi="Times New Roman" w:eastAsia="宋体" w:cs="宋体"/>
                      <w:color w:val="000000" w:themeColor="text1"/>
                      <w:sz w:val="21"/>
                      <w:szCs w:val="21"/>
                      <w:highlight w:val="none"/>
                      <w14:textFill>
                        <w14:solidFill>
                          <w14:schemeClr w14:val="tx1"/>
                        </w14:solidFill>
                      </w14:textFill>
                    </w:rPr>
                    <w:t>6</w:t>
                  </w:r>
                </w:p>
              </w:tc>
              <w:tc>
                <w:tcPr>
                  <w:tcW w:w="617" w:type="pct"/>
                  <w:tcBorders>
                    <w:tl2br w:val="nil"/>
                    <w:tr2bl w:val="nil"/>
                  </w:tcBorders>
                  <w:vAlign w:val="center"/>
                </w:tcPr>
                <w:p w14:paraId="2BF8E9CC">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100</w:t>
                  </w:r>
                </w:p>
              </w:tc>
              <w:tc>
                <w:tcPr>
                  <w:tcW w:w="620" w:type="pct"/>
                  <w:tcBorders>
                    <w:tl2br w:val="nil"/>
                    <w:tr2bl w:val="nil"/>
                  </w:tcBorders>
                  <w:vAlign w:val="center"/>
                </w:tcPr>
                <w:p w14:paraId="072E051D">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0.011</w:t>
                  </w:r>
                </w:p>
              </w:tc>
            </w:tr>
            <w:tr w14:paraId="1C35F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505AE7F1">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549" w:type="pct"/>
                  <w:tcBorders>
                    <w:tl2br w:val="nil"/>
                    <w:tr2bl w:val="nil"/>
                  </w:tcBorders>
                  <w:vAlign w:val="center"/>
                </w:tcPr>
                <w:p w14:paraId="4A80E84F">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BOD</w:t>
                  </w:r>
                  <w:r>
                    <w:rPr>
                      <w:rFonts w:hint="eastAsia" w:ascii="Times New Roman" w:hAnsi="Times New Roman" w:eastAsia="宋体" w:cs="宋体"/>
                      <w:color w:val="000000" w:themeColor="text1"/>
                      <w:szCs w:val="21"/>
                      <w:highlight w:val="none"/>
                      <w:vertAlign w:val="subscript"/>
                      <w14:textFill>
                        <w14:solidFill>
                          <w14:schemeClr w14:val="tx1"/>
                        </w14:solidFill>
                      </w14:textFill>
                    </w:rPr>
                    <w:t>5</w:t>
                  </w:r>
                </w:p>
              </w:tc>
              <w:tc>
                <w:tcPr>
                  <w:tcW w:w="617" w:type="pct"/>
                  <w:tcBorders>
                    <w:tl2br w:val="nil"/>
                    <w:tr2bl w:val="nil"/>
                  </w:tcBorders>
                  <w:vAlign w:val="center"/>
                </w:tcPr>
                <w:p w14:paraId="4E5CFDC8">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350</w:t>
                  </w:r>
                </w:p>
              </w:tc>
              <w:tc>
                <w:tcPr>
                  <w:tcW w:w="1045" w:type="dxa"/>
                  <w:tcBorders>
                    <w:tl2br w:val="nil"/>
                    <w:tr2bl w:val="nil"/>
                  </w:tcBorders>
                  <w:vAlign w:val="bottom"/>
                </w:tcPr>
                <w:p w14:paraId="6080CEC0">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0.039</w:t>
                  </w:r>
                </w:p>
              </w:tc>
              <w:tc>
                <w:tcPr>
                  <w:tcW w:w="617" w:type="pct"/>
                  <w:tcBorders>
                    <w:tl2br w:val="nil"/>
                    <w:tr2bl w:val="nil"/>
                  </w:tcBorders>
                  <w:vAlign w:val="center"/>
                </w:tcPr>
                <w:p w14:paraId="48888792">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300</w:t>
                  </w:r>
                </w:p>
              </w:tc>
              <w:tc>
                <w:tcPr>
                  <w:tcW w:w="1045" w:type="dxa"/>
                  <w:tcBorders>
                    <w:tl2br w:val="nil"/>
                    <w:tr2bl w:val="nil"/>
                  </w:tcBorders>
                  <w:vAlign w:val="bottom"/>
                </w:tcPr>
                <w:p w14:paraId="38C5D47D">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0.03</w:t>
                  </w:r>
                  <w:r>
                    <w:rPr>
                      <w:rFonts w:hint="eastAsia" w:ascii="Times New Roman" w:hAnsi="Times New Roman" w:eastAsia="宋体" w:cs="宋体"/>
                      <w:color w:val="000000" w:themeColor="text1"/>
                      <w:sz w:val="21"/>
                      <w:szCs w:val="21"/>
                      <w:highlight w:val="none"/>
                      <w14:textFill>
                        <w14:solidFill>
                          <w14:schemeClr w14:val="tx1"/>
                        </w14:solidFill>
                      </w14:textFill>
                    </w:rPr>
                    <w:t>4</w:t>
                  </w:r>
                </w:p>
              </w:tc>
              <w:tc>
                <w:tcPr>
                  <w:tcW w:w="617" w:type="pct"/>
                  <w:tcBorders>
                    <w:tl2br w:val="nil"/>
                    <w:tr2bl w:val="nil"/>
                  </w:tcBorders>
                  <w:vAlign w:val="center"/>
                </w:tcPr>
                <w:p w14:paraId="1875A132">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30</w:t>
                  </w:r>
                </w:p>
              </w:tc>
              <w:tc>
                <w:tcPr>
                  <w:tcW w:w="620" w:type="pct"/>
                  <w:tcBorders>
                    <w:tl2br w:val="nil"/>
                    <w:tr2bl w:val="nil"/>
                  </w:tcBorders>
                  <w:vAlign w:val="center"/>
                </w:tcPr>
                <w:p w14:paraId="73B5B036">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0.003</w:t>
                  </w:r>
                </w:p>
              </w:tc>
            </w:tr>
            <w:tr w14:paraId="4C470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5D8C6F6B">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549" w:type="pct"/>
                  <w:tcBorders>
                    <w:tl2br w:val="nil"/>
                    <w:tr2bl w:val="nil"/>
                  </w:tcBorders>
                  <w:vAlign w:val="center"/>
                </w:tcPr>
                <w:p w14:paraId="6F9B38EE">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SS</w:t>
                  </w:r>
                </w:p>
              </w:tc>
              <w:tc>
                <w:tcPr>
                  <w:tcW w:w="617" w:type="pct"/>
                  <w:tcBorders>
                    <w:tl2br w:val="nil"/>
                    <w:tr2bl w:val="nil"/>
                  </w:tcBorders>
                  <w:vAlign w:val="center"/>
                </w:tcPr>
                <w:p w14:paraId="30E3F33B">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450</w:t>
                  </w:r>
                </w:p>
              </w:tc>
              <w:tc>
                <w:tcPr>
                  <w:tcW w:w="1045" w:type="dxa"/>
                  <w:tcBorders>
                    <w:tl2br w:val="nil"/>
                    <w:tr2bl w:val="nil"/>
                  </w:tcBorders>
                  <w:vAlign w:val="bottom"/>
                </w:tcPr>
                <w:p w14:paraId="33F6E026">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0.051</w:t>
                  </w:r>
                </w:p>
              </w:tc>
              <w:tc>
                <w:tcPr>
                  <w:tcW w:w="617" w:type="pct"/>
                  <w:tcBorders>
                    <w:tl2br w:val="nil"/>
                    <w:tr2bl w:val="nil"/>
                  </w:tcBorders>
                  <w:vAlign w:val="center"/>
                </w:tcPr>
                <w:p w14:paraId="2101D0BF">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400</w:t>
                  </w:r>
                </w:p>
              </w:tc>
              <w:tc>
                <w:tcPr>
                  <w:tcW w:w="1045" w:type="dxa"/>
                  <w:tcBorders>
                    <w:tl2br w:val="nil"/>
                    <w:tr2bl w:val="nil"/>
                  </w:tcBorders>
                  <w:vAlign w:val="bottom"/>
                </w:tcPr>
                <w:p w14:paraId="5DB1F90A">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0.04</w:t>
                  </w:r>
                  <w:r>
                    <w:rPr>
                      <w:rFonts w:hint="eastAsia" w:ascii="Times New Roman" w:hAnsi="Times New Roman" w:eastAsia="宋体" w:cs="宋体"/>
                      <w:color w:val="000000" w:themeColor="text1"/>
                      <w:sz w:val="21"/>
                      <w:szCs w:val="21"/>
                      <w:highlight w:val="none"/>
                      <w14:textFill>
                        <w14:solidFill>
                          <w14:schemeClr w14:val="tx1"/>
                        </w14:solidFill>
                      </w14:textFill>
                    </w:rPr>
                    <w:t>5</w:t>
                  </w:r>
                </w:p>
              </w:tc>
              <w:tc>
                <w:tcPr>
                  <w:tcW w:w="617" w:type="pct"/>
                  <w:tcBorders>
                    <w:tl2br w:val="nil"/>
                    <w:tr2bl w:val="nil"/>
                  </w:tcBorders>
                  <w:vAlign w:val="center"/>
                </w:tcPr>
                <w:p w14:paraId="0FABE3AE">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70</w:t>
                  </w:r>
                </w:p>
              </w:tc>
              <w:tc>
                <w:tcPr>
                  <w:tcW w:w="620" w:type="pct"/>
                  <w:tcBorders>
                    <w:tl2br w:val="nil"/>
                    <w:tr2bl w:val="nil"/>
                  </w:tcBorders>
                  <w:vAlign w:val="center"/>
                </w:tcPr>
                <w:p w14:paraId="504A4507">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0.008</w:t>
                  </w:r>
                </w:p>
              </w:tc>
            </w:tr>
            <w:tr w14:paraId="35CCB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43" w:type="pct"/>
                  <w:vMerge w:val="continue"/>
                  <w:tcBorders>
                    <w:tl2br w:val="nil"/>
                    <w:tr2bl w:val="nil"/>
                  </w:tcBorders>
                  <w:vAlign w:val="center"/>
                </w:tcPr>
                <w:p w14:paraId="5CEE7558">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p>
              </w:tc>
              <w:tc>
                <w:tcPr>
                  <w:tcW w:w="549" w:type="pct"/>
                  <w:tcBorders>
                    <w:tl2br w:val="nil"/>
                    <w:tr2bl w:val="nil"/>
                  </w:tcBorders>
                  <w:vAlign w:val="center"/>
                </w:tcPr>
                <w:p w14:paraId="4318A3E9">
                  <w:pPr>
                    <w:widowControl/>
                    <w:spacing w:before="78" w:beforeLines="25" w:after="78" w:afterLines="25"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氨氮</w:t>
                  </w:r>
                </w:p>
              </w:tc>
              <w:tc>
                <w:tcPr>
                  <w:tcW w:w="617" w:type="pct"/>
                  <w:tcBorders>
                    <w:tl2br w:val="nil"/>
                    <w:tr2bl w:val="nil"/>
                  </w:tcBorders>
                  <w:vAlign w:val="center"/>
                </w:tcPr>
                <w:p w14:paraId="2354ED8D">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50</w:t>
                  </w:r>
                </w:p>
              </w:tc>
              <w:tc>
                <w:tcPr>
                  <w:tcW w:w="1045" w:type="dxa"/>
                  <w:tcBorders>
                    <w:tl2br w:val="nil"/>
                    <w:tr2bl w:val="nil"/>
                  </w:tcBorders>
                  <w:vAlign w:val="bottom"/>
                </w:tcPr>
                <w:p w14:paraId="0C29EDC7">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0.006</w:t>
                  </w:r>
                </w:p>
              </w:tc>
              <w:tc>
                <w:tcPr>
                  <w:tcW w:w="617" w:type="pct"/>
                  <w:tcBorders>
                    <w:tl2br w:val="nil"/>
                    <w:tr2bl w:val="nil"/>
                  </w:tcBorders>
                  <w:vAlign w:val="center"/>
                </w:tcPr>
                <w:p w14:paraId="3F939D92">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45</w:t>
                  </w:r>
                </w:p>
              </w:tc>
              <w:tc>
                <w:tcPr>
                  <w:tcW w:w="1045" w:type="dxa"/>
                  <w:tcBorders>
                    <w:tl2br w:val="nil"/>
                    <w:tr2bl w:val="nil"/>
                  </w:tcBorders>
                  <w:vAlign w:val="bottom"/>
                </w:tcPr>
                <w:p w14:paraId="1D10BF4F">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0.005</w:t>
                  </w:r>
                </w:p>
              </w:tc>
              <w:tc>
                <w:tcPr>
                  <w:tcW w:w="617" w:type="pct"/>
                  <w:tcBorders>
                    <w:tl2br w:val="nil"/>
                    <w:tr2bl w:val="nil"/>
                  </w:tcBorders>
                  <w:vAlign w:val="center"/>
                </w:tcPr>
                <w:p w14:paraId="2688084D">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15</w:t>
                  </w:r>
                </w:p>
              </w:tc>
              <w:tc>
                <w:tcPr>
                  <w:tcW w:w="620" w:type="pct"/>
                  <w:tcBorders>
                    <w:tl2br w:val="nil"/>
                    <w:tr2bl w:val="nil"/>
                  </w:tcBorders>
                  <w:vAlign w:val="center"/>
                </w:tcPr>
                <w:p w14:paraId="4BB33A34">
                  <w:pPr>
                    <w:pStyle w:val="21"/>
                    <w:spacing w:before="78" w:beforeLines="25" w:beforeAutospacing="0" w:after="78" w:afterLines="25" w:afterAutospacing="0" w:line="30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0.002</w:t>
                  </w:r>
                </w:p>
              </w:tc>
            </w:tr>
            <w:tr w14:paraId="194A9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8"/>
                  <w:tcBorders>
                    <w:tl2br w:val="nil"/>
                    <w:tr2bl w:val="nil"/>
                  </w:tcBorders>
                  <w:vAlign w:val="center"/>
                </w:tcPr>
                <w:p w14:paraId="0A206EE2">
                  <w:pPr>
                    <w:pStyle w:val="21"/>
                    <w:spacing w:before="78" w:beforeLines="25" w:beforeAutospacing="0" w:after="78" w:afterLines="25" w:afterAutospacing="0" w:line="300" w:lineRule="auto"/>
                    <w:jc w:val="both"/>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注</w:t>
                  </w:r>
                  <w:r>
                    <w:rPr>
                      <w:rFonts w:hint="eastAsia" w:ascii="Times New Roman" w:hAnsi="Times New Roman" w:eastAsia="宋体" w:cs="宋体"/>
                      <w:color w:val="000000" w:themeColor="text1"/>
                      <w:sz w:val="21"/>
                      <w:szCs w:val="21"/>
                      <w:highlight w:val="none"/>
                      <w14:textFill>
                        <w14:solidFill>
                          <w14:schemeClr w14:val="tx1"/>
                        </w14:solidFill>
                      </w14:textFill>
                    </w:rPr>
                    <w:t>：项目生活污水中污染物执行《污水综合排放标准》（GB8978-1996）三级标准，COD 500mg/L、BOD</w:t>
                  </w:r>
                  <w:r>
                    <w:rPr>
                      <w:rFonts w:hint="eastAsia" w:ascii="Times New Roman" w:hAnsi="Times New Roman" w:eastAsia="宋体" w:cs="宋体"/>
                      <w:color w:val="000000" w:themeColor="text1"/>
                      <w:sz w:val="21"/>
                      <w:szCs w:val="21"/>
                      <w:highlight w:val="none"/>
                      <w:vertAlign w:val="subscript"/>
                      <w14:textFill>
                        <w14:solidFill>
                          <w14:schemeClr w14:val="tx1"/>
                        </w14:solidFill>
                      </w14:textFill>
                    </w:rPr>
                    <w:t>5</w:t>
                  </w:r>
                  <w:r>
                    <w:rPr>
                      <w:rFonts w:hint="eastAsia" w:ascii="Times New Roman" w:hAnsi="Times New Roman" w:eastAsia="宋体" w:cs="宋体"/>
                      <w:color w:val="000000" w:themeColor="text1"/>
                      <w:sz w:val="21"/>
                      <w:szCs w:val="21"/>
                      <w:highlight w:val="none"/>
                      <w14:textFill>
                        <w14:solidFill>
                          <w14:schemeClr w14:val="tx1"/>
                        </w14:solidFill>
                      </w14:textFill>
                    </w:rPr>
                    <w:t>300mg/L、SS400mg/L，氨氮参照执行《污水排入城镇下水道水质标准》（GB/T 31962-2015），限值为45mg/L。</w:t>
                  </w:r>
                </w:p>
              </w:tc>
            </w:tr>
          </w:tbl>
          <w:p w14:paraId="5D902FCB">
            <w:pPr>
              <w:spacing w:before="31" w:beforeLines="10" w:after="31" w:afterLines="10" w:line="360"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2）污染防治措施可行性分析</w:t>
            </w:r>
          </w:p>
          <w:p w14:paraId="7F86798D">
            <w:pPr>
              <w:pStyle w:val="21"/>
              <w:spacing w:before="31" w:beforeLines="10" w:beforeAutospacing="0" w:after="31" w:afterLines="10" w:afterAutospacing="0" w:line="360" w:lineRule="auto"/>
              <w:ind w:firstLine="482"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b/>
                <w:bCs/>
                <w:color w:val="000000" w:themeColor="text1"/>
                <w:szCs w:val="24"/>
                <w:highlight w:val="none"/>
                <w14:textFill>
                  <w14:solidFill>
                    <w14:schemeClr w14:val="tx1"/>
                  </w14:solidFill>
                </w14:textFill>
              </w:rPr>
              <w:t xml:space="preserve">① </w:t>
            </w:r>
            <w:r>
              <w:rPr>
                <w:rFonts w:hint="eastAsia" w:ascii="Times New Roman" w:hAnsi="Times New Roman" w:cs="宋体"/>
                <w:color w:val="000000" w:themeColor="text1"/>
                <w:szCs w:val="24"/>
                <w:highlight w:val="none"/>
                <w:u w:val="single"/>
                <w14:textFill>
                  <w14:solidFill>
                    <w14:schemeClr w14:val="tx1"/>
                  </w14:solidFill>
                </w14:textFill>
              </w:rPr>
              <w:t>生化池依托可行性</w:t>
            </w:r>
            <w:r>
              <w:rPr>
                <w:rFonts w:hint="eastAsia" w:ascii="Times New Roman" w:hAnsi="Times New Roman" w:cs="宋体"/>
                <w:color w:val="000000" w:themeColor="text1"/>
                <w:szCs w:val="24"/>
                <w:highlight w:val="none"/>
                <w14:textFill>
                  <w14:solidFill>
                    <w14:schemeClr w14:val="tx1"/>
                  </w14:solidFill>
                </w14:textFill>
              </w:rPr>
              <w:t>：</w:t>
            </w:r>
          </w:p>
          <w:p w14:paraId="64F20B42">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坤坤农业有限公司生化池处理能力20m</w:t>
            </w:r>
            <w:r>
              <w:rPr>
                <w:rFonts w:hint="eastAsia" w:ascii="Times New Roman" w:hAnsi="Times New Roman" w:cs="宋体"/>
                <w:color w:val="000000" w:themeColor="text1"/>
                <w:szCs w:val="24"/>
                <w:highlight w:val="none"/>
                <w:vertAlign w:val="superscript"/>
                <w14:textFill>
                  <w14:solidFill>
                    <w14:schemeClr w14:val="tx1"/>
                  </w14:solidFill>
                </w14:textFill>
              </w:rPr>
              <w:t>3</w:t>
            </w:r>
            <w:r>
              <w:rPr>
                <w:rFonts w:hint="eastAsia" w:ascii="Times New Roman" w:hAnsi="Times New Roman" w:cs="宋体"/>
                <w:color w:val="000000" w:themeColor="text1"/>
                <w:szCs w:val="24"/>
                <w:highlight w:val="none"/>
                <w14:textFill>
                  <w14:solidFill>
                    <w14:schemeClr w14:val="tx1"/>
                  </w14:solidFill>
                </w14:textFill>
              </w:rPr>
              <w:t>/d，生化池目前运行正常。项目运营期生活污水排放量0.45m</w:t>
            </w:r>
            <w:r>
              <w:rPr>
                <w:rFonts w:hint="eastAsia" w:ascii="Times New Roman" w:hAnsi="Times New Roman" w:cs="宋体"/>
                <w:color w:val="000000" w:themeColor="text1"/>
                <w:szCs w:val="24"/>
                <w:highlight w:val="none"/>
                <w:vertAlign w:val="superscript"/>
                <w14:textFill>
                  <w14:solidFill>
                    <w14:schemeClr w14:val="tx1"/>
                  </w14:solidFill>
                </w14:textFill>
              </w:rPr>
              <w:t>3</w:t>
            </w:r>
            <w:r>
              <w:rPr>
                <w:rFonts w:hint="eastAsia" w:ascii="Times New Roman" w:hAnsi="Times New Roman" w:cs="宋体"/>
                <w:color w:val="000000" w:themeColor="text1"/>
                <w:szCs w:val="24"/>
                <w:highlight w:val="none"/>
                <w14:textFill>
                  <w14:solidFill>
                    <w14:schemeClr w14:val="tx1"/>
                  </w14:solidFill>
                </w14:textFill>
              </w:rPr>
              <w:t>/d；目前坤坤农业公司生化池富余处理能力约7.5m</w:t>
            </w:r>
            <w:r>
              <w:rPr>
                <w:rFonts w:hint="eastAsia" w:ascii="Times New Roman" w:hAnsi="Times New Roman" w:cs="宋体"/>
                <w:color w:val="000000" w:themeColor="text1"/>
                <w:szCs w:val="24"/>
                <w:highlight w:val="none"/>
                <w:vertAlign w:val="superscript"/>
                <w14:textFill>
                  <w14:solidFill>
                    <w14:schemeClr w14:val="tx1"/>
                  </w14:solidFill>
                </w14:textFill>
              </w:rPr>
              <w:t>3</w:t>
            </w:r>
            <w:r>
              <w:rPr>
                <w:rFonts w:hint="eastAsia" w:ascii="Times New Roman" w:hAnsi="Times New Roman" w:cs="宋体"/>
                <w:color w:val="000000" w:themeColor="text1"/>
                <w:szCs w:val="24"/>
                <w:highlight w:val="none"/>
                <w14:textFill>
                  <w14:solidFill>
                    <w14:schemeClr w14:val="tx1"/>
                  </w14:solidFill>
                </w14:textFill>
              </w:rPr>
              <w:t>/d，从处理能力角度可满足本项目生活污水处理需求；项目生活污水水质简单。参考《排污许可证申请与核发技术规范 汽车制造业》（HJ971-2018），生活污水采取治理措施属可行技术，依托可行。</w:t>
            </w:r>
          </w:p>
          <w:p w14:paraId="34A6D8B1">
            <w:pPr>
              <w:spacing w:before="31" w:beforeLines="10" w:after="31" w:afterLines="10" w:line="360" w:lineRule="auto"/>
              <w:ind w:firstLine="482"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 xml:space="preserve">② </w:t>
            </w:r>
            <w:r>
              <w:rPr>
                <w:rFonts w:hint="eastAsia" w:ascii="Times New Roman" w:hAnsi="Times New Roman"/>
                <w:color w:val="000000" w:themeColor="text1"/>
                <w:sz w:val="24"/>
                <w:highlight w:val="none"/>
                <w:u w:val="single"/>
                <w14:textFill>
                  <w14:solidFill>
                    <w14:schemeClr w14:val="tx1"/>
                  </w14:solidFill>
                </w14:textFill>
              </w:rPr>
              <w:t>西彭工业园区工业污水处理厂可行性</w:t>
            </w:r>
            <w:r>
              <w:rPr>
                <w:rFonts w:hint="eastAsia" w:ascii="Times New Roman" w:hAnsi="Times New Roman"/>
                <w:color w:val="000000" w:themeColor="text1"/>
                <w:sz w:val="24"/>
                <w:highlight w:val="none"/>
                <w14:textFill>
                  <w14:solidFill>
                    <w14:schemeClr w14:val="tx1"/>
                  </w14:solidFill>
                </w14:textFill>
              </w:rPr>
              <w:t>：</w:t>
            </w:r>
          </w:p>
          <w:p w14:paraId="7FD3BF7C">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重庆市九龙坡区西彭工业园区工业污水处理厂位于西彭工业园区A64-3/01 地块，占地面积3490m</w:t>
            </w:r>
            <w:r>
              <w:rPr>
                <w:rFonts w:hint="eastAsia" w:ascii="Times New Roman" w:hAnsi="Times New Roman" w:cs="宋体"/>
                <w:color w:val="000000" w:themeColor="text1"/>
                <w:szCs w:val="24"/>
                <w:highlight w:val="none"/>
                <w:vertAlign w:val="superscript"/>
                <w14:textFill>
                  <w14:solidFill>
                    <w14:schemeClr w14:val="tx1"/>
                  </w14:solidFill>
                </w14:textFill>
              </w:rPr>
              <w:t>2</w:t>
            </w:r>
            <w:r>
              <w:rPr>
                <w:rFonts w:hint="eastAsia" w:ascii="Times New Roman" w:hAnsi="Times New Roman" w:cs="宋体"/>
                <w:color w:val="000000" w:themeColor="text1"/>
                <w:szCs w:val="24"/>
                <w:highlight w:val="none"/>
                <w14:textFill>
                  <w14:solidFill>
                    <w14:schemeClr w14:val="tx1"/>
                  </w14:solidFill>
                </w14:textFill>
              </w:rPr>
              <w:t>，设计处理规模5000 m</w:t>
            </w:r>
            <w:r>
              <w:rPr>
                <w:rFonts w:hint="eastAsia" w:ascii="Times New Roman" w:hAnsi="Times New Roman" w:cs="宋体"/>
                <w:color w:val="000000" w:themeColor="text1"/>
                <w:szCs w:val="24"/>
                <w:highlight w:val="none"/>
                <w:vertAlign w:val="superscript"/>
                <w14:textFill>
                  <w14:solidFill>
                    <w14:schemeClr w14:val="tx1"/>
                  </w14:solidFill>
                </w14:textFill>
              </w:rPr>
              <w:t>3</w:t>
            </w:r>
            <w:r>
              <w:rPr>
                <w:rFonts w:hint="eastAsia" w:ascii="Times New Roman" w:hAnsi="Times New Roman" w:cs="宋体"/>
                <w:color w:val="000000" w:themeColor="text1"/>
                <w:szCs w:val="24"/>
                <w:highlight w:val="none"/>
                <w14:textFill>
                  <w14:solidFill>
                    <w14:schemeClr w14:val="tx1"/>
                  </w14:solidFill>
                </w14:textFill>
              </w:rPr>
              <w:t>/d。污水处理厂于2014年9月通过验收，目前运行正常。总服务面积约6.87 km</w:t>
            </w:r>
            <w:r>
              <w:rPr>
                <w:rFonts w:hint="eastAsia" w:ascii="Times New Roman" w:hAnsi="Times New Roman" w:cs="宋体"/>
                <w:color w:val="000000" w:themeColor="text1"/>
                <w:szCs w:val="24"/>
                <w:highlight w:val="none"/>
                <w:vertAlign w:val="superscript"/>
                <w14:textFill>
                  <w14:solidFill>
                    <w14:schemeClr w14:val="tx1"/>
                  </w14:solidFill>
                </w14:textFill>
              </w:rPr>
              <w:t>2</w:t>
            </w:r>
            <w:r>
              <w:rPr>
                <w:rFonts w:hint="eastAsia" w:ascii="Times New Roman" w:hAnsi="Times New Roman" w:cs="宋体"/>
                <w:color w:val="000000" w:themeColor="text1"/>
                <w:szCs w:val="24"/>
                <w:highlight w:val="none"/>
                <w14:textFill>
                  <w14:solidFill>
                    <w14:schemeClr w14:val="tx1"/>
                  </w14:solidFill>
                </w14:textFill>
              </w:rPr>
              <w:t>，包括A标准分区中的工业区及D标准分区，目前A标准分区规划区内铝城大道以西工业区污水管网部分覆盖，沿铝城大道铺设有污水主干管（管径DN500，长约3.84 km），规划区西北侧未开发区域敷设有临时工业污水管（管径DN 300，长约1.15 km），工业区（除西南铝冷连轧铝板带）污废水均通过市政污水管网接入西彭工业园区工业污水处理厂集中处理。D标准分区内沿西彭北路、三环路、铝城大道等已建成的市政道路敷设有污水管网（管径DN 500，长约7.44km）。污水经处理达标准后排入桥头河，最终汇入长江，近期执行《污水综合排放标准》（GB8978-1996）一级标准，远期执行《城镇污水处理厂污染物排放标准》（GB18918-2002）一级A标准（其中COD、NH</w:t>
            </w:r>
            <w:r>
              <w:rPr>
                <w:rFonts w:hint="eastAsia" w:ascii="Times New Roman" w:hAnsi="Times New Roman" w:cs="宋体"/>
                <w:color w:val="000000" w:themeColor="text1"/>
                <w:szCs w:val="24"/>
                <w:highlight w:val="none"/>
                <w:vertAlign w:val="subscript"/>
                <w14:textFill>
                  <w14:solidFill>
                    <w14:schemeClr w14:val="tx1"/>
                  </w14:solidFill>
                </w14:textFill>
              </w:rPr>
              <w:t>3</w:t>
            </w:r>
            <w:r>
              <w:rPr>
                <w:rFonts w:hint="eastAsia" w:ascii="Times New Roman" w:hAnsi="Times New Roman" w:cs="宋体"/>
                <w:color w:val="000000" w:themeColor="text1"/>
                <w:szCs w:val="24"/>
                <w:highlight w:val="none"/>
                <w14:textFill>
                  <w14:solidFill>
                    <w14:schemeClr w14:val="tx1"/>
                  </w14:solidFill>
                </w14:textFill>
              </w:rPr>
              <w:t>-N执行《地表水环境质量标准》（GB3838-2002）IV类标准）。项目周边片区市政排污干管已建成，能够接入污水处理厂，且项目废水排放量很小，不会对西彭工业园区工业污水处理厂水量、水质造成影响，项目产生的污水排入西彭工业园区工业污水处理厂处理是合理可行的。</w:t>
            </w:r>
          </w:p>
          <w:p w14:paraId="7965F94C">
            <w:pPr>
              <w:pStyle w:val="21"/>
              <w:spacing w:before="0" w:beforeAutospacing="0" w:after="0" w:afterAutospacing="0" w:line="372" w:lineRule="auto"/>
              <w:ind w:firstLine="480" w:firstLineChars="200"/>
              <w:jc w:val="both"/>
              <w:rPr>
                <w:rFonts w:ascii="Times New Roman" w:hAnsi="Times New Roman" w:cs="宋体"/>
                <w:color w:val="000000" w:themeColor="text1"/>
                <w:szCs w:val="24"/>
                <w:highlight w:val="none"/>
                <w14:textFill>
                  <w14:solidFill>
                    <w14:schemeClr w14:val="tx1"/>
                  </w14:solidFill>
                </w14:textFill>
              </w:rPr>
            </w:pPr>
            <w:r>
              <w:rPr>
                <w:rFonts w:hint="eastAsia" w:ascii="Times New Roman" w:hAnsi="Times New Roman" w:cs="宋体"/>
                <w:color w:val="000000" w:themeColor="text1"/>
                <w:szCs w:val="24"/>
                <w:highlight w:val="none"/>
                <w14:textFill>
                  <w14:solidFill>
                    <w14:schemeClr w14:val="tx1"/>
                  </w14:solidFill>
                </w14:textFill>
              </w:rPr>
              <w:t>因此，本项目营运期污水可达标排放，对环境影响小，环境可接受。</w:t>
            </w:r>
          </w:p>
          <w:p w14:paraId="5819BF2F">
            <w:pPr>
              <w:spacing w:before="31" w:beforeLines="10" w:after="31" w:afterLines="10" w:line="360"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3）排放口基本情况</w:t>
            </w:r>
          </w:p>
          <w:p w14:paraId="6EC86189">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本项目运营期无生产废水排放，员工办公生活污水依托</w:t>
            </w:r>
            <w:r>
              <w:rPr>
                <w:rFonts w:hint="eastAsia" w:ascii="Times New Roman" w:hAnsi="Times New Roman" w:cs="宋体"/>
                <w:color w:val="000000" w:themeColor="text1"/>
                <w:sz w:val="24"/>
                <w:highlight w:val="none"/>
                <w14:textFill>
                  <w14:solidFill>
                    <w14:schemeClr w14:val="tx1"/>
                  </w14:solidFill>
                </w14:textFill>
              </w:rPr>
              <w:t>坤坤农业公司</w:t>
            </w:r>
            <w:r>
              <w:rPr>
                <w:rFonts w:hint="eastAsia" w:ascii="Times New Roman" w:hAnsi="Times New Roman" w:eastAsia="宋体"/>
                <w:color w:val="000000" w:themeColor="text1"/>
                <w:sz w:val="24"/>
                <w:highlight w:val="none"/>
                <w14:textFill>
                  <w14:solidFill>
                    <w14:schemeClr w14:val="tx1"/>
                  </w14:solidFill>
                </w14:textFill>
              </w:rPr>
              <w:t>现有生化池处理达标后排入市政污水管网，不新增排放口。</w:t>
            </w:r>
          </w:p>
          <w:p w14:paraId="1852C174">
            <w:pPr>
              <w:spacing w:line="372"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ascii="Times New Roman" w:hAnsi="Times New Roman" w:eastAsia="宋体" w:cs="宋体"/>
                <w:color w:val="000000" w:themeColor="text1"/>
                <w:sz w:val="24"/>
                <w:highlight w:val="none"/>
                <w14:textFill>
                  <w14:solidFill>
                    <w14:schemeClr w14:val="tx1"/>
                  </w14:solidFill>
                </w14:textFill>
              </w:rPr>
              <w:t>废水排放口基本情况</w:t>
            </w:r>
            <w:r>
              <w:rPr>
                <w:rFonts w:hint="eastAsia" w:ascii="Times New Roman" w:hAnsi="Times New Roman" w:eastAsia="宋体" w:cs="宋体"/>
                <w:color w:val="000000" w:themeColor="text1"/>
                <w:sz w:val="24"/>
                <w:highlight w:val="none"/>
                <w14:textFill>
                  <w14:solidFill>
                    <w14:schemeClr w14:val="tx1"/>
                  </w14:solidFill>
                </w14:textFill>
              </w:rPr>
              <w:t>见下</w:t>
            </w:r>
            <w:r>
              <w:rPr>
                <w:rFonts w:ascii="Times New Roman" w:hAnsi="Times New Roman" w:eastAsia="宋体" w:cs="宋体"/>
                <w:color w:val="000000" w:themeColor="text1"/>
                <w:sz w:val="24"/>
                <w:highlight w:val="none"/>
                <w14:textFill>
                  <w14:solidFill>
                    <w14:schemeClr w14:val="tx1"/>
                  </w14:solidFill>
                </w14:textFill>
              </w:rPr>
              <w:t>表</w:t>
            </w:r>
            <w:r>
              <w:rPr>
                <w:rFonts w:hint="eastAsia" w:ascii="Times New Roman" w:hAnsi="Times New Roman" w:eastAsia="宋体" w:cs="宋体"/>
                <w:color w:val="000000" w:themeColor="text1"/>
                <w:sz w:val="24"/>
                <w:highlight w:val="none"/>
                <w14:textFill>
                  <w14:solidFill>
                    <w14:schemeClr w14:val="tx1"/>
                  </w14:solidFill>
                </w14:textFill>
              </w:rPr>
              <w:t>：</w:t>
            </w:r>
          </w:p>
          <w:p w14:paraId="39D43C35">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表4-1</w:t>
            </w:r>
            <w:r>
              <w:rPr>
                <w:rFonts w:hint="eastAsia" w:ascii="Times New Roman" w:hAnsi="Times New Roman" w:eastAsia="宋体" w:cs="Times New Roman"/>
                <w:color w:val="000000" w:themeColor="text1"/>
                <w:szCs w:val="24"/>
                <w:highlight w:val="none"/>
                <w14:textFill>
                  <w14:solidFill>
                    <w14:schemeClr w14:val="tx1"/>
                  </w14:solidFill>
                </w14:textFill>
              </w:rPr>
              <w:t>5</w:t>
            </w:r>
            <w:r>
              <w:rPr>
                <w:rFonts w:ascii="Times New Roman" w:hAnsi="Times New Roman" w:eastAsia="宋体" w:cs="Times New Roman"/>
                <w:color w:val="000000" w:themeColor="text1"/>
                <w:szCs w:val="24"/>
                <w:highlight w:val="none"/>
                <w14:textFill>
                  <w14:solidFill>
                    <w14:schemeClr w14:val="tx1"/>
                  </w14:solidFill>
                </w14:textFill>
              </w:rPr>
              <w:t xml:space="preserve">  项目废水污染物产生、排放情况汇总表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92"/>
              <w:gridCol w:w="1132"/>
              <w:gridCol w:w="1192"/>
              <w:gridCol w:w="1035"/>
              <w:gridCol w:w="1076"/>
              <w:gridCol w:w="1439"/>
              <w:gridCol w:w="1468"/>
            </w:tblGrid>
            <w:tr w14:paraId="1CDB0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48" w:type="pct"/>
                  <w:vMerge w:val="restart"/>
                  <w:tcBorders>
                    <w:tl2br w:val="nil"/>
                    <w:tr2bl w:val="nil"/>
                  </w:tcBorders>
                  <w:vAlign w:val="center"/>
                </w:tcPr>
                <w:p w14:paraId="1E169885">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44"/>
                      <w:szCs w:val="21"/>
                      <w:highlight w:val="none"/>
                      <w:lang w:bidi="ar"/>
                      <w14:textFill>
                        <w14:solidFill>
                          <w14:schemeClr w14:val="tx1"/>
                        </w14:solidFill>
                      </w14:textFill>
                    </w:rPr>
                    <w:t>排放口</w:t>
                  </w:r>
                </w:p>
                <w:p w14:paraId="63E5E2EE">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44"/>
                      <w:szCs w:val="21"/>
                      <w:highlight w:val="none"/>
                      <w:lang w:bidi="ar"/>
                      <w14:textFill>
                        <w14:solidFill>
                          <w14:schemeClr w14:val="tx1"/>
                        </w14:solidFill>
                      </w14:textFill>
                    </w:rPr>
                    <w:t>编号</w:t>
                  </w:r>
                </w:p>
              </w:tc>
              <w:tc>
                <w:tcPr>
                  <w:tcW w:w="671" w:type="pct"/>
                  <w:vMerge w:val="restart"/>
                  <w:tcBorders>
                    <w:tl2br w:val="nil"/>
                    <w:tr2bl w:val="nil"/>
                  </w:tcBorders>
                  <w:vAlign w:val="center"/>
                </w:tcPr>
                <w:p w14:paraId="053FC2A5">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44"/>
                      <w:szCs w:val="21"/>
                      <w:highlight w:val="none"/>
                      <w:lang w:bidi="ar"/>
                      <w14:textFill>
                        <w14:solidFill>
                          <w14:schemeClr w14:val="tx1"/>
                        </w14:solidFill>
                      </w14:textFill>
                    </w:rPr>
                    <w:t>排放口</w:t>
                  </w:r>
                </w:p>
                <w:p w14:paraId="7A1AE2EB">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44"/>
                      <w:szCs w:val="21"/>
                      <w:highlight w:val="none"/>
                      <w:lang w:bidi="ar"/>
                      <w14:textFill>
                        <w14:solidFill>
                          <w14:schemeClr w14:val="tx1"/>
                        </w14:solidFill>
                      </w14:textFill>
                    </w:rPr>
                    <w:t>名称</w:t>
                  </w:r>
                </w:p>
              </w:tc>
              <w:tc>
                <w:tcPr>
                  <w:tcW w:w="1320" w:type="pct"/>
                  <w:gridSpan w:val="2"/>
                  <w:tcBorders>
                    <w:tl2br w:val="nil"/>
                    <w:tr2bl w:val="nil"/>
                  </w:tcBorders>
                  <w:vAlign w:val="center"/>
                </w:tcPr>
                <w:p w14:paraId="74804D4D">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44"/>
                      <w:szCs w:val="21"/>
                      <w:highlight w:val="none"/>
                      <w:lang w:bidi="ar"/>
                      <w14:textFill>
                        <w14:solidFill>
                          <w14:schemeClr w14:val="tx1"/>
                        </w14:solidFill>
                      </w14:textFill>
                    </w:rPr>
                    <w:t>地理坐标</w:t>
                  </w:r>
                </w:p>
              </w:tc>
              <w:tc>
                <w:tcPr>
                  <w:tcW w:w="638" w:type="pct"/>
                  <w:vMerge w:val="restart"/>
                  <w:tcBorders>
                    <w:tl2br w:val="nil"/>
                    <w:tr2bl w:val="nil"/>
                  </w:tcBorders>
                  <w:vAlign w:val="center"/>
                </w:tcPr>
                <w:p w14:paraId="79226D98">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44"/>
                      <w:szCs w:val="21"/>
                      <w:highlight w:val="none"/>
                      <w:lang w:bidi="ar"/>
                      <w14:textFill>
                        <w14:solidFill>
                          <w14:schemeClr w14:val="tx1"/>
                        </w14:solidFill>
                      </w14:textFill>
                    </w:rPr>
                    <w:t>排放方式</w:t>
                  </w:r>
                </w:p>
              </w:tc>
              <w:tc>
                <w:tcPr>
                  <w:tcW w:w="853" w:type="pct"/>
                  <w:vMerge w:val="restart"/>
                  <w:tcBorders>
                    <w:tl2br w:val="nil"/>
                    <w:tr2bl w:val="nil"/>
                  </w:tcBorders>
                  <w:vAlign w:val="center"/>
                </w:tcPr>
                <w:p w14:paraId="38D34C57">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44"/>
                      <w:szCs w:val="21"/>
                      <w:highlight w:val="none"/>
                      <w:lang w:bidi="ar"/>
                      <w14:textFill>
                        <w14:solidFill>
                          <w14:schemeClr w14:val="tx1"/>
                        </w14:solidFill>
                      </w14:textFill>
                    </w:rPr>
                    <w:t>排放去向</w:t>
                  </w:r>
                </w:p>
              </w:tc>
              <w:tc>
                <w:tcPr>
                  <w:tcW w:w="868" w:type="pct"/>
                  <w:vMerge w:val="restart"/>
                  <w:tcBorders>
                    <w:tl2br w:val="nil"/>
                    <w:tr2bl w:val="nil"/>
                  </w:tcBorders>
                  <w:vAlign w:val="center"/>
                </w:tcPr>
                <w:p w14:paraId="1D2483A5">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44"/>
                      <w:szCs w:val="21"/>
                      <w:highlight w:val="none"/>
                      <w:lang w:bidi="ar"/>
                      <w14:textFill>
                        <w14:solidFill>
                          <w14:schemeClr w14:val="tx1"/>
                        </w14:solidFill>
                      </w14:textFill>
                    </w:rPr>
                    <w:t>排放规律</w:t>
                  </w:r>
                </w:p>
              </w:tc>
            </w:tr>
            <w:tr w14:paraId="5E16F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48" w:type="pct"/>
                  <w:vMerge w:val="continue"/>
                  <w:tcBorders>
                    <w:tl2br w:val="nil"/>
                    <w:tr2bl w:val="nil"/>
                  </w:tcBorders>
                  <w:vAlign w:val="center"/>
                </w:tcPr>
                <w:p w14:paraId="1908F143">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p>
              </w:tc>
              <w:tc>
                <w:tcPr>
                  <w:tcW w:w="671" w:type="pct"/>
                  <w:vMerge w:val="continue"/>
                  <w:tcBorders>
                    <w:tl2br w:val="nil"/>
                    <w:tr2bl w:val="nil"/>
                  </w:tcBorders>
                  <w:vAlign w:val="center"/>
                </w:tcPr>
                <w:p w14:paraId="071C542F">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p>
              </w:tc>
              <w:tc>
                <w:tcPr>
                  <w:tcW w:w="706" w:type="pct"/>
                  <w:tcBorders>
                    <w:tl2br w:val="nil"/>
                    <w:tr2bl w:val="nil"/>
                  </w:tcBorders>
                  <w:vAlign w:val="center"/>
                </w:tcPr>
                <w:p w14:paraId="64D6556E">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44"/>
                      <w:szCs w:val="21"/>
                      <w:highlight w:val="none"/>
                      <w:lang w:bidi="ar"/>
                      <w14:textFill>
                        <w14:solidFill>
                          <w14:schemeClr w14:val="tx1"/>
                        </w14:solidFill>
                      </w14:textFill>
                    </w:rPr>
                    <w:t>经度</w:t>
                  </w:r>
                </w:p>
              </w:tc>
              <w:tc>
                <w:tcPr>
                  <w:tcW w:w="614" w:type="pct"/>
                  <w:tcBorders>
                    <w:tl2br w:val="nil"/>
                    <w:tr2bl w:val="nil"/>
                  </w:tcBorders>
                  <w:vAlign w:val="center"/>
                </w:tcPr>
                <w:p w14:paraId="0D984C4F">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44"/>
                      <w:szCs w:val="21"/>
                      <w:highlight w:val="none"/>
                      <w:lang w:bidi="ar"/>
                      <w14:textFill>
                        <w14:solidFill>
                          <w14:schemeClr w14:val="tx1"/>
                        </w14:solidFill>
                      </w14:textFill>
                    </w:rPr>
                    <w:t>纬度</w:t>
                  </w:r>
                </w:p>
              </w:tc>
              <w:tc>
                <w:tcPr>
                  <w:tcW w:w="638" w:type="pct"/>
                  <w:vMerge w:val="continue"/>
                  <w:tcBorders>
                    <w:tl2br w:val="nil"/>
                    <w:tr2bl w:val="nil"/>
                  </w:tcBorders>
                  <w:vAlign w:val="center"/>
                </w:tcPr>
                <w:p w14:paraId="26B42308">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p>
              </w:tc>
              <w:tc>
                <w:tcPr>
                  <w:tcW w:w="853" w:type="pct"/>
                  <w:vMerge w:val="continue"/>
                  <w:tcBorders>
                    <w:tl2br w:val="nil"/>
                    <w:tr2bl w:val="nil"/>
                  </w:tcBorders>
                  <w:vAlign w:val="center"/>
                </w:tcPr>
                <w:p w14:paraId="67B0A373">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p>
              </w:tc>
              <w:tc>
                <w:tcPr>
                  <w:tcW w:w="868" w:type="pct"/>
                  <w:vMerge w:val="continue"/>
                  <w:tcBorders>
                    <w:tl2br w:val="nil"/>
                    <w:tr2bl w:val="nil"/>
                  </w:tcBorders>
                  <w:vAlign w:val="center"/>
                </w:tcPr>
                <w:p w14:paraId="7E7B5FCB">
                  <w:pPr>
                    <w:spacing w:line="288" w:lineRule="auto"/>
                    <w:jc w:val="center"/>
                    <w:rPr>
                      <w:rFonts w:ascii="Times New Roman" w:hAnsi="Times New Roman" w:eastAsia="宋体" w:cs="Times New Roman"/>
                      <w:b/>
                      <w:bCs/>
                      <w:color w:val="000000" w:themeColor="text1"/>
                      <w:kern w:val="44"/>
                      <w:szCs w:val="21"/>
                      <w:highlight w:val="none"/>
                      <w:lang w:bidi="ar"/>
                      <w14:textFill>
                        <w14:solidFill>
                          <w14:schemeClr w14:val="tx1"/>
                        </w14:solidFill>
                      </w14:textFill>
                    </w:rPr>
                  </w:pPr>
                </w:p>
              </w:tc>
            </w:tr>
            <w:tr w14:paraId="0DA73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48" w:type="pct"/>
                  <w:tcBorders>
                    <w:tl2br w:val="nil"/>
                    <w:tr2bl w:val="nil"/>
                  </w:tcBorders>
                  <w:vAlign w:val="center"/>
                </w:tcPr>
                <w:p w14:paraId="32803F17">
                  <w:pPr>
                    <w:jc w:val="center"/>
                    <w:rPr>
                      <w:rFonts w:ascii="Times New Roman" w:hAnsi="Times New Roman" w:eastAsia="宋体" w:cs="Times New Roman"/>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44"/>
                      <w:szCs w:val="21"/>
                      <w:highlight w:val="none"/>
                      <w:lang w:bidi="ar"/>
                      <w14:textFill>
                        <w14:solidFill>
                          <w14:schemeClr w14:val="tx1"/>
                        </w14:solidFill>
                      </w14:textFill>
                    </w:rPr>
                    <w:t>DW001</w:t>
                  </w:r>
                </w:p>
              </w:tc>
              <w:tc>
                <w:tcPr>
                  <w:tcW w:w="671" w:type="pct"/>
                  <w:tcBorders>
                    <w:tl2br w:val="nil"/>
                    <w:tr2bl w:val="nil"/>
                  </w:tcBorders>
                  <w:vAlign w:val="center"/>
                </w:tcPr>
                <w:p w14:paraId="7D011E55">
                  <w:pPr>
                    <w:jc w:val="center"/>
                    <w:rPr>
                      <w:rFonts w:ascii="Times New Roman" w:hAnsi="Times New Roman" w:eastAsia="宋体" w:cs="Times New Roman"/>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44"/>
                      <w:szCs w:val="21"/>
                      <w:highlight w:val="none"/>
                      <w:lang w:bidi="ar"/>
                      <w14:textFill>
                        <w14:solidFill>
                          <w14:schemeClr w14:val="tx1"/>
                        </w14:solidFill>
                      </w14:textFill>
                    </w:rPr>
                    <w:t>生化池排口</w:t>
                  </w:r>
                </w:p>
              </w:tc>
              <w:tc>
                <w:tcPr>
                  <w:tcW w:w="706" w:type="pct"/>
                  <w:tcBorders>
                    <w:tl2br w:val="nil"/>
                    <w:tr2bl w:val="nil"/>
                  </w:tcBorders>
                  <w:vAlign w:val="center"/>
                </w:tcPr>
                <w:p w14:paraId="2EF59FF0">
                  <w:pPr>
                    <w:jc w:val="center"/>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14:textFill>
                        <w14:solidFill>
                          <w14:schemeClr w14:val="tx1"/>
                        </w14:solidFill>
                      </w14:textFill>
                    </w:rPr>
                    <w:t>106.315658</w:t>
                  </w:r>
                </w:p>
              </w:tc>
              <w:tc>
                <w:tcPr>
                  <w:tcW w:w="614" w:type="pct"/>
                  <w:tcBorders>
                    <w:tl2br w:val="nil"/>
                    <w:tr2bl w:val="nil"/>
                  </w:tcBorders>
                  <w:vAlign w:val="center"/>
                </w:tcPr>
                <w:p w14:paraId="200573CF">
                  <w:pPr>
                    <w:jc w:val="center"/>
                    <w:rPr>
                      <w:rFonts w:ascii="Times New Roman" w:hAnsi="Times New Roman" w:eastAsia="宋体" w:cs="Times New Roman"/>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44"/>
                      <w:szCs w:val="21"/>
                      <w:highlight w:val="none"/>
                      <w:lang w:bidi="ar"/>
                      <w14:textFill>
                        <w14:solidFill>
                          <w14:schemeClr w14:val="tx1"/>
                        </w14:solidFill>
                      </w14:textFill>
                    </w:rPr>
                    <w:t>29.334585</w:t>
                  </w:r>
                </w:p>
              </w:tc>
              <w:tc>
                <w:tcPr>
                  <w:tcW w:w="638" w:type="pct"/>
                  <w:tcBorders>
                    <w:tl2br w:val="nil"/>
                    <w:tr2bl w:val="nil"/>
                  </w:tcBorders>
                  <w:vAlign w:val="center"/>
                </w:tcPr>
                <w:p w14:paraId="0C3899D4">
                  <w:pPr>
                    <w:jc w:val="center"/>
                    <w:rPr>
                      <w:rFonts w:ascii="Times New Roman" w:hAnsi="Times New Roman" w:eastAsia="宋体" w:cs="Times New Roman"/>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44"/>
                      <w:szCs w:val="21"/>
                      <w:highlight w:val="none"/>
                      <w:lang w:bidi="ar"/>
                      <w14:textFill>
                        <w14:solidFill>
                          <w14:schemeClr w14:val="tx1"/>
                        </w14:solidFill>
                      </w14:textFill>
                    </w:rPr>
                    <w:t>间接</w:t>
                  </w:r>
                </w:p>
              </w:tc>
              <w:tc>
                <w:tcPr>
                  <w:tcW w:w="853" w:type="pct"/>
                  <w:tcBorders>
                    <w:tl2br w:val="nil"/>
                    <w:tr2bl w:val="nil"/>
                  </w:tcBorders>
                  <w:vAlign w:val="center"/>
                </w:tcPr>
                <w:p w14:paraId="72721462">
                  <w:pPr>
                    <w:jc w:val="center"/>
                    <w:rPr>
                      <w:rFonts w:ascii="Times New Roman" w:hAnsi="Times New Roman" w:eastAsia="宋体" w:cs="Times New Roman"/>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44"/>
                      <w:szCs w:val="21"/>
                      <w:highlight w:val="none"/>
                      <w:lang w:bidi="ar"/>
                      <w14:textFill>
                        <w14:solidFill>
                          <w14:schemeClr w14:val="tx1"/>
                        </w14:solidFill>
                      </w14:textFill>
                    </w:rPr>
                    <w:t>西彭工业园区污水处理厂</w:t>
                  </w:r>
                </w:p>
              </w:tc>
              <w:tc>
                <w:tcPr>
                  <w:tcW w:w="868" w:type="pct"/>
                  <w:tcBorders>
                    <w:tl2br w:val="nil"/>
                    <w:tr2bl w:val="nil"/>
                  </w:tcBorders>
                  <w:vAlign w:val="center"/>
                </w:tcPr>
                <w:p w14:paraId="1D84E08D">
                  <w:pPr>
                    <w:jc w:val="center"/>
                    <w:rPr>
                      <w:rFonts w:ascii="Times New Roman" w:hAnsi="Times New Roman" w:eastAsia="宋体" w:cs="Times New Roman"/>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44"/>
                      <w:szCs w:val="21"/>
                      <w:highlight w:val="none"/>
                      <w:lang w:bidi="ar"/>
                      <w14:textFill>
                        <w14:solidFill>
                          <w14:schemeClr w14:val="tx1"/>
                        </w14:solidFill>
                      </w14:textFill>
                    </w:rPr>
                    <w:t>间断，不稳定</w:t>
                  </w:r>
                </w:p>
              </w:tc>
            </w:tr>
            <w:tr w14:paraId="6FF93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7"/>
                  <w:tcBorders>
                    <w:tl2br w:val="nil"/>
                    <w:tr2bl w:val="nil"/>
                  </w:tcBorders>
                  <w:vAlign w:val="center"/>
                </w:tcPr>
                <w:p w14:paraId="633E8175">
                  <w:pPr>
                    <w:spacing w:line="300" w:lineRule="auto"/>
                    <w:rPr>
                      <w:rFonts w:ascii="Times New Roman" w:hAnsi="Times New Roman" w:eastAsia="宋体" w:cs="Times New Roman"/>
                      <w:color w:val="000000" w:themeColor="text1"/>
                      <w:kern w:val="44"/>
                      <w:szCs w:val="21"/>
                      <w:highlight w:val="none"/>
                      <w:lang w:bidi="ar"/>
                      <w14:textFill>
                        <w14:solidFill>
                          <w14:schemeClr w14:val="tx1"/>
                        </w14:solidFill>
                      </w14:textFill>
                    </w:rPr>
                  </w:pPr>
                  <w:r>
                    <w:rPr>
                      <w:rFonts w:hint="eastAsia" w:ascii="Times New Roman" w:hAnsi="Times New Roman" w:eastAsia="宋体" w:cs="Times New Roman"/>
                      <w:b/>
                      <w:bCs/>
                      <w:color w:val="000000" w:themeColor="text1"/>
                      <w:kern w:val="44"/>
                      <w:szCs w:val="21"/>
                      <w:highlight w:val="none"/>
                      <w:lang w:bidi="ar"/>
                      <w14:textFill>
                        <w14:solidFill>
                          <w14:schemeClr w14:val="tx1"/>
                        </w14:solidFill>
                      </w14:textFill>
                    </w:rPr>
                    <w:t>注</w:t>
                  </w:r>
                  <w:r>
                    <w:rPr>
                      <w:rFonts w:hint="eastAsia" w:ascii="Times New Roman" w:hAnsi="Times New Roman" w:eastAsia="宋体" w:cs="Times New Roman"/>
                      <w:color w:val="000000" w:themeColor="text1"/>
                      <w:kern w:val="44"/>
                      <w:szCs w:val="21"/>
                      <w:highlight w:val="none"/>
                      <w:lang w:bidi="ar"/>
                      <w14:textFill>
                        <w14:solidFill>
                          <w14:schemeClr w14:val="tx1"/>
                        </w14:solidFill>
                      </w14:textFill>
                    </w:rPr>
                    <w:t>：项目依托坤坤农业有限公司生化池及排放口。</w:t>
                  </w:r>
                </w:p>
              </w:tc>
            </w:tr>
          </w:tbl>
          <w:p w14:paraId="47D7A673">
            <w:pPr>
              <w:spacing w:before="31" w:beforeLines="10" w:after="31" w:afterLines="10" w:line="372"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4）地表水环境影响分析</w:t>
            </w:r>
          </w:p>
          <w:p w14:paraId="37197680">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项目营运期无生产废水外排，员工办公生活污水依托</w:t>
            </w:r>
            <w:r>
              <w:rPr>
                <w:rFonts w:hint="eastAsia" w:ascii="Times New Roman" w:hAnsi="Times New Roman" w:cs="宋体"/>
                <w:color w:val="000000" w:themeColor="text1"/>
                <w:sz w:val="24"/>
                <w:highlight w:val="none"/>
                <w14:textFill>
                  <w14:solidFill>
                    <w14:schemeClr w14:val="tx1"/>
                  </w14:solidFill>
                </w14:textFill>
              </w:rPr>
              <w:t>坤坤农业公司</w:t>
            </w:r>
            <w:r>
              <w:rPr>
                <w:rFonts w:hint="eastAsia" w:ascii="Times New Roman" w:hAnsi="Times New Roman" w:eastAsia="宋体"/>
                <w:color w:val="000000" w:themeColor="text1"/>
                <w:sz w:val="24"/>
                <w:highlight w:val="none"/>
                <w14:textFill>
                  <w14:solidFill>
                    <w14:schemeClr w14:val="tx1"/>
                  </w14:solidFill>
                </w14:textFill>
              </w:rPr>
              <w:t>生化池预处理达《污水综合排放标准》（GB 8978-1996）三级标准后，接入园区市政污水管网，进入西彭园区污水处理厂深度处理近期达《污水综合排放标准》（GB 8978-1996）中的一级标准后</w:t>
            </w:r>
            <w:r>
              <w:rPr>
                <w:rFonts w:hint="eastAsia" w:ascii="Times New Roman" w:hAnsi="Times New Roman" w:cs="宋体"/>
                <w:color w:val="000000" w:themeColor="text1"/>
                <w:sz w:val="24"/>
                <w:highlight w:val="none"/>
                <w14:textFill>
                  <w14:solidFill>
                    <w14:schemeClr w14:val="tx1"/>
                  </w14:solidFill>
                </w14:textFill>
              </w:rPr>
              <w:t>排入桥头河</w:t>
            </w:r>
            <w:r>
              <w:rPr>
                <w:rFonts w:hint="eastAsia" w:ascii="Times New Roman" w:hAnsi="Times New Roman" w:eastAsia="宋体"/>
                <w:color w:val="000000" w:themeColor="text1"/>
                <w:sz w:val="24"/>
                <w:highlight w:val="none"/>
                <w14:textFill>
                  <w14:solidFill>
                    <w14:schemeClr w14:val="tx1"/>
                  </w14:solidFill>
                </w14:textFill>
              </w:rPr>
              <w:t>，最终汇入长江。</w:t>
            </w:r>
          </w:p>
          <w:p w14:paraId="66E3D57A">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本项目在采取上述废水处理措施后，</w:t>
            </w:r>
            <w:r>
              <w:rPr>
                <w:rFonts w:hint="eastAsia" w:ascii="Times New Roman" w:hAnsi="Times New Roman" w:cs="宋体"/>
                <w:color w:val="000000" w:themeColor="text1"/>
                <w:sz w:val="24"/>
                <w:highlight w:val="none"/>
                <w14:textFill>
                  <w14:solidFill>
                    <w14:schemeClr w14:val="tx1"/>
                  </w14:solidFill>
                </w14:textFill>
              </w:rPr>
              <w:t>可实现达标排放</w:t>
            </w:r>
            <w:r>
              <w:rPr>
                <w:rFonts w:hint="eastAsia" w:ascii="Times New Roman" w:hAnsi="Times New Roman" w:eastAsia="宋体"/>
                <w:color w:val="000000" w:themeColor="text1"/>
                <w:sz w:val="24"/>
                <w:highlight w:val="none"/>
                <w14:textFill>
                  <w14:solidFill>
                    <w14:schemeClr w14:val="tx1"/>
                  </w14:solidFill>
                </w14:textFill>
              </w:rPr>
              <w:t>，能达到环境和生产要求</w:t>
            </w:r>
            <w:r>
              <w:rPr>
                <w:rFonts w:hint="eastAsia" w:ascii="Times New Roman" w:hAnsi="Times New Roman" w:cs="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项目建设对所在区域地表水环境影响很小。</w:t>
            </w:r>
          </w:p>
          <w:p w14:paraId="4D81A660">
            <w:pPr>
              <w:spacing w:before="31" w:beforeLines="10" w:after="31" w:afterLines="10" w:line="372"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5）废水监测计划</w:t>
            </w:r>
          </w:p>
          <w:p w14:paraId="01D890CA">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本项目运营期无生产废水排放，生活污水依托</w:t>
            </w:r>
            <w:r>
              <w:rPr>
                <w:rFonts w:hint="eastAsia" w:ascii="Times New Roman" w:hAnsi="Times New Roman" w:cs="宋体"/>
                <w:color w:val="000000" w:themeColor="text1"/>
                <w:sz w:val="24"/>
                <w:highlight w:val="none"/>
                <w14:textFill>
                  <w14:solidFill>
                    <w14:schemeClr w14:val="tx1"/>
                  </w14:solidFill>
                </w14:textFill>
              </w:rPr>
              <w:t>坤坤农业公司</w:t>
            </w:r>
            <w:r>
              <w:rPr>
                <w:rFonts w:hint="eastAsia" w:ascii="Times New Roman" w:hAnsi="Times New Roman" w:eastAsia="宋体"/>
                <w:color w:val="000000" w:themeColor="text1"/>
                <w:sz w:val="24"/>
                <w:highlight w:val="none"/>
                <w14:textFill>
                  <w14:solidFill>
                    <w14:schemeClr w14:val="tx1"/>
                  </w14:solidFill>
                </w14:textFill>
              </w:rPr>
              <w:t>现有生化池进行处理，不新增排放口，参照</w:t>
            </w:r>
            <w:r>
              <w:rPr>
                <w:rFonts w:hint="eastAsia" w:ascii="Times New Roman" w:hAnsi="Times New Roman"/>
                <w:color w:val="000000" w:themeColor="text1"/>
                <w:sz w:val="24"/>
                <w:highlight w:val="none"/>
                <w14:textFill>
                  <w14:solidFill>
                    <w14:schemeClr w14:val="tx1"/>
                  </w14:solidFill>
                </w14:textFill>
              </w:rPr>
              <w:t>《排污单位自行监测技术指南 总则》（HJ 819-2017）</w:t>
            </w:r>
            <w:r>
              <w:rPr>
                <w:rFonts w:hint="eastAsia" w:ascii="Times New Roman" w:hAnsi="Times New Roman" w:eastAsia="宋体"/>
                <w:color w:val="000000" w:themeColor="text1"/>
                <w:sz w:val="24"/>
                <w:highlight w:val="none"/>
                <w14:textFill>
                  <w14:solidFill>
                    <w14:schemeClr w14:val="tx1"/>
                  </w14:solidFill>
                </w14:textFill>
              </w:rPr>
              <w:t>等相关文件，确定项目运营期废水排放监测计划具体如下表：</w:t>
            </w:r>
          </w:p>
          <w:p w14:paraId="6C3735AD">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表4-1</w:t>
            </w:r>
            <w:r>
              <w:rPr>
                <w:rFonts w:hint="eastAsia" w:ascii="Times New Roman" w:hAnsi="Times New Roman" w:eastAsia="宋体" w:cs="Times New Roman"/>
                <w:color w:val="000000" w:themeColor="text1"/>
                <w:szCs w:val="24"/>
                <w:highlight w:val="none"/>
                <w14:textFill>
                  <w14:solidFill>
                    <w14:schemeClr w14:val="tx1"/>
                  </w14:solidFill>
                </w14:textFill>
              </w:rPr>
              <w:t>6</w:t>
            </w:r>
            <w:r>
              <w:rPr>
                <w:rFonts w:ascii="Times New Roman" w:hAnsi="Times New Roman" w:eastAsia="宋体" w:cs="Times New Roman"/>
                <w:color w:val="000000" w:themeColor="text1"/>
                <w:szCs w:val="24"/>
                <w:highlight w:val="none"/>
                <w14:textFill>
                  <w14:solidFill>
                    <w14:schemeClr w14:val="tx1"/>
                  </w14:solidFill>
                </w14:textFill>
              </w:rPr>
              <w:t xml:space="preserve">  项目废水污染物产生、排放情况汇总表</w:t>
            </w:r>
          </w:p>
          <w:tbl>
            <w:tblPr>
              <w:tblStyle w:val="27"/>
              <w:tblW w:w="49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71"/>
              <w:gridCol w:w="1241"/>
              <w:gridCol w:w="2438"/>
              <w:gridCol w:w="1202"/>
              <w:gridCol w:w="2529"/>
            </w:tblGrid>
            <w:tr w14:paraId="377AD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pct"/>
                  <w:tcBorders>
                    <w:tl2br w:val="nil"/>
                    <w:tr2bl w:val="nil"/>
                  </w:tcBorders>
                  <w:vAlign w:val="center"/>
                </w:tcPr>
                <w:p w14:paraId="1D1312B5">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监测项目</w:t>
                  </w:r>
                </w:p>
              </w:tc>
              <w:tc>
                <w:tcPr>
                  <w:tcW w:w="740" w:type="pct"/>
                  <w:tcBorders>
                    <w:tl2br w:val="nil"/>
                    <w:tr2bl w:val="nil"/>
                  </w:tcBorders>
                  <w:vAlign w:val="center"/>
                </w:tcPr>
                <w:p w14:paraId="7FC160AC">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监测点位</w:t>
                  </w:r>
                </w:p>
              </w:tc>
              <w:tc>
                <w:tcPr>
                  <w:tcW w:w="1454" w:type="pct"/>
                  <w:tcBorders>
                    <w:tl2br w:val="nil"/>
                    <w:tr2bl w:val="nil"/>
                  </w:tcBorders>
                  <w:vAlign w:val="center"/>
                </w:tcPr>
                <w:p w14:paraId="38A6AC28">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监测指标</w:t>
                  </w:r>
                </w:p>
              </w:tc>
              <w:tc>
                <w:tcPr>
                  <w:tcW w:w="717" w:type="pct"/>
                  <w:tcBorders>
                    <w:tl2br w:val="nil"/>
                    <w:tr2bl w:val="nil"/>
                  </w:tcBorders>
                  <w:vAlign w:val="center"/>
                </w:tcPr>
                <w:p w14:paraId="6D27562B">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监测频次</w:t>
                  </w:r>
                </w:p>
              </w:tc>
              <w:tc>
                <w:tcPr>
                  <w:tcW w:w="1508" w:type="pct"/>
                  <w:tcBorders>
                    <w:tl2br w:val="nil"/>
                    <w:tr2bl w:val="nil"/>
                  </w:tcBorders>
                  <w:vAlign w:val="center"/>
                </w:tcPr>
                <w:p w14:paraId="19218F15">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执行标准</w:t>
                  </w:r>
                </w:p>
              </w:tc>
            </w:tr>
            <w:tr w14:paraId="5B295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79" w:type="pct"/>
                  <w:tcBorders>
                    <w:tl2br w:val="nil"/>
                    <w:tr2bl w:val="nil"/>
                  </w:tcBorders>
                  <w:vAlign w:val="center"/>
                </w:tcPr>
                <w:p w14:paraId="7F565E0F">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生活污水</w:t>
                  </w:r>
                </w:p>
              </w:tc>
              <w:tc>
                <w:tcPr>
                  <w:tcW w:w="740" w:type="pct"/>
                  <w:tcBorders>
                    <w:tl2br w:val="nil"/>
                    <w:tr2bl w:val="nil"/>
                  </w:tcBorders>
                  <w:vAlign w:val="center"/>
                </w:tcPr>
                <w:p w14:paraId="2F636DE5">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生化池排口</w:t>
                  </w:r>
                </w:p>
              </w:tc>
              <w:tc>
                <w:tcPr>
                  <w:tcW w:w="1454" w:type="pct"/>
                  <w:tcBorders>
                    <w:tl2br w:val="nil"/>
                    <w:tr2bl w:val="nil"/>
                  </w:tcBorders>
                  <w:vAlign w:val="center"/>
                </w:tcPr>
                <w:p w14:paraId="147BBB31">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pH</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r>
                    <w:rPr>
                      <w:rFonts w:ascii="Times New Roman" w:hAnsi="Times New Roman" w:eastAsia="宋体" w:cs="Times New Roman"/>
                      <w:color w:val="000000" w:themeColor="text1"/>
                      <w:kern w:val="0"/>
                      <w:szCs w:val="21"/>
                      <w:highlight w:val="none"/>
                      <w:lang w:bidi="ar"/>
                      <w14:textFill>
                        <w14:solidFill>
                          <w14:schemeClr w14:val="tx1"/>
                        </w14:solidFill>
                      </w14:textFill>
                    </w:rPr>
                    <w:t>COD</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r>
                    <w:rPr>
                      <w:rFonts w:ascii="Times New Roman" w:hAnsi="Times New Roman" w:eastAsia="宋体" w:cs="Times New Roman"/>
                      <w:color w:val="000000" w:themeColor="text1"/>
                      <w:kern w:val="0"/>
                      <w:szCs w:val="21"/>
                      <w:highlight w:val="none"/>
                      <w:lang w:bidi="ar"/>
                      <w14:textFill>
                        <w14:solidFill>
                          <w14:schemeClr w14:val="tx1"/>
                        </w14:solidFill>
                      </w14:textFill>
                    </w:rPr>
                    <w:t>BOD</w:t>
                  </w:r>
                  <w:r>
                    <w:rPr>
                      <w:rFonts w:ascii="Times New Roman" w:hAnsi="Times New Roman" w:eastAsia="宋体" w:cs="Times New Roman"/>
                      <w:color w:val="000000" w:themeColor="text1"/>
                      <w:kern w:val="0"/>
                      <w:szCs w:val="21"/>
                      <w:highlight w:val="none"/>
                      <w:vertAlign w:val="subscript"/>
                      <w:lang w:bidi="ar"/>
                      <w14:textFill>
                        <w14:solidFill>
                          <w14:schemeClr w14:val="tx1"/>
                        </w14:solidFill>
                      </w14:textFill>
                    </w:rPr>
                    <w:t>5</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r>
                    <w:rPr>
                      <w:rFonts w:ascii="Times New Roman" w:hAnsi="Times New Roman" w:eastAsia="宋体" w:cs="Times New Roman"/>
                      <w:color w:val="000000" w:themeColor="text1"/>
                      <w:kern w:val="0"/>
                      <w:szCs w:val="21"/>
                      <w:highlight w:val="none"/>
                      <w:lang w:bidi="ar"/>
                      <w14:textFill>
                        <w14:solidFill>
                          <w14:schemeClr w14:val="tx1"/>
                        </w14:solidFill>
                      </w14:textFill>
                    </w:rPr>
                    <w:t>SS</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、氨氮</w:t>
                  </w:r>
                </w:p>
              </w:tc>
              <w:tc>
                <w:tcPr>
                  <w:tcW w:w="717" w:type="pct"/>
                  <w:tcBorders>
                    <w:tl2br w:val="nil"/>
                    <w:tr2bl w:val="nil"/>
                  </w:tcBorders>
                  <w:vAlign w:val="center"/>
                </w:tcPr>
                <w:p w14:paraId="69C907D6">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1次/年</w:t>
                  </w:r>
                </w:p>
              </w:tc>
              <w:tc>
                <w:tcPr>
                  <w:tcW w:w="1508" w:type="pct"/>
                  <w:tcBorders>
                    <w:tl2br w:val="nil"/>
                    <w:tr2bl w:val="nil"/>
                  </w:tcBorders>
                  <w:vAlign w:val="center"/>
                </w:tcPr>
                <w:p w14:paraId="603E900E">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《污水综合排放标准》（</w:t>
                  </w:r>
                  <w:r>
                    <w:rPr>
                      <w:rFonts w:ascii="Times New Roman" w:hAnsi="Times New Roman" w:eastAsia="宋体" w:cs="Times New Roman"/>
                      <w:color w:val="000000" w:themeColor="text1"/>
                      <w:kern w:val="0"/>
                      <w:szCs w:val="21"/>
                      <w:highlight w:val="none"/>
                      <w:lang w:bidi="ar"/>
                      <w14:textFill>
                        <w14:solidFill>
                          <w14:schemeClr w14:val="tx1"/>
                        </w14:solidFill>
                      </w14:textFill>
                    </w:rPr>
                    <w:t>GB</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 xml:space="preserve"> </w:t>
                  </w:r>
                  <w:r>
                    <w:rPr>
                      <w:rFonts w:ascii="Times New Roman" w:hAnsi="Times New Roman" w:eastAsia="宋体" w:cs="Times New Roman"/>
                      <w:color w:val="000000" w:themeColor="text1"/>
                      <w:kern w:val="0"/>
                      <w:szCs w:val="21"/>
                      <w:highlight w:val="none"/>
                      <w:lang w:bidi="ar"/>
                      <w14:textFill>
                        <w14:solidFill>
                          <w14:schemeClr w14:val="tx1"/>
                        </w14:solidFill>
                      </w14:textFill>
                    </w:rPr>
                    <w:t>8978-1996</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）三级标准</w:t>
                  </w:r>
                </w:p>
              </w:tc>
            </w:tr>
          </w:tbl>
          <w:p w14:paraId="37C71ACD">
            <w:pPr>
              <w:pStyle w:val="21"/>
              <w:widowControl w:val="0"/>
              <w:spacing w:before="31" w:beforeLines="10" w:beforeAutospacing="0" w:after="31" w:afterLines="10" w:afterAutospacing="0" w:line="372" w:lineRule="auto"/>
              <w:jc w:val="both"/>
              <w:rPr>
                <w:rFonts w:ascii="Times New Roman" w:hAnsi="Times New Roman" w:eastAsia="宋体" w:cs="宋体"/>
                <w:b/>
                <w:bCs/>
                <w:color w:val="000000" w:themeColor="text1"/>
                <w:szCs w:val="24"/>
                <w:highlight w:val="none"/>
                <w:lang w:bidi="ar"/>
                <w14:textFill>
                  <w14:solidFill>
                    <w14:schemeClr w14:val="tx1"/>
                  </w14:solidFill>
                </w14:textFill>
              </w:rPr>
            </w:pPr>
            <w:r>
              <w:rPr>
                <w:rFonts w:hint="eastAsia" w:ascii="Times New Roman" w:hAnsi="Times New Roman" w:eastAsia="宋体" w:cs="宋体"/>
                <w:b/>
                <w:bCs/>
                <w:color w:val="000000" w:themeColor="text1"/>
                <w:szCs w:val="24"/>
                <w:highlight w:val="none"/>
                <w:lang w:bidi="ar"/>
                <w14:textFill>
                  <w14:solidFill>
                    <w14:schemeClr w14:val="tx1"/>
                  </w14:solidFill>
                </w14:textFill>
              </w:rPr>
              <w:t>3、运营期噪声环境影响及环保措施：</w:t>
            </w:r>
          </w:p>
          <w:p w14:paraId="6C5C0522">
            <w:pPr>
              <w:adjustRightInd w:val="0"/>
              <w:snapToGrid w:val="0"/>
              <w:spacing w:line="360" w:lineRule="auto"/>
              <w:ind w:firstLine="482" w:firstLineChars="200"/>
              <w:rPr>
                <w:rFonts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w:t>
            </w:r>
            <w:r>
              <w:rPr>
                <w:rFonts w:ascii="Times New Roman" w:hAnsi="Times New Roman" w:eastAsia="宋体" w:cs="Times New Roman"/>
                <w:b/>
                <w:bCs/>
                <w:color w:val="000000" w:themeColor="text1"/>
                <w:sz w:val="24"/>
                <w:highlight w:val="none"/>
                <w14:textFill>
                  <w14:solidFill>
                    <w14:schemeClr w14:val="tx1"/>
                  </w14:solidFill>
                </w14:textFill>
              </w:rPr>
              <w:t>1）噪声污染源源强</w:t>
            </w:r>
          </w:p>
          <w:p w14:paraId="213DE150">
            <w:pPr>
              <w:adjustRightInd w:val="0"/>
              <w:snapToGrid w:val="0"/>
              <w:spacing w:line="360" w:lineRule="auto"/>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项目噪声污染源源强及相关参数见表4-</w:t>
            </w:r>
            <w:r>
              <w:rPr>
                <w:rFonts w:hint="eastAsia" w:ascii="Times New Roman" w:hAnsi="Times New Roman" w:cs="Times New Roman"/>
                <w:color w:val="000000" w:themeColor="text1"/>
                <w:sz w:val="24"/>
                <w:highlight w:val="none"/>
                <w14:textFill>
                  <w14:solidFill>
                    <w14:schemeClr w14:val="tx1"/>
                  </w14:solidFill>
                </w14:textFill>
              </w:rPr>
              <w:t>17</w:t>
            </w:r>
            <w:r>
              <w:rPr>
                <w:rFonts w:ascii="Times New Roman" w:hAnsi="Times New Roman" w:cs="Times New Roman"/>
                <w:color w:val="000000" w:themeColor="text1"/>
                <w:sz w:val="24"/>
                <w:highlight w:val="none"/>
                <w14:textFill>
                  <w14:solidFill>
                    <w14:schemeClr w14:val="tx1"/>
                  </w14:solidFill>
                </w14:textFill>
              </w:rPr>
              <w:t>。</w:t>
            </w:r>
          </w:p>
          <w:p w14:paraId="7D728E37">
            <w:pPr>
              <w:adjustRightInd w:val="0"/>
              <w:snapToGrid w:val="0"/>
              <w:rPr>
                <w:color w:val="000000" w:themeColor="text1"/>
                <w:highlight w:val="none"/>
                <w14:textFill>
                  <w14:solidFill>
                    <w14:schemeClr w14:val="tx1"/>
                  </w14:solidFill>
                </w14:textFill>
              </w:rPr>
            </w:pPr>
          </w:p>
        </w:tc>
      </w:tr>
    </w:tbl>
    <w:p w14:paraId="1D81B858">
      <w:pPr>
        <w:pStyle w:val="24"/>
        <w:rPr>
          <w:color w:val="000000" w:themeColor="text1"/>
          <w:highlight w:val="none"/>
          <w14:textFill>
            <w14:solidFill>
              <w14:schemeClr w14:val="tx1"/>
            </w14:solidFill>
          </w14:textFill>
        </w:rPr>
        <w:sectPr>
          <w:pgSz w:w="11906" w:h="16838"/>
          <w:pgMar w:top="1440" w:right="1344" w:bottom="1440" w:left="1514" w:header="851" w:footer="992" w:gutter="0"/>
          <w:pgNumType w:fmt="numberInDash"/>
          <w:cols w:space="425" w:num="1"/>
          <w:docGrid w:type="lines" w:linePitch="312" w:charSpace="0"/>
        </w:sectPr>
      </w:pPr>
    </w:p>
    <w:p w14:paraId="1489BBAC">
      <w:pPr>
        <w:jc w:val="center"/>
        <w:rPr>
          <w:b/>
          <w:color w:val="000000" w:themeColor="text1"/>
          <w:kern w:val="0"/>
          <w:szCs w:val="21"/>
          <w:highlight w:val="none"/>
          <w14:textFill>
            <w14:solidFill>
              <w14:schemeClr w14:val="tx1"/>
            </w14:solidFill>
          </w14:textFill>
        </w:rPr>
      </w:pPr>
    </w:p>
    <w:p w14:paraId="02F175B4">
      <w:pPr>
        <w:jc w:val="center"/>
        <w:rPr>
          <w:rFonts w:ascii="Times New Roman" w:hAnsi="Times New Roman" w:eastAsia="宋体"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bCs/>
          <w:color w:val="000000" w:themeColor="text1"/>
          <w:kern w:val="0"/>
          <w:sz w:val="24"/>
          <w:highlight w:val="none"/>
          <w14:textFill>
            <w14:solidFill>
              <w14:schemeClr w14:val="tx1"/>
            </w14:solidFill>
          </w14:textFill>
        </w:rPr>
        <w:t>表4-</w:t>
      </w:r>
      <w:r>
        <w:rPr>
          <w:rFonts w:hint="eastAsia" w:ascii="Times New Roman" w:hAnsi="Times New Roman" w:eastAsia="宋体" w:cs="Times New Roman"/>
          <w:bCs/>
          <w:color w:val="000000" w:themeColor="text1"/>
          <w:kern w:val="0"/>
          <w:sz w:val="24"/>
          <w:highlight w:val="none"/>
          <w14:textFill>
            <w14:solidFill>
              <w14:schemeClr w14:val="tx1"/>
            </w14:solidFill>
          </w14:textFill>
        </w:rPr>
        <w:t>1</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7</w:t>
      </w:r>
      <w:r>
        <w:rPr>
          <w:rFonts w:ascii="Times New Roman" w:hAnsi="Times New Roman" w:eastAsia="宋体" w:cs="Times New Roman"/>
          <w:bCs/>
          <w:color w:val="000000" w:themeColor="text1"/>
          <w:kern w:val="0"/>
          <w:sz w:val="24"/>
          <w:highlight w:val="none"/>
          <w14:textFill>
            <w14:solidFill>
              <w14:schemeClr w14:val="tx1"/>
            </w14:solidFill>
          </w14:textFill>
        </w:rPr>
        <w:t>主要噪声源强调查清单（室内声源）单位：dB（A）</w:t>
      </w:r>
    </w:p>
    <w:tbl>
      <w:tblPr>
        <w:tblStyle w:val="26"/>
        <w:tblW w:w="13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398"/>
        <w:gridCol w:w="847"/>
        <w:gridCol w:w="712"/>
        <w:gridCol w:w="578"/>
        <w:gridCol w:w="500"/>
        <w:gridCol w:w="520"/>
        <w:gridCol w:w="480"/>
        <w:gridCol w:w="500"/>
        <w:gridCol w:w="500"/>
        <w:gridCol w:w="500"/>
        <w:gridCol w:w="500"/>
        <w:gridCol w:w="500"/>
        <w:gridCol w:w="500"/>
        <w:gridCol w:w="585"/>
        <w:gridCol w:w="570"/>
        <w:gridCol w:w="488"/>
        <w:gridCol w:w="909"/>
        <w:gridCol w:w="663"/>
        <w:gridCol w:w="592"/>
        <w:gridCol w:w="620"/>
        <w:gridCol w:w="548"/>
        <w:gridCol w:w="761"/>
      </w:tblGrid>
      <w:tr w14:paraId="4CDE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448" w:type="dxa"/>
            <w:vMerge w:val="restart"/>
            <w:vAlign w:val="center"/>
          </w:tcPr>
          <w:p w14:paraId="043D210F">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bookmarkStart w:id="15" w:name="PT_6"/>
            <w:r>
              <w:rPr>
                <w:rFonts w:ascii="Times New Roman" w:hAnsi="Times New Roman" w:eastAsia="宋体" w:cs="Times New Roman"/>
                <w:bCs/>
                <w:color w:val="000000" w:themeColor="text1"/>
                <w:sz w:val="18"/>
                <w:szCs w:val="18"/>
                <w:highlight w:val="none"/>
                <w14:textFill>
                  <w14:solidFill>
                    <w14:schemeClr w14:val="tx1"/>
                  </w14:solidFill>
                </w14:textFill>
              </w:rPr>
              <w:t>序号</w:t>
            </w:r>
          </w:p>
        </w:tc>
        <w:tc>
          <w:tcPr>
            <w:tcW w:w="398" w:type="dxa"/>
            <w:vMerge w:val="restart"/>
            <w:vAlign w:val="center"/>
          </w:tcPr>
          <w:p w14:paraId="3829E570">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建筑物名称</w:t>
            </w:r>
          </w:p>
        </w:tc>
        <w:tc>
          <w:tcPr>
            <w:tcW w:w="847" w:type="dxa"/>
            <w:vMerge w:val="restart"/>
            <w:vAlign w:val="center"/>
          </w:tcPr>
          <w:p w14:paraId="3A53D1DF">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声源名称</w:t>
            </w:r>
          </w:p>
        </w:tc>
        <w:tc>
          <w:tcPr>
            <w:tcW w:w="712" w:type="dxa"/>
            <w:vAlign w:val="center"/>
          </w:tcPr>
          <w:p w14:paraId="3CA71A8C">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声源源强</w:t>
            </w:r>
          </w:p>
        </w:tc>
        <w:tc>
          <w:tcPr>
            <w:tcW w:w="578" w:type="dxa"/>
            <w:vMerge w:val="restart"/>
            <w:vAlign w:val="center"/>
          </w:tcPr>
          <w:p w14:paraId="71B25216">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声源控制措施</w:t>
            </w:r>
          </w:p>
        </w:tc>
        <w:tc>
          <w:tcPr>
            <w:tcW w:w="1500" w:type="dxa"/>
            <w:gridSpan w:val="3"/>
            <w:vAlign w:val="center"/>
          </w:tcPr>
          <w:p w14:paraId="6103FF0A">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空间相对位置/m</w:t>
            </w:r>
          </w:p>
        </w:tc>
        <w:tc>
          <w:tcPr>
            <w:tcW w:w="2000" w:type="dxa"/>
            <w:gridSpan w:val="4"/>
            <w:vAlign w:val="center"/>
          </w:tcPr>
          <w:p w14:paraId="715C15F2">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距室内边界距离/m</w:t>
            </w:r>
          </w:p>
        </w:tc>
        <w:tc>
          <w:tcPr>
            <w:tcW w:w="2155" w:type="dxa"/>
            <w:gridSpan w:val="4"/>
            <w:vAlign w:val="center"/>
          </w:tcPr>
          <w:p w14:paraId="74C2D3A8">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室内边界声级/dB(A)</w:t>
            </w:r>
          </w:p>
        </w:tc>
        <w:tc>
          <w:tcPr>
            <w:tcW w:w="488" w:type="dxa"/>
            <w:vMerge w:val="restart"/>
            <w:vAlign w:val="center"/>
          </w:tcPr>
          <w:p w14:paraId="713EBFDA">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运行时段</w:t>
            </w:r>
          </w:p>
        </w:tc>
        <w:tc>
          <w:tcPr>
            <w:tcW w:w="909" w:type="dxa"/>
            <w:vMerge w:val="restart"/>
            <w:vAlign w:val="center"/>
          </w:tcPr>
          <w:p w14:paraId="0F52F6B9">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bookmarkStart w:id="16" w:name="PT_10"/>
            <w:bookmarkEnd w:id="16"/>
            <w:r>
              <w:rPr>
                <w:rFonts w:ascii="Times New Roman" w:hAnsi="Times New Roman" w:eastAsia="宋体" w:cs="Times New Roman"/>
                <w:bCs/>
                <w:color w:val="000000" w:themeColor="text1"/>
                <w:sz w:val="18"/>
                <w:szCs w:val="18"/>
                <w:highlight w:val="none"/>
                <w14:textFill>
                  <w14:solidFill>
                    <w14:schemeClr w14:val="tx1"/>
                  </w14:solidFill>
                </w14:textFill>
              </w:rPr>
              <w:t>建筑物插入损失/dB(A)</w:t>
            </w:r>
          </w:p>
        </w:tc>
        <w:tc>
          <w:tcPr>
            <w:tcW w:w="3184" w:type="dxa"/>
            <w:gridSpan w:val="5"/>
            <w:vAlign w:val="center"/>
          </w:tcPr>
          <w:p w14:paraId="7CCFD9AA">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建筑物外噪声声压级/dB(A)</w:t>
            </w:r>
          </w:p>
        </w:tc>
      </w:tr>
      <w:tr w14:paraId="7A28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vMerge w:val="continue"/>
            <w:shd w:val="clear" w:color="auto" w:fill="FFFFFF"/>
            <w:tcMar>
              <w:top w:w="0" w:type="dxa"/>
              <w:left w:w="0" w:type="dxa"/>
              <w:bottom w:w="0" w:type="dxa"/>
              <w:right w:w="0" w:type="dxa"/>
            </w:tcMar>
            <w:vAlign w:val="center"/>
          </w:tcPr>
          <w:p w14:paraId="08319D90">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p>
        </w:tc>
        <w:tc>
          <w:tcPr>
            <w:tcW w:w="398" w:type="dxa"/>
            <w:vMerge w:val="continue"/>
            <w:shd w:val="clear" w:color="auto" w:fill="FFFFFF"/>
            <w:tcMar>
              <w:top w:w="0" w:type="dxa"/>
              <w:left w:w="0" w:type="dxa"/>
              <w:bottom w:w="0" w:type="dxa"/>
              <w:right w:w="0" w:type="dxa"/>
            </w:tcMar>
            <w:vAlign w:val="center"/>
          </w:tcPr>
          <w:p w14:paraId="7276514F">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p>
        </w:tc>
        <w:tc>
          <w:tcPr>
            <w:tcW w:w="847" w:type="dxa"/>
            <w:vMerge w:val="continue"/>
            <w:shd w:val="clear" w:color="auto" w:fill="FFFFFF"/>
            <w:tcMar>
              <w:top w:w="0" w:type="dxa"/>
              <w:left w:w="0" w:type="dxa"/>
              <w:bottom w:w="0" w:type="dxa"/>
              <w:right w:w="0" w:type="dxa"/>
            </w:tcMar>
            <w:vAlign w:val="center"/>
          </w:tcPr>
          <w:p w14:paraId="401A4626">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p>
        </w:tc>
        <w:tc>
          <w:tcPr>
            <w:tcW w:w="712" w:type="dxa"/>
            <w:shd w:val="clear" w:color="auto" w:fill="FFFFFF"/>
            <w:tcMar>
              <w:top w:w="0" w:type="dxa"/>
              <w:left w:w="0" w:type="dxa"/>
              <w:bottom w:w="0" w:type="dxa"/>
              <w:right w:w="0" w:type="dxa"/>
            </w:tcMar>
            <w:vAlign w:val="center"/>
          </w:tcPr>
          <w:p w14:paraId="4B0202C9">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声功率级/dB(A)</w:t>
            </w:r>
          </w:p>
        </w:tc>
        <w:tc>
          <w:tcPr>
            <w:tcW w:w="578" w:type="dxa"/>
            <w:vMerge w:val="continue"/>
            <w:shd w:val="clear" w:color="auto" w:fill="FFFFFF"/>
            <w:tcMar>
              <w:top w:w="0" w:type="dxa"/>
              <w:left w:w="0" w:type="dxa"/>
              <w:bottom w:w="0" w:type="dxa"/>
              <w:right w:w="0" w:type="dxa"/>
            </w:tcMar>
            <w:vAlign w:val="center"/>
          </w:tcPr>
          <w:p w14:paraId="2731B0D6">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p>
        </w:tc>
        <w:tc>
          <w:tcPr>
            <w:tcW w:w="500" w:type="dxa"/>
            <w:shd w:val="clear" w:color="auto" w:fill="FFFFFF"/>
            <w:tcMar>
              <w:top w:w="0" w:type="dxa"/>
              <w:left w:w="0" w:type="dxa"/>
              <w:bottom w:w="0" w:type="dxa"/>
              <w:right w:w="0" w:type="dxa"/>
            </w:tcMar>
            <w:vAlign w:val="center"/>
          </w:tcPr>
          <w:p w14:paraId="3859D716">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X</w:t>
            </w:r>
          </w:p>
        </w:tc>
        <w:tc>
          <w:tcPr>
            <w:tcW w:w="520" w:type="dxa"/>
            <w:shd w:val="clear" w:color="auto" w:fill="FFFFFF"/>
            <w:tcMar>
              <w:top w:w="0" w:type="dxa"/>
              <w:left w:w="0" w:type="dxa"/>
              <w:bottom w:w="0" w:type="dxa"/>
              <w:right w:w="0" w:type="dxa"/>
            </w:tcMar>
            <w:vAlign w:val="center"/>
          </w:tcPr>
          <w:p w14:paraId="699D3C8F">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Y</w:t>
            </w:r>
          </w:p>
        </w:tc>
        <w:tc>
          <w:tcPr>
            <w:tcW w:w="480" w:type="dxa"/>
            <w:shd w:val="clear" w:color="auto" w:fill="FFFFFF"/>
            <w:tcMar>
              <w:top w:w="0" w:type="dxa"/>
              <w:left w:w="0" w:type="dxa"/>
              <w:bottom w:w="0" w:type="dxa"/>
              <w:right w:w="0" w:type="dxa"/>
            </w:tcMar>
            <w:vAlign w:val="center"/>
          </w:tcPr>
          <w:p w14:paraId="5029246C">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Z</w:t>
            </w:r>
          </w:p>
        </w:tc>
        <w:tc>
          <w:tcPr>
            <w:tcW w:w="500" w:type="dxa"/>
            <w:shd w:val="clear" w:color="auto" w:fill="FFFFFF"/>
            <w:tcMar>
              <w:top w:w="0" w:type="dxa"/>
              <w:left w:w="0" w:type="dxa"/>
              <w:bottom w:w="0" w:type="dxa"/>
              <w:right w:w="0" w:type="dxa"/>
            </w:tcMar>
            <w:vAlign w:val="center"/>
          </w:tcPr>
          <w:p w14:paraId="55672158">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东</w:t>
            </w:r>
          </w:p>
        </w:tc>
        <w:tc>
          <w:tcPr>
            <w:tcW w:w="500" w:type="dxa"/>
            <w:shd w:val="clear" w:color="auto" w:fill="FFFFFF"/>
            <w:tcMar>
              <w:top w:w="0" w:type="dxa"/>
              <w:left w:w="0" w:type="dxa"/>
              <w:bottom w:w="0" w:type="dxa"/>
              <w:right w:w="0" w:type="dxa"/>
            </w:tcMar>
            <w:vAlign w:val="center"/>
          </w:tcPr>
          <w:p w14:paraId="70770C33">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南</w:t>
            </w:r>
          </w:p>
        </w:tc>
        <w:tc>
          <w:tcPr>
            <w:tcW w:w="500" w:type="dxa"/>
            <w:shd w:val="clear" w:color="auto" w:fill="FFFFFF"/>
            <w:tcMar>
              <w:top w:w="0" w:type="dxa"/>
              <w:left w:w="0" w:type="dxa"/>
              <w:bottom w:w="0" w:type="dxa"/>
              <w:right w:w="0" w:type="dxa"/>
            </w:tcMar>
            <w:vAlign w:val="center"/>
          </w:tcPr>
          <w:p w14:paraId="221BFB90">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西</w:t>
            </w:r>
          </w:p>
        </w:tc>
        <w:tc>
          <w:tcPr>
            <w:tcW w:w="500" w:type="dxa"/>
            <w:shd w:val="clear" w:color="auto" w:fill="FFFFFF"/>
            <w:tcMar>
              <w:top w:w="0" w:type="dxa"/>
              <w:left w:w="0" w:type="dxa"/>
              <w:bottom w:w="0" w:type="dxa"/>
              <w:right w:w="0" w:type="dxa"/>
            </w:tcMar>
            <w:vAlign w:val="center"/>
          </w:tcPr>
          <w:p w14:paraId="268E80AE">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北</w:t>
            </w:r>
          </w:p>
        </w:tc>
        <w:tc>
          <w:tcPr>
            <w:tcW w:w="500" w:type="dxa"/>
            <w:shd w:val="clear" w:color="auto" w:fill="FFFFFF"/>
            <w:tcMar>
              <w:top w:w="0" w:type="dxa"/>
              <w:left w:w="0" w:type="dxa"/>
              <w:bottom w:w="0" w:type="dxa"/>
              <w:right w:w="0" w:type="dxa"/>
            </w:tcMar>
            <w:vAlign w:val="center"/>
          </w:tcPr>
          <w:p w14:paraId="43EB63FC">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东</w:t>
            </w:r>
          </w:p>
        </w:tc>
        <w:tc>
          <w:tcPr>
            <w:tcW w:w="500" w:type="dxa"/>
            <w:shd w:val="clear" w:color="auto" w:fill="FFFFFF"/>
            <w:tcMar>
              <w:top w:w="0" w:type="dxa"/>
              <w:left w:w="0" w:type="dxa"/>
              <w:bottom w:w="0" w:type="dxa"/>
              <w:right w:w="0" w:type="dxa"/>
            </w:tcMar>
            <w:vAlign w:val="center"/>
          </w:tcPr>
          <w:p w14:paraId="38678D0B">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南</w:t>
            </w:r>
          </w:p>
        </w:tc>
        <w:tc>
          <w:tcPr>
            <w:tcW w:w="585" w:type="dxa"/>
            <w:shd w:val="clear" w:color="auto" w:fill="FFFFFF"/>
            <w:tcMar>
              <w:top w:w="0" w:type="dxa"/>
              <w:left w:w="0" w:type="dxa"/>
              <w:bottom w:w="0" w:type="dxa"/>
              <w:right w:w="0" w:type="dxa"/>
            </w:tcMar>
            <w:vAlign w:val="center"/>
          </w:tcPr>
          <w:p w14:paraId="779AB84F">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西</w:t>
            </w:r>
          </w:p>
        </w:tc>
        <w:tc>
          <w:tcPr>
            <w:tcW w:w="570" w:type="dxa"/>
            <w:shd w:val="clear" w:color="auto" w:fill="FFFFFF"/>
            <w:tcMar>
              <w:top w:w="0" w:type="dxa"/>
              <w:left w:w="0" w:type="dxa"/>
              <w:bottom w:w="0" w:type="dxa"/>
              <w:right w:w="0" w:type="dxa"/>
            </w:tcMar>
            <w:vAlign w:val="center"/>
          </w:tcPr>
          <w:p w14:paraId="059D9C53">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北</w:t>
            </w:r>
          </w:p>
        </w:tc>
        <w:tc>
          <w:tcPr>
            <w:tcW w:w="488" w:type="dxa"/>
            <w:vMerge w:val="continue"/>
            <w:shd w:val="clear" w:color="auto" w:fill="FFFFFF"/>
            <w:tcMar>
              <w:top w:w="0" w:type="dxa"/>
              <w:left w:w="0" w:type="dxa"/>
              <w:bottom w:w="0" w:type="dxa"/>
              <w:right w:w="0" w:type="dxa"/>
            </w:tcMar>
            <w:vAlign w:val="center"/>
          </w:tcPr>
          <w:p w14:paraId="0A82C5BE">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p>
        </w:tc>
        <w:tc>
          <w:tcPr>
            <w:tcW w:w="909" w:type="dxa"/>
            <w:vMerge w:val="continue"/>
            <w:shd w:val="clear" w:color="auto" w:fill="FFFFFF"/>
            <w:tcMar>
              <w:top w:w="0" w:type="dxa"/>
              <w:left w:w="0" w:type="dxa"/>
              <w:bottom w:w="0" w:type="dxa"/>
              <w:right w:w="0" w:type="dxa"/>
            </w:tcMar>
            <w:vAlign w:val="center"/>
          </w:tcPr>
          <w:p w14:paraId="55E8B63B">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p>
        </w:tc>
        <w:tc>
          <w:tcPr>
            <w:tcW w:w="663" w:type="dxa"/>
            <w:shd w:val="clear" w:color="auto" w:fill="FFFFFF"/>
            <w:tcMar>
              <w:top w:w="0" w:type="dxa"/>
              <w:left w:w="0" w:type="dxa"/>
              <w:bottom w:w="0" w:type="dxa"/>
              <w:right w:w="0" w:type="dxa"/>
            </w:tcMar>
            <w:vAlign w:val="center"/>
          </w:tcPr>
          <w:p w14:paraId="5BA3D5B7">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东</w:t>
            </w:r>
          </w:p>
        </w:tc>
        <w:tc>
          <w:tcPr>
            <w:tcW w:w="592" w:type="dxa"/>
            <w:shd w:val="clear" w:color="auto" w:fill="FFFFFF"/>
            <w:tcMar>
              <w:top w:w="0" w:type="dxa"/>
              <w:left w:w="0" w:type="dxa"/>
              <w:bottom w:w="0" w:type="dxa"/>
              <w:right w:w="0" w:type="dxa"/>
            </w:tcMar>
            <w:vAlign w:val="center"/>
          </w:tcPr>
          <w:p w14:paraId="374AB6FB">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南</w:t>
            </w:r>
          </w:p>
        </w:tc>
        <w:tc>
          <w:tcPr>
            <w:tcW w:w="620" w:type="dxa"/>
            <w:shd w:val="clear" w:color="auto" w:fill="FFFFFF"/>
            <w:tcMar>
              <w:top w:w="0" w:type="dxa"/>
              <w:left w:w="0" w:type="dxa"/>
              <w:bottom w:w="0" w:type="dxa"/>
              <w:right w:w="0" w:type="dxa"/>
            </w:tcMar>
            <w:vAlign w:val="center"/>
          </w:tcPr>
          <w:p w14:paraId="485A8B6E">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西</w:t>
            </w:r>
          </w:p>
        </w:tc>
        <w:tc>
          <w:tcPr>
            <w:tcW w:w="548" w:type="dxa"/>
            <w:shd w:val="clear" w:color="auto" w:fill="FFFFFF"/>
            <w:tcMar>
              <w:top w:w="0" w:type="dxa"/>
              <w:left w:w="0" w:type="dxa"/>
              <w:bottom w:w="0" w:type="dxa"/>
              <w:right w:w="0" w:type="dxa"/>
            </w:tcMar>
            <w:vAlign w:val="center"/>
          </w:tcPr>
          <w:p w14:paraId="54A3E968">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北</w:t>
            </w:r>
          </w:p>
        </w:tc>
        <w:tc>
          <w:tcPr>
            <w:tcW w:w="761" w:type="dxa"/>
            <w:shd w:val="clear" w:color="auto" w:fill="FFFFFF"/>
            <w:tcMar>
              <w:top w:w="0" w:type="dxa"/>
              <w:left w:w="0" w:type="dxa"/>
              <w:bottom w:w="0" w:type="dxa"/>
              <w:right w:w="0" w:type="dxa"/>
            </w:tcMar>
            <w:vAlign w:val="center"/>
          </w:tcPr>
          <w:p w14:paraId="2F3E0A95">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建筑物外距离</w:t>
            </w:r>
          </w:p>
        </w:tc>
      </w:tr>
      <w:tr w14:paraId="5B28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0791B35E">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1</w:t>
            </w:r>
          </w:p>
        </w:tc>
        <w:tc>
          <w:tcPr>
            <w:tcW w:w="398" w:type="dxa"/>
            <w:vMerge w:val="restart"/>
            <w:shd w:val="clear" w:color="auto" w:fill="FFFFFF"/>
            <w:tcMar>
              <w:top w:w="0" w:type="dxa"/>
              <w:left w:w="0" w:type="dxa"/>
              <w:bottom w:w="0" w:type="dxa"/>
              <w:right w:w="0" w:type="dxa"/>
            </w:tcMar>
            <w:vAlign w:val="center"/>
          </w:tcPr>
          <w:p w14:paraId="7B9ADF9B">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厂房</w:t>
            </w:r>
          </w:p>
        </w:tc>
        <w:tc>
          <w:tcPr>
            <w:tcW w:w="847" w:type="dxa"/>
            <w:shd w:val="clear" w:color="auto" w:fill="FFFFFF"/>
            <w:tcMar>
              <w:top w:w="0" w:type="dxa"/>
              <w:left w:w="0" w:type="dxa"/>
              <w:bottom w:w="0" w:type="dxa"/>
              <w:right w:w="0" w:type="dxa"/>
            </w:tcMar>
            <w:vAlign w:val="center"/>
          </w:tcPr>
          <w:p w14:paraId="7F8141EE">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抛丸机</w:t>
            </w:r>
          </w:p>
        </w:tc>
        <w:tc>
          <w:tcPr>
            <w:tcW w:w="712" w:type="dxa"/>
            <w:shd w:val="clear" w:color="auto" w:fill="FFFFFF"/>
            <w:tcMar>
              <w:top w:w="0" w:type="dxa"/>
              <w:left w:w="0" w:type="dxa"/>
              <w:bottom w:w="0" w:type="dxa"/>
              <w:right w:w="0" w:type="dxa"/>
            </w:tcMar>
            <w:vAlign w:val="center"/>
          </w:tcPr>
          <w:p w14:paraId="1CCB34C9">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85</w:t>
            </w:r>
          </w:p>
        </w:tc>
        <w:tc>
          <w:tcPr>
            <w:tcW w:w="578" w:type="dxa"/>
            <w:vMerge w:val="restart"/>
            <w:shd w:val="clear" w:color="auto" w:fill="FFFFFF"/>
            <w:tcMar>
              <w:top w:w="0" w:type="dxa"/>
              <w:left w:w="0" w:type="dxa"/>
              <w:bottom w:w="0" w:type="dxa"/>
              <w:right w:w="0" w:type="dxa"/>
            </w:tcMar>
            <w:vAlign w:val="center"/>
          </w:tcPr>
          <w:p w14:paraId="3AB4B718">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基础减振，采取建筑隔声、减振等措施</w:t>
            </w:r>
          </w:p>
        </w:tc>
        <w:tc>
          <w:tcPr>
            <w:tcW w:w="500" w:type="dxa"/>
            <w:shd w:val="clear" w:color="auto" w:fill="FFFFFF"/>
            <w:tcMar>
              <w:top w:w="0" w:type="dxa"/>
              <w:left w:w="0" w:type="dxa"/>
              <w:bottom w:w="0" w:type="dxa"/>
              <w:right w:w="0" w:type="dxa"/>
            </w:tcMar>
            <w:vAlign w:val="center"/>
          </w:tcPr>
          <w:p w14:paraId="41E0F6C6">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8.3</w:t>
            </w:r>
          </w:p>
        </w:tc>
        <w:tc>
          <w:tcPr>
            <w:tcW w:w="520" w:type="dxa"/>
            <w:shd w:val="clear" w:color="auto" w:fill="FFFFFF"/>
            <w:tcMar>
              <w:top w:w="0" w:type="dxa"/>
              <w:left w:w="0" w:type="dxa"/>
              <w:bottom w:w="0" w:type="dxa"/>
              <w:right w:w="0" w:type="dxa"/>
            </w:tcMar>
            <w:vAlign w:val="center"/>
          </w:tcPr>
          <w:p w14:paraId="6E67E8B6">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9.1</w:t>
            </w:r>
          </w:p>
        </w:tc>
        <w:tc>
          <w:tcPr>
            <w:tcW w:w="480" w:type="dxa"/>
            <w:shd w:val="clear" w:color="auto" w:fill="FFFFFF"/>
            <w:tcMar>
              <w:top w:w="0" w:type="dxa"/>
              <w:left w:w="0" w:type="dxa"/>
              <w:bottom w:w="0" w:type="dxa"/>
              <w:right w:w="0" w:type="dxa"/>
            </w:tcMar>
            <w:vAlign w:val="center"/>
          </w:tcPr>
          <w:p w14:paraId="235785B4">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0.5</w:t>
            </w:r>
          </w:p>
        </w:tc>
        <w:tc>
          <w:tcPr>
            <w:tcW w:w="500" w:type="dxa"/>
            <w:shd w:val="clear" w:color="auto" w:fill="FFFFFF"/>
            <w:tcMar>
              <w:top w:w="0" w:type="dxa"/>
              <w:left w:w="0" w:type="dxa"/>
              <w:bottom w:w="0" w:type="dxa"/>
              <w:right w:w="0" w:type="dxa"/>
            </w:tcMar>
            <w:vAlign w:val="center"/>
          </w:tcPr>
          <w:p w14:paraId="6FB12055">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w:t>
            </w:r>
          </w:p>
        </w:tc>
        <w:tc>
          <w:tcPr>
            <w:tcW w:w="500" w:type="dxa"/>
            <w:shd w:val="clear" w:color="auto" w:fill="FFFFFF"/>
            <w:tcMar>
              <w:top w:w="0" w:type="dxa"/>
              <w:left w:w="0" w:type="dxa"/>
              <w:bottom w:w="0" w:type="dxa"/>
              <w:right w:w="0" w:type="dxa"/>
            </w:tcMar>
            <w:vAlign w:val="center"/>
          </w:tcPr>
          <w:p w14:paraId="793243D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23.4</w:t>
            </w:r>
          </w:p>
        </w:tc>
        <w:tc>
          <w:tcPr>
            <w:tcW w:w="500" w:type="dxa"/>
            <w:shd w:val="clear" w:color="auto" w:fill="FFFFFF"/>
            <w:tcMar>
              <w:top w:w="0" w:type="dxa"/>
              <w:left w:w="0" w:type="dxa"/>
              <w:bottom w:w="0" w:type="dxa"/>
              <w:right w:w="0" w:type="dxa"/>
            </w:tcMar>
            <w:vAlign w:val="center"/>
          </w:tcPr>
          <w:p w14:paraId="18610C09">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23.5</w:t>
            </w:r>
          </w:p>
        </w:tc>
        <w:tc>
          <w:tcPr>
            <w:tcW w:w="500" w:type="dxa"/>
            <w:shd w:val="clear" w:color="auto" w:fill="FFFFFF"/>
            <w:tcMar>
              <w:top w:w="0" w:type="dxa"/>
              <w:left w:w="0" w:type="dxa"/>
              <w:bottom w:w="0" w:type="dxa"/>
              <w:right w:w="0" w:type="dxa"/>
            </w:tcMar>
            <w:vAlign w:val="center"/>
          </w:tcPr>
          <w:p w14:paraId="5E177E06">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5.3</w:t>
            </w:r>
          </w:p>
        </w:tc>
        <w:tc>
          <w:tcPr>
            <w:tcW w:w="500" w:type="dxa"/>
            <w:shd w:val="clear" w:color="auto" w:fill="FFFFFF"/>
            <w:tcMar>
              <w:top w:w="0" w:type="dxa"/>
              <w:left w:w="0" w:type="dxa"/>
              <w:bottom w:w="0" w:type="dxa"/>
              <w:right w:w="0" w:type="dxa"/>
            </w:tcMar>
            <w:vAlign w:val="center"/>
          </w:tcPr>
          <w:p w14:paraId="464A945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72.4</w:t>
            </w:r>
          </w:p>
        </w:tc>
        <w:tc>
          <w:tcPr>
            <w:tcW w:w="500" w:type="dxa"/>
            <w:shd w:val="clear" w:color="auto" w:fill="FFFFFF"/>
            <w:tcMar>
              <w:top w:w="0" w:type="dxa"/>
              <w:left w:w="0" w:type="dxa"/>
              <w:bottom w:w="0" w:type="dxa"/>
              <w:right w:w="0" w:type="dxa"/>
            </w:tcMar>
            <w:vAlign w:val="center"/>
          </w:tcPr>
          <w:p w14:paraId="362946CA">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72.3</w:t>
            </w:r>
          </w:p>
        </w:tc>
        <w:tc>
          <w:tcPr>
            <w:tcW w:w="585" w:type="dxa"/>
            <w:shd w:val="clear" w:color="auto" w:fill="FFFFFF"/>
            <w:tcMar>
              <w:top w:w="0" w:type="dxa"/>
              <w:left w:w="0" w:type="dxa"/>
              <w:bottom w:w="0" w:type="dxa"/>
              <w:right w:w="0" w:type="dxa"/>
            </w:tcMar>
            <w:vAlign w:val="center"/>
          </w:tcPr>
          <w:p w14:paraId="688D78EA">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72.3</w:t>
            </w:r>
          </w:p>
        </w:tc>
        <w:tc>
          <w:tcPr>
            <w:tcW w:w="570" w:type="dxa"/>
            <w:shd w:val="clear" w:color="auto" w:fill="FFFFFF"/>
            <w:tcMar>
              <w:top w:w="0" w:type="dxa"/>
              <w:left w:w="0" w:type="dxa"/>
              <w:bottom w:w="0" w:type="dxa"/>
              <w:right w:w="0" w:type="dxa"/>
            </w:tcMar>
            <w:vAlign w:val="center"/>
          </w:tcPr>
          <w:p w14:paraId="1664986E">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72.5</w:t>
            </w:r>
          </w:p>
        </w:tc>
        <w:tc>
          <w:tcPr>
            <w:tcW w:w="488" w:type="dxa"/>
            <w:vMerge w:val="restart"/>
            <w:shd w:val="clear" w:color="auto" w:fill="FFFFFF"/>
            <w:tcMar>
              <w:top w:w="0" w:type="dxa"/>
              <w:left w:w="0" w:type="dxa"/>
              <w:bottom w:w="0" w:type="dxa"/>
              <w:right w:w="0" w:type="dxa"/>
            </w:tcMar>
            <w:vAlign w:val="center"/>
          </w:tcPr>
          <w:p w14:paraId="2C386B42">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昼间</w:t>
            </w:r>
          </w:p>
        </w:tc>
        <w:tc>
          <w:tcPr>
            <w:tcW w:w="909" w:type="dxa"/>
            <w:shd w:val="clear" w:color="auto" w:fill="FFFFFF"/>
            <w:tcMar>
              <w:top w:w="0" w:type="dxa"/>
              <w:left w:w="0" w:type="dxa"/>
              <w:bottom w:w="0" w:type="dxa"/>
              <w:right w:w="0" w:type="dxa"/>
            </w:tcMar>
            <w:vAlign w:val="center"/>
          </w:tcPr>
          <w:p w14:paraId="0B779EC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15.0</w:t>
            </w:r>
          </w:p>
        </w:tc>
        <w:tc>
          <w:tcPr>
            <w:tcW w:w="663" w:type="dxa"/>
            <w:shd w:val="clear" w:color="auto" w:fill="FFFFFF"/>
            <w:tcMar>
              <w:top w:w="0" w:type="dxa"/>
              <w:left w:w="0" w:type="dxa"/>
              <w:bottom w:w="0" w:type="dxa"/>
              <w:right w:w="0" w:type="dxa"/>
            </w:tcMar>
            <w:vAlign w:val="center"/>
          </w:tcPr>
          <w:p w14:paraId="07128C3D">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57.4</w:t>
            </w:r>
          </w:p>
        </w:tc>
        <w:tc>
          <w:tcPr>
            <w:tcW w:w="592" w:type="dxa"/>
            <w:shd w:val="clear" w:color="auto" w:fill="FFFFFF"/>
            <w:tcMar>
              <w:top w:w="0" w:type="dxa"/>
              <w:left w:w="0" w:type="dxa"/>
              <w:bottom w:w="0" w:type="dxa"/>
              <w:right w:w="0" w:type="dxa"/>
            </w:tcMar>
            <w:vAlign w:val="center"/>
          </w:tcPr>
          <w:p w14:paraId="6D9ABB20">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57.3</w:t>
            </w:r>
          </w:p>
        </w:tc>
        <w:tc>
          <w:tcPr>
            <w:tcW w:w="620" w:type="dxa"/>
            <w:shd w:val="clear" w:color="auto" w:fill="FFFFFF"/>
            <w:tcMar>
              <w:top w:w="0" w:type="dxa"/>
              <w:left w:w="0" w:type="dxa"/>
              <w:bottom w:w="0" w:type="dxa"/>
              <w:right w:w="0" w:type="dxa"/>
            </w:tcMar>
            <w:vAlign w:val="center"/>
          </w:tcPr>
          <w:p w14:paraId="6409B8F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57.3</w:t>
            </w:r>
          </w:p>
        </w:tc>
        <w:tc>
          <w:tcPr>
            <w:tcW w:w="548" w:type="dxa"/>
            <w:shd w:val="clear" w:color="auto" w:fill="FFFFFF"/>
            <w:tcMar>
              <w:top w:w="0" w:type="dxa"/>
              <w:left w:w="0" w:type="dxa"/>
              <w:bottom w:w="0" w:type="dxa"/>
              <w:right w:w="0" w:type="dxa"/>
            </w:tcMar>
            <w:vAlign w:val="center"/>
          </w:tcPr>
          <w:p w14:paraId="64094C12">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57.5</w:t>
            </w:r>
          </w:p>
        </w:tc>
        <w:tc>
          <w:tcPr>
            <w:tcW w:w="761" w:type="dxa"/>
            <w:shd w:val="clear" w:color="auto" w:fill="FFFFFF"/>
            <w:tcMar>
              <w:top w:w="0" w:type="dxa"/>
              <w:left w:w="0" w:type="dxa"/>
              <w:bottom w:w="0" w:type="dxa"/>
              <w:right w:w="0" w:type="dxa"/>
            </w:tcMar>
            <w:vAlign w:val="center"/>
          </w:tcPr>
          <w:p w14:paraId="53B829CD">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w:t>
            </w:r>
          </w:p>
        </w:tc>
      </w:tr>
      <w:tr w14:paraId="1880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3BD4B9F5">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2</w:t>
            </w:r>
          </w:p>
        </w:tc>
        <w:tc>
          <w:tcPr>
            <w:tcW w:w="398" w:type="dxa"/>
            <w:vMerge w:val="continue"/>
            <w:shd w:val="clear" w:color="auto" w:fill="FFFFFF"/>
            <w:tcMar>
              <w:top w:w="0" w:type="dxa"/>
              <w:left w:w="0" w:type="dxa"/>
              <w:bottom w:w="0" w:type="dxa"/>
              <w:right w:w="0" w:type="dxa"/>
            </w:tcMar>
            <w:vAlign w:val="center"/>
          </w:tcPr>
          <w:p w14:paraId="6AEEC158">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p>
        </w:tc>
        <w:tc>
          <w:tcPr>
            <w:tcW w:w="847" w:type="dxa"/>
            <w:shd w:val="clear" w:color="auto" w:fill="FFFFFF"/>
            <w:tcMar>
              <w:top w:w="0" w:type="dxa"/>
              <w:left w:w="0" w:type="dxa"/>
              <w:bottom w:w="0" w:type="dxa"/>
              <w:right w:w="0" w:type="dxa"/>
            </w:tcMar>
            <w:vAlign w:val="center"/>
          </w:tcPr>
          <w:p w14:paraId="647C48E6">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喷枪</w:t>
            </w:r>
          </w:p>
        </w:tc>
        <w:tc>
          <w:tcPr>
            <w:tcW w:w="712" w:type="dxa"/>
            <w:shd w:val="clear" w:color="auto" w:fill="FFFFFF"/>
            <w:tcMar>
              <w:top w:w="0" w:type="dxa"/>
              <w:left w:w="0" w:type="dxa"/>
              <w:bottom w:w="0" w:type="dxa"/>
              <w:right w:w="0" w:type="dxa"/>
            </w:tcMar>
            <w:vAlign w:val="center"/>
          </w:tcPr>
          <w:p w14:paraId="0F058A2E">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75</w:t>
            </w:r>
          </w:p>
        </w:tc>
        <w:tc>
          <w:tcPr>
            <w:tcW w:w="578" w:type="dxa"/>
            <w:vMerge w:val="continue"/>
            <w:shd w:val="clear" w:color="auto" w:fill="FFFFFF"/>
            <w:tcMar>
              <w:top w:w="0" w:type="dxa"/>
              <w:left w:w="0" w:type="dxa"/>
              <w:bottom w:w="0" w:type="dxa"/>
              <w:right w:w="0" w:type="dxa"/>
            </w:tcMar>
            <w:vAlign w:val="center"/>
          </w:tcPr>
          <w:p w14:paraId="6292CC64">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500" w:type="dxa"/>
            <w:shd w:val="clear" w:color="auto" w:fill="FFFFFF"/>
            <w:tcMar>
              <w:top w:w="0" w:type="dxa"/>
              <w:left w:w="0" w:type="dxa"/>
              <w:bottom w:w="0" w:type="dxa"/>
              <w:right w:w="0" w:type="dxa"/>
            </w:tcMar>
            <w:vAlign w:val="center"/>
          </w:tcPr>
          <w:p w14:paraId="34B815AF">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-6.2</w:t>
            </w:r>
          </w:p>
        </w:tc>
        <w:tc>
          <w:tcPr>
            <w:tcW w:w="520" w:type="dxa"/>
            <w:shd w:val="clear" w:color="auto" w:fill="FFFFFF"/>
            <w:tcMar>
              <w:top w:w="0" w:type="dxa"/>
              <w:left w:w="0" w:type="dxa"/>
              <w:bottom w:w="0" w:type="dxa"/>
              <w:right w:w="0" w:type="dxa"/>
            </w:tcMar>
            <w:vAlign w:val="center"/>
          </w:tcPr>
          <w:p w14:paraId="1524AFFF">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-8.6</w:t>
            </w:r>
          </w:p>
        </w:tc>
        <w:tc>
          <w:tcPr>
            <w:tcW w:w="480" w:type="dxa"/>
            <w:shd w:val="clear" w:color="auto" w:fill="FFFFFF"/>
            <w:tcMar>
              <w:top w:w="0" w:type="dxa"/>
              <w:left w:w="0" w:type="dxa"/>
              <w:bottom w:w="0" w:type="dxa"/>
              <w:right w:w="0" w:type="dxa"/>
            </w:tcMar>
            <w:vAlign w:val="center"/>
          </w:tcPr>
          <w:p w14:paraId="3B807FCF">
            <w:pPr>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w:t>
            </w:r>
          </w:p>
        </w:tc>
        <w:tc>
          <w:tcPr>
            <w:tcW w:w="500" w:type="dxa"/>
            <w:shd w:val="clear" w:color="auto" w:fill="FFFFFF"/>
            <w:tcMar>
              <w:top w:w="0" w:type="dxa"/>
              <w:left w:w="0" w:type="dxa"/>
              <w:bottom w:w="0" w:type="dxa"/>
              <w:right w:w="0" w:type="dxa"/>
            </w:tcMar>
            <w:vAlign w:val="center"/>
          </w:tcPr>
          <w:p w14:paraId="4BB40E8D">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21.2</w:t>
            </w:r>
          </w:p>
        </w:tc>
        <w:tc>
          <w:tcPr>
            <w:tcW w:w="500" w:type="dxa"/>
            <w:shd w:val="clear" w:color="auto" w:fill="FFFFFF"/>
            <w:tcMar>
              <w:top w:w="0" w:type="dxa"/>
              <w:left w:w="0" w:type="dxa"/>
              <w:bottom w:w="0" w:type="dxa"/>
              <w:right w:w="0" w:type="dxa"/>
            </w:tcMar>
            <w:vAlign w:val="center"/>
          </w:tcPr>
          <w:p w14:paraId="559F15B5">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5.7</w:t>
            </w:r>
          </w:p>
        </w:tc>
        <w:tc>
          <w:tcPr>
            <w:tcW w:w="500" w:type="dxa"/>
            <w:shd w:val="clear" w:color="auto" w:fill="FFFFFF"/>
            <w:tcMar>
              <w:top w:w="0" w:type="dxa"/>
              <w:left w:w="0" w:type="dxa"/>
              <w:bottom w:w="0" w:type="dxa"/>
              <w:right w:w="0" w:type="dxa"/>
            </w:tcMar>
            <w:vAlign w:val="center"/>
          </w:tcPr>
          <w:p w14:paraId="53109C7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9.0</w:t>
            </w:r>
          </w:p>
        </w:tc>
        <w:tc>
          <w:tcPr>
            <w:tcW w:w="500" w:type="dxa"/>
            <w:shd w:val="clear" w:color="auto" w:fill="FFFFFF"/>
            <w:tcMar>
              <w:top w:w="0" w:type="dxa"/>
              <w:left w:w="0" w:type="dxa"/>
              <w:bottom w:w="0" w:type="dxa"/>
              <w:right w:w="0" w:type="dxa"/>
            </w:tcMar>
            <w:vAlign w:val="center"/>
          </w:tcPr>
          <w:p w14:paraId="3F4F67A8">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23.0</w:t>
            </w:r>
          </w:p>
        </w:tc>
        <w:tc>
          <w:tcPr>
            <w:tcW w:w="500" w:type="dxa"/>
            <w:shd w:val="clear" w:color="auto" w:fill="FFFFFF"/>
            <w:tcMar>
              <w:top w:w="0" w:type="dxa"/>
              <w:left w:w="0" w:type="dxa"/>
              <w:bottom w:w="0" w:type="dxa"/>
              <w:right w:w="0" w:type="dxa"/>
            </w:tcMar>
            <w:vAlign w:val="center"/>
          </w:tcPr>
          <w:p w14:paraId="64487D7B">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62.3</w:t>
            </w:r>
          </w:p>
        </w:tc>
        <w:tc>
          <w:tcPr>
            <w:tcW w:w="500" w:type="dxa"/>
            <w:shd w:val="clear" w:color="auto" w:fill="FFFFFF"/>
            <w:tcMar>
              <w:top w:w="0" w:type="dxa"/>
              <w:left w:w="0" w:type="dxa"/>
              <w:bottom w:w="0" w:type="dxa"/>
              <w:right w:w="0" w:type="dxa"/>
            </w:tcMar>
            <w:vAlign w:val="center"/>
          </w:tcPr>
          <w:p w14:paraId="4C02D5A3">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62.5</w:t>
            </w:r>
          </w:p>
        </w:tc>
        <w:tc>
          <w:tcPr>
            <w:tcW w:w="585" w:type="dxa"/>
            <w:shd w:val="clear" w:color="auto" w:fill="FFFFFF"/>
            <w:tcMar>
              <w:top w:w="0" w:type="dxa"/>
              <w:left w:w="0" w:type="dxa"/>
              <w:bottom w:w="0" w:type="dxa"/>
              <w:right w:w="0" w:type="dxa"/>
            </w:tcMar>
            <w:vAlign w:val="center"/>
          </w:tcPr>
          <w:p w14:paraId="23CAB505">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62.3</w:t>
            </w:r>
          </w:p>
        </w:tc>
        <w:tc>
          <w:tcPr>
            <w:tcW w:w="570" w:type="dxa"/>
            <w:shd w:val="clear" w:color="auto" w:fill="FFFFFF"/>
            <w:tcMar>
              <w:top w:w="0" w:type="dxa"/>
              <w:left w:w="0" w:type="dxa"/>
              <w:bottom w:w="0" w:type="dxa"/>
              <w:right w:w="0" w:type="dxa"/>
            </w:tcMar>
            <w:vAlign w:val="center"/>
          </w:tcPr>
          <w:p w14:paraId="328F3C63">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62.3</w:t>
            </w:r>
          </w:p>
        </w:tc>
        <w:tc>
          <w:tcPr>
            <w:tcW w:w="488" w:type="dxa"/>
            <w:vMerge w:val="continue"/>
            <w:shd w:val="clear" w:color="auto" w:fill="FFFFFF"/>
            <w:tcMar>
              <w:top w:w="0" w:type="dxa"/>
              <w:left w:w="0" w:type="dxa"/>
              <w:bottom w:w="0" w:type="dxa"/>
              <w:right w:w="0" w:type="dxa"/>
            </w:tcMar>
            <w:vAlign w:val="center"/>
          </w:tcPr>
          <w:p w14:paraId="3C0C64F4">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909" w:type="dxa"/>
            <w:shd w:val="clear" w:color="auto" w:fill="FFFFFF"/>
            <w:tcMar>
              <w:top w:w="0" w:type="dxa"/>
              <w:left w:w="0" w:type="dxa"/>
              <w:bottom w:w="0" w:type="dxa"/>
              <w:right w:w="0" w:type="dxa"/>
            </w:tcMar>
            <w:vAlign w:val="center"/>
          </w:tcPr>
          <w:p w14:paraId="4289A6F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15.0</w:t>
            </w:r>
          </w:p>
        </w:tc>
        <w:tc>
          <w:tcPr>
            <w:tcW w:w="663" w:type="dxa"/>
            <w:shd w:val="clear" w:color="auto" w:fill="FFFFFF"/>
            <w:tcMar>
              <w:top w:w="0" w:type="dxa"/>
              <w:left w:w="0" w:type="dxa"/>
              <w:bottom w:w="0" w:type="dxa"/>
              <w:right w:w="0" w:type="dxa"/>
            </w:tcMar>
            <w:vAlign w:val="center"/>
          </w:tcPr>
          <w:p w14:paraId="35D6AEF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47.3</w:t>
            </w:r>
          </w:p>
        </w:tc>
        <w:tc>
          <w:tcPr>
            <w:tcW w:w="592" w:type="dxa"/>
            <w:shd w:val="clear" w:color="auto" w:fill="FFFFFF"/>
            <w:tcMar>
              <w:top w:w="0" w:type="dxa"/>
              <w:left w:w="0" w:type="dxa"/>
              <w:bottom w:w="0" w:type="dxa"/>
              <w:right w:w="0" w:type="dxa"/>
            </w:tcMar>
            <w:vAlign w:val="center"/>
          </w:tcPr>
          <w:p w14:paraId="080308C9">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47.5</w:t>
            </w:r>
          </w:p>
        </w:tc>
        <w:tc>
          <w:tcPr>
            <w:tcW w:w="620" w:type="dxa"/>
            <w:shd w:val="clear" w:color="auto" w:fill="FFFFFF"/>
            <w:tcMar>
              <w:top w:w="0" w:type="dxa"/>
              <w:left w:w="0" w:type="dxa"/>
              <w:bottom w:w="0" w:type="dxa"/>
              <w:right w:w="0" w:type="dxa"/>
            </w:tcMar>
            <w:vAlign w:val="center"/>
          </w:tcPr>
          <w:p w14:paraId="7774AC55">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47.3</w:t>
            </w:r>
          </w:p>
        </w:tc>
        <w:tc>
          <w:tcPr>
            <w:tcW w:w="548" w:type="dxa"/>
            <w:shd w:val="clear" w:color="auto" w:fill="FFFFFF"/>
            <w:tcMar>
              <w:top w:w="0" w:type="dxa"/>
              <w:left w:w="0" w:type="dxa"/>
              <w:bottom w:w="0" w:type="dxa"/>
              <w:right w:w="0" w:type="dxa"/>
            </w:tcMar>
            <w:vAlign w:val="center"/>
          </w:tcPr>
          <w:p w14:paraId="52042440">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47.3</w:t>
            </w:r>
          </w:p>
        </w:tc>
        <w:tc>
          <w:tcPr>
            <w:tcW w:w="761" w:type="dxa"/>
            <w:shd w:val="clear" w:color="auto" w:fill="FFFFFF"/>
            <w:tcMar>
              <w:top w:w="0" w:type="dxa"/>
              <w:left w:w="0" w:type="dxa"/>
              <w:bottom w:w="0" w:type="dxa"/>
              <w:right w:w="0" w:type="dxa"/>
            </w:tcMar>
            <w:vAlign w:val="center"/>
          </w:tcPr>
          <w:p w14:paraId="03EF9055">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w:t>
            </w:r>
          </w:p>
        </w:tc>
      </w:tr>
      <w:tr w14:paraId="6338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1E911289">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3</w:t>
            </w:r>
          </w:p>
        </w:tc>
        <w:tc>
          <w:tcPr>
            <w:tcW w:w="398" w:type="dxa"/>
            <w:vMerge w:val="continue"/>
            <w:shd w:val="clear" w:color="auto" w:fill="FFFFFF"/>
            <w:tcMar>
              <w:top w:w="0" w:type="dxa"/>
              <w:left w:w="0" w:type="dxa"/>
              <w:bottom w:w="0" w:type="dxa"/>
              <w:right w:w="0" w:type="dxa"/>
            </w:tcMar>
            <w:vAlign w:val="center"/>
          </w:tcPr>
          <w:p w14:paraId="3E80CB77">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p>
        </w:tc>
        <w:tc>
          <w:tcPr>
            <w:tcW w:w="847" w:type="dxa"/>
            <w:shd w:val="clear" w:color="auto" w:fill="FFFFFF"/>
            <w:tcMar>
              <w:top w:w="0" w:type="dxa"/>
              <w:left w:w="0" w:type="dxa"/>
              <w:bottom w:w="0" w:type="dxa"/>
              <w:right w:w="0" w:type="dxa"/>
            </w:tcMar>
            <w:vAlign w:val="center"/>
          </w:tcPr>
          <w:p w14:paraId="6E0A68D2">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燃烧机</w:t>
            </w:r>
          </w:p>
        </w:tc>
        <w:tc>
          <w:tcPr>
            <w:tcW w:w="712" w:type="dxa"/>
            <w:shd w:val="clear" w:color="auto" w:fill="FFFFFF"/>
            <w:tcMar>
              <w:top w:w="0" w:type="dxa"/>
              <w:left w:w="0" w:type="dxa"/>
              <w:bottom w:w="0" w:type="dxa"/>
              <w:right w:w="0" w:type="dxa"/>
            </w:tcMar>
            <w:vAlign w:val="center"/>
          </w:tcPr>
          <w:p w14:paraId="2064434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79</w:t>
            </w:r>
          </w:p>
        </w:tc>
        <w:tc>
          <w:tcPr>
            <w:tcW w:w="578" w:type="dxa"/>
            <w:vMerge w:val="continue"/>
            <w:shd w:val="clear" w:color="auto" w:fill="FFFFFF"/>
            <w:tcMar>
              <w:top w:w="0" w:type="dxa"/>
              <w:left w:w="0" w:type="dxa"/>
              <w:bottom w:w="0" w:type="dxa"/>
              <w:right w:w="0" w:type="dxa"/>
            </w:tcMar>
            <w:vAlign w:val="center"/>
          </w:tcPr>
          <w:p w14:paraId="41754EA9">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500" w:type="dxa"/>
            <w:shd w:val="clear" w:color="auto" w:fill="FFFFFF"/>
            <w:tcMar>
              <w:top w:w="0" w:type="dxa"/>
              <w:left w:w="0" w:type="dxa"/>
              <w:bottom w:w="0" w:type="dxa"/>
              <w:right w:w="0" w:type="dxa"/>
            </w:tcMar>
            <w:vAlign w:val="center"/>
          </w:tcPr>
          <w:p w14:paraId="4C5783C2">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-3.6</w:t>
            </w:r>
          </w:p>
        </w:tc>
        <w:tc>
          <w:tcPr>
            <w:tcW w:w="520" w:type="dxa"/>
            <w:shd w:val="clear" w:color="auto" w:fill="FFFFFF"/>
            <w:tcMar>
              <w:top w:w="0" w:type="dxa"/>
              <w:left w:w="0" w:type="dxa"/>
              <w:bottom w:w="0" w:type="dxa"/>
              <w:right w:w="0" w:type="dxa"/>
            </w:tcMar>
            <w:vAlign w:val="center"/>
          </w:tcPr>
          <w:p w14:paraId="54668590">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-4.4</w:t>
            </w:r>
          </w:p>
        </w:tc>
        <w:tc>
          <w:tcPr>
            <w:tcW w:w="480" w:type="dxa"/>
            <w:shd w:val="clear" w:color="auto" w:fill="FFFFFF"/>
            <w:tcMar>
              <w:top w:w="0" w:type="dxa"/>
              <w:left w:w="0" w:type="dxa"/>
              <w:bottom w:w="0" w:type="dxa"/>
              <w:right w:w="0" w:type="dxa"/>
            </w:tcMar>
            <w:vAlign w:val="center"/>
          </w:tcPr>
          <w:p w14:paraId="7C1EC837">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0.8</w:t>
            </w:r>
          </w:p>
        </w:tc>
        <w:tc>
          <w:tcPr>
            <w:tcW w:w="500" w:type="dxa"/>
            <w:shd w:val="clear" w:color="auto" w:fill="FFFFFF"/>
            <w:tcMar>
              <w:top w:w="0" w:type="dxa"/>
              <w:left w:w="0" w:type="dxa"/>
              <w:bottom w:w="0" w:type="dxa"/>
              <w:right w:w="0" w:type="dxa"/>
            </w:tcMar>
            <w:vAlign w:val="center"/>
          </w:tcPr>
          <w:p w14:paraId="43F3DD31">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18.6</w:t>
            </w:r>
          </w:p>
        </w:tc>
        <w:tc>
          <w:tcPr>
            <w:tcW w:w="500" w:type="dxa"/>
            <w:shd w:val="clear" w:color="auto" w:fill="FFFFFF"/>
            <w:tcMar>
              <w:top w:w="0" w:type="dxa"/>
              <w:left w:w="0" w:type="dxa"/>
              <w:bottom w:w="0" w:type="dxa"/>
              <w:right w:w="0" w:type="dxa"/>
            </w:tcMar>
            <w:vAlign w:val="center"/>
          </w:tcPr>
          <w:p w14:paraId="7D797A56">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9.9</w:t>
            </w:r>
          </w:p>
        </w:tc>
        <w:tc>
          <w:tcPr>
            <w:tcW w:w="500" w:type="dxa"/>
            <w:shd w:val="clear" w:color="auto" w:fill="FFFFFF"/>
            <w:tcMar>
              <w:top w:w="0" w:type="dxa"/>
              <w:left w:w="0" w:type="dxa"/>
              <w:bottom w:w="0" w:type="dxa"/>
              <w:right w:w="0" w:type="dxa"/>
            </w:tcMar>
            <w:vAlign w:val="center"/>
          </w:tcPr>
          <w:p w14:paraId="385737C5">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11.6</w:t>
            </w:r>
          </w:p>
        </w:tc>
        <w:tc>
          <w:tcPr>
            <w:tcW w:w="500" w:type="dxa"/>
            <w:shd w:val="clear" w:color="auto" w:fill="FFFFFF"/>
            <w:tcMar>
              <w:top w:w="0" w:type="dxa"/>
              <w:left w:w="0" w:type="dxa"/>
              <w:bottom w:w="0" w:type="dxa"/>
              <w:right w:w="0" w:type="dxa"/>
            </w:tcMar>
            <w:vAlign w:val="center"/>
          </w:tcPr>
          <w:p w14:paraId="0503443B">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18.8</w:t>
            </w:r>
          </w:p>
        </w:tc>
        <w:tc>
          <w:tcPr>
            <w:tcW w:w="500" w:type="dxa"/>
            <w:shd w:val="clear" w:color="auto" w:fill="FFFFFF"/>
            <w:tcMar>
              <w:top w:w="0" w:type="dxa"/>
              <w:left w:w="0" w:type="dxa"/>
              <w:bottom w:w="0" w:type="dxa"/>
              <w:right w:w="0" w:type="dxa"/>
            </w:tcMar>
            <w:vAlign w:val="center"/>
          </w:tcPr>
          <w:p w14:paraId="695D3FBB">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66.3</w:t>
            </w:r>
          </w:p>
        </w:tc>
        <w:tc>
          <w:tcPr>
            <w:tcW w:w="500" w:type="dxa"/>
            <w:shd w:val="clear" w:color="auto" w:fill="FFFFFF"/>
            <w:tcMar>
              <w:top w:w="0" w:type="dxa"/>
              <w:left w:w="0" w:type="dxa"/>
              <w:bottom w:w="0" w:type="dxa"/>
              <w:right w:w="0" w:type="dxa"/>
            </w:tcMar>
            <w:vAlign w:val="center"/>
          </w:tcPr>
          <w:p w14:paraId="3962E0E5">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66.3</w:t>
            </w:r>
          </w:p>
        </w:tc>
        <w:tc>
          <w:tcPr>
            <w:tcW w:w="585" w:type="dxa"/>
            <w:shd w:val="clear" w:color="auto" w:fill="FFFFFF"/>
            <w:tcMar>
              <w:top w:w="0" w:type="dxa"/>
              <w:left w:w="0" w:type="dxa"/>
              <w:bottom w:w="0" w:type="dxa"/>
              <w:right w:w="0" w:type="dxa"/>
            </w:tcMar>
            <w:vAlign w:val="center"/>
          </w:tcPr>
          <w:p w14:paraId="215A839D">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66.3</w:t>
            </w:r>
          </w:p>
        </w:tc>
        <w:tc>
          <w:tcPr>
            <w:tcW w:w="570" w:type="dxa"/>
            <w:shd w:val="clear" w:color="auto" w:fill="FFFFFF"/>
            <w:tcMar>
              <w:top w:w="0" w:type="dxa"/>
              <w:left w:w="0" w:type="dxa"/>
              <w:bottom w:w="0" w:type="dxa"/>
              <w:right w:w="0" w:type="dxa"/>
            </w:tcMar>
            <w:vAlign w:val="center"/>
          </w:tcPr>
          <w:p w14:paraId="2877F062">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66.3</w:t>
            </w:r>
          </w:p>
        </w:tc>
        <w:tc>
          <w:tcPr>
            <w:tcW w:w="488" w:type="dxa"/>
            <w:vMerge w:val="continue"/>
            <w:shd w:val="clear" w:color="auto" w:fill="FFFFFF"/>
            <w:tcMar>
              <w:top w:w="0" w:type="dxa"/>
              <w:left w:w="0" w:type="dxa"/>
              <w:bottom w:w="0" w:type="dxa"/>
              <w:right w:w="0" w:type="dxa"/>
            </w:tcMar>
            <w:vAlign w:val="center"/>
          </w:tcPr>
          <w:p w14:paraId="1C4DAAFB">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909" w:type="dxa"/>
            <w:shd w:val="clear" w:color="auto" w:fill="FFFFFF"/>
            <w:tcMar>
              <w:top w:w="0" w:type="dxa"/>
              <w:left w:w="0" w:type="dxa"/>
              <w:bottom w:w="0" w:type="dxa"/>
              <w:right w:w="0" w:type="dxa"/>
            </w:tcMar>
            <w:vAlign w:val="center"/>
          </w:tcPr>
          <w:p w14:paraId="6AA52EAE">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15.0</w:t>
            </w:r>
          </w:p>
        </w:tc>
        <w:tc>
          <w:tcPr>
            <w:tcW w:w="663" w:type="dxa"/>
            <w:shd w:val="clear" w:color="auto" w:fill="FFFFFF"/>
            <w:tcMar>
              <w:top w:w="0" w:type="dxa"/>
              <w:left w:w="0" w:type="dxa"/>
              <w:bottom w:w="0" w:type="dxa"/>
              <w:right w:w="0" w:type="dxa"/>
            </w:tcMar>
            <w:vAlign w:val="center"/>
          </w:tcPr>
          <w:p w14:paraId="5DFCBEB2">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51.3</w:t>
            </w:r>
          </w:p>
        </w:tc>
        <w:tc>
          <w:tcPr>
            <w:tcW w:w="592" w:type="dxa"/>
            <w:shd w:val="clear" w:color="auto" w:fill="FFFFFF"/>
            <w:tcMar>
              <w:top w:w="0" w:type="dxa"/>
              <w:left w:w="0" w:type="dxa"/>
              <w:bottom w:w="0" w:type="dxa"/>
              <w:right w:w="0" w:type="dxa"/>
            </w:tcMar>
            <w:vAlign w:val="center"/>
          </w:tcPr>
          <w:p w14:paraId="442CABAC">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51.3</w:t>
            </w:r>
          </w:p>
        </w:tc>
        <w:tc>
          <w:tcPr>
            <w:tcW w:w="620" w:type="dxa"/>
            <w:shd w:val="clear" w:color="auto" w:fill="FFFFFF"/>
            <w:tcMar>
              <w:top w:w="0" w:type="dxa"/>
              <w:left w:w="0" w:type="dxa"/>
              <w:bottom w:w="0" w:type="dxa"/>
              <w:right w:w="0" w:type="dxa"/>
            </w:tcMar>
            <w:vAlign w:val="center"/>
          </w:tcPr>
          <w:p w14:paraId="00C2CCBD">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51.3</w:t>
            </w:r>
          </w:p>
        </w:tc>
        <w:tc>
          <w:tcPr>
            <w:tcW w:w="548" w:type="dxa"/>
            <w:shd w:val="clear" w:color="auto" w:fill="FFFFFF"/>
            <w:tcMar>
              <w:top w:w="0" w:type="dxa"/>
              <w:left w:w="0" w:type="dxa"/>
              <w:bottom w:w="0" w:type="dxa"/>
              <w:right w:w="0" w:type="dxa"/>
            </w:tcMar>
            <w:vAlign w:val="center"/>
          </w:tcPr>
          <w:p w14:paraId="4C352DAD">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51.3</w:t>
            </w:r>
          </w:p>
        </w:tc>
        <w:tc>
          <w:tcPr>
            <w:tcW w:w="761" w:type="dxa"/>
            <w:shd w:val="clear" w:color="auto" w:fill="FFFFFF"/>
            <w:tcMar>
              <w:top w:w="0" w:type="dxa"/>
              <w:left w:w="0" w:type="dxa"/>
              <w:bottom w:w="0" w:type="dxa"/>
              <w:right w:w="0" w:type="dxa"/>
            </w:tcMar>
            <w:vAlign w:val="center"/>
          </w:tcPr>
          <w:p w14:paraId="2F261679">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w:t>
            </w:r>
          </w:p>
        </w:tc>
      </w:tr>
      <w:tr w14:paraId="74B3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48" w:type="dxa"/>
            <w:shd w:val="clear" w:color="auto" w:fill="FFFFFF"/>
            <w:tcMar>
              <w:top w:w="0" w:type="dxa"/>
              <w:left w:w="0" w:type="dxa"/>
              <w:bottom w:w="0" w:type="dxa"/>
              <w:right w:w="0" w:type="dxa"/>
            </w:tcMar>
            <w:vAlign w:val="center"/>
          </w:tcPr>
          <w:p w14:paraId="1A5B49BA">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4</w:t>
            </w:r>
          </w:p>
        </w:tc>
        <w:tc>
          <w:tcPr>
            <w:tcW w:w="398" w:type="dxa"/>
            <w:vMerge w:val="continue"/>
            <w:shd w:val="clear" w:color="auto" w:fill="FFFFFF"/>
            <w:tcMar>
              <w:top w:w="0" w:type="dxa"/>
              <w:left w:w="0" w:type="dxa"/>
              <w:bottom w:w="0" w:type="dxa"/>
              <w:right w:w="0" w:type="dxa"/>
            </w:tcMar>
            <w:vAlign w:val="center"/>
          </w:tcPr>
          <w:p w14:paraId="3B281A5F">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p>
        </w:tc>
        <w:tc>
          <w:tcPr>
            <w:tcW w:w="847" w:type="dxa"/>
            <w:shd w:val="clear" w:color="auto" w:fill="FFFFFF"/>
            <w:tcMar>
              <w:top w:w="0" w:type="dxa"/>
              <w:left w:w="0" w:type="dxa"/>
              <w:bottom w:w="0" w:type="dxa"/>
              <w:right w:w="0" w:type="dxa"/>
            </w:tcMar>
            <w:vAlign w:val="center"/>
          </w:tcPr>
          <w:p w14:paraId="0C88720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空压机</w:t>
            </w:r>
          </w:p>
        </w:tc>
        <w:tc>
          <w:tcPr>
            <w:tcW w:w="712" w:type="dxa"/>
            <w:shd w:val="clear" w:color="auto" w:fill="FFFFFF"/>
            <w:tcMar>
              <w:top w:w="0" w:type="dxa"/>
              <w:left w:w="0" w:type="dxa"/>
              <w:bottom w:w="0" w:type="dxa"/>
              <w:right w:w="0" w:type="dxa"/>
            </w:tcMar>
            <w:vAlign w:val="center"/>
          </w:tcPr>
          <w:p w14:paraId="698B1CE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80</w:t>
            </w:r>
          </w:p>
        </w:tc>
        <w:tc>
          <w:tcPr>
            <w:tcW w:w="578" w:type="dxa"/>
            <w:vMerge w:val="continue"/>
            <w:shd w:val="clear" w:color="auto" w:fill="FFFFFF"/>
            <w:tcMar>
              <w:top w:w="0" w:type="dxa"/>
              <w:left w:w="0" w:type="dxa"/>
              <w:bottom w:w="0" w:type="dxa"/>
              <w:right w:w="0" w:type="dxa"/>
            </w:tcMar>
            <w:vAlign w:val="center"/>
          </w:tcPr>
          <w:p w14:paraId="18E0CA1F">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500" w:type="dxa"/>
            <w:shd w:val="clear" w:color="auto" w:fill="FFFFFF"/>
            <w:tcMar>
              <w:top w:w="0" w:type="dxa"/>
              <w:left w:w="0" w:type="dxa"/>
              <w:bottom w:w="0" w:type="dxa"/>
              <w:right w:w="0" w:type="dxa"/>
            </w:tcMar>
            <w:vAlign w:val="center"/>
          </w:tcPr>
          <w:p w14:paraId="02B6D8F0">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10.2</w:t>
            </w:r>
          </w:p>
        </w:tc>
        <w:tc>
          <w:tcPr>
            <w:tcW w:w="520" w:type="dxa"/>
            <w:shd w:val="clear" w:color="auto" w:fill="FFFFFF"/>
            <w:tcMar>
              <w:top w:w="0" w:type="dxa"/>
              <w:left w:w="0" w:type="dxa"/>
              <w:bottom w:w="0" w:type="dxa"/>
              <w:right w:w="0" w:type="dxa"/>
            </w:tcMar>
            <w:vAlign w:val="center"/>
          </w:tcPr>
          <w:p w14:paraId="3BAD223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9.1</w:t>
            </w:r>
          </w:p>
        </w:tc>
        <w:tc>
          <w:tcPr>
            <w:tcW w:w="480" w:type="dxa"/>
            <w:shd w:val="clear" w:color="auto" w:fill="FFFFFF"/>
            <w:tcMar>
              <w:top w:w="0" w:type="dxa"/>
              <w:left w:w="0" w:type="dxa"/>
              <w:bottom w:w="0" w:type="dxa"/>
              <w:right w:w="0" w:type="dxa"/>
            </w:tcMar>
            <w:vAlign w:val="center"/>
          </w:tcPr>
          <w:p w14:paraId="7C066634">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0.3</w:t>
            </w:r>
          </w:p>
        </w:tc>
        <w:tc>
          <w:tcPr>
            <w:tcW w:w="500" w:type="dxa"/>
            <w:shd w:val="clear" w:color="auto" w:fill="FFFFFF"/>
            <w:tcMar>
              <w:top w:w="0" w:type="dxa"/>
              <w:left w:w="0" w:type="dxa"/>
              <w:bottom w:w="0" w:type="dxa"/>
              <w:right w:w="0" w:type="dxa"/>
            </w:tcMar>
            <w:vAlign w:val="center"/>
          </w:tcPr>
          <w:p w14:paraId="1C8BE203">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4.8</w:t>
            </w:r>
          </w:p>
        </w:tc>
        <w:tc>
          <w:tcPr>
            <w:tcW w:w="500" w:type="dxa"/>
            <w:shd w:val="clear" w:color="auto" w:fill="FFFFFF"/>
            <w:tcMar>
              <w:top w:w="0" w:type="dxa"/>
              <w:left w:w="0" w:type="dxa"/>
              <w:bottom w:w="0" w:type="dxa"/>
              <w:right w:w="0" w:type="dxa"/>
            </w:tcMar>
            <w:vAlign w:val="center"/>
          </w:tcPr>
          <w:p w14:paraId="3D6A502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23.4</w:t>
            </w:r>
          </w:p>
        </w:tc>
        <w:tc>
          <w:tcPr>
            <w:tcW w:w="500" w:type="dxa"/>
            <w:shd w:val="clear" w:color="auto" w:fill="FFFFFF"/>
            <w:tcMar>
              <w:top w:w="0" w:type="dxa"/>
              <w:left w:w="0" w:type="dxa"/>
              <w:bottom w:w="0" w:type="dxa"/>
              <w:right w:w="0" w:type="dxa"/>
            </w:tcMar>
            <w:vAlign w:val="center"/>
          </w:tcPr>
          <w:p w14:paraId="3291B173">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25.4</w:t>
            </w:r>
          </w:p>
        </w:tc>
        <w:tc>
          <w:tcPr>
            <w:tcW w:w="500" w:type="dxa"/>
            <w:shd w:val="clear" w:color="auto" w:fill="FFFFFF"/>
            <w:tcMar>
              <w:top w:w="0" w:type="dxa"/>
              <w:left w:w="0" w:type="dxa"/>
              <w:bottom w:w="0" w:type="dxa"/>
              <w:right w:w="0" w:type="dxa"/>
            </w:tcMar>
            <w:vAlign w:val="center"/>
          </w:tcPr>
          <w:p w14:paraId="1A5154FB">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5.3</w:t>
            </w:r>
          </w:p>
        </w:tc>
        <w:tc>
          <w:tcPr>
            <w:tcW w:w="500" w:type="dxa"/>
            <w:shd w:val="clear" w:color="auto" w:fill="FFFFFF"/>
            <w:tcMar>
              <w:top w:w="0" w:type="dxa"/>
              <w:left w:w="0" w:type="dxa"/>
              <w:bottom w:w="0" w:type="dxa"/>
              <w:right w:w="0" w:type="dxa"/>
            </w:tcMar>
            <w:vAlign w:val="center"/>
          </w:tcPr>
          <w:p w14:paraId="3D35F09C">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67.5</w:t>
            </w:r>
          </w:p>
        </w:tc>
        <w:tc>
          <w:tcPr>
            <w:tcW w:w="500" w:type="dxa"/>
            <w:shd w:val="clear" w:color="auto" w:fill="FFFFFF"/>
            <w:tcMar>
              <w:top w:w="0" w:type="dxa"/>
              <w:left w:w="0" w:type="dxa"/>
              <w:bottom w:w="0" w:type="dxa"/>
              <w:right w:w="0" w:type="dxa"/>
            </w:tcMar>
            <w:vAlign w:val="center"/>
          </w:tcPr>
          <w:p w14:paraId="595C58D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67.3</w:t>
            </w:r>
          </w:p>
        </w:tc>
        <w:tc>
          <w:tcPr>
            <w:tcW w:w="585" w:type="dxa"/>
            <w:shd w:val="clear" w:color="auto" w:fill="FFFFFF"/>
            <w:tcMar>
              <w:top w:w="0" w:type="dxa"/>
              <w:left w:w="0" w:type="dxa"/>
              <w:bottom w:w="0" w:type="dxa"/>
              <w:right w:w="0" w:type="dxa"/>
            </w:tcMar>
            <w:vAlign w:val="center"/>
          </w:tcPr>
          <w:p w14:paraId="46C893C8">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67.3</w:t>
            </w:r>
          </w:p>
        </w:tc>
        <w:tc>
          <w:tcPr>
            <w:tcW w:w="570" w:type="dxa"/>
            <w:shd w:val="clear" w:color="auto" w:fill="FFFFFF"/>
            <w:tcMar>
              <w:top w:w="0" w:type="dxa"/>
              <w:left w:w="0" w:type="dxa"/>
              <w:bottom w:w="0" w:type="dxa"/>
              <w:right w:w="0" w:type="dxa"/>
            </w:tcMar>
            <w:vAlign w:val="center"/>
          </w:tcPr>
          <w:p w14:paraId="17DA4689">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67.5</w:t>
            </w:r>
          </w:p>
        </w:tc>
        <w:tc>
          <w:tcPr>
            <w:tcW w:w="488" w:type="dxa"/>
            <w:vMerge w:val="continue"/>
            <w:shd w:val="clear" w:color="auto" w:fill="FFFFFF"/>
            <w:tcMar>
              <w:top w:w="0" w:type="dxa"/>
              <w:left w:w="0" w:type="dxa"/>
              <w:bottom w:w="0" w:type="dxa"/>
              <w:right w:w="0" w:type="dxa"/>
            </w:tcMar>
            <w:vAlign w:val="center"/>
          </w:tcPr>
          <w:p w14:paraId="2BD0B84F">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909" w:type="dxa"/>
            <w:shd w:val="clear" w:color="auto" w:fill="FFFFFF"/>
            <w:tcMar>
              <w:top w:w="0" w:type="dxa"/>
              <w:left w:w="0" w:type="dxa"/>
              <w:bottom w:w="0" w:type="dxa"/>
              <w:right w:w="0" w:type="dxa"/>
            </w:tcMar>
            <w:vAlign w:val="center"/>
          </w:tcPr>
          <w:p w14:paraId="013B6D91">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15.0</w:t>
            </w:r>
          </w:p>
        </w:tc>
        <w:tc>
          <w:tcPr>
            <w:tcW w:w="663" w:type="dxa"/>
            <w:shd w:val="clear" w:color="auto" w:fill="FFFFFF"/>
            <w:tcMar>
              <w:top w:w="0" w:type="dxa"/>
              <w:left w:w="0" w:type="dxa"/>
              <w:bottom w:w="0" w:type="dxa"/>
              <w:right w:w="0" w:type="dxa"/>
            </w:tcMar>
            <w:vAlign w:val="center"/>
          </w:tcPr>
          <w:p w14:paraId="5FE7165C">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52.5</w:t>
            </w:r>
          </w:p>
        </w:tc>
        <w:tc>
          <w:tcPr>
            <w:tcW w:w="592" w:type="dxa"/>
            <w:shd w:val="clear" w:color="auto" w:fill="FFFFFF"/>
            <w:tcMar>
              <w:top w:w="0" w:type="dxa"/>
              <w:left w:w="0" w:type="dxa"/>
              <w:bottom w:w="0" w:type="dxa"/>
              <w:right w:w="0" w:type="dxa"/>
            </w:tcMar>
            <w:vAlign w:val="center"/>
          </w:tcPr>
          <w:p w14:paraId="3F51BA9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52.3</w:t>
            </w:r>
          </w:p>
        </w:tc>
        <w:tc>
          <w:tcPr>
            <w:tcW w:w="620" w:type="dxa"/>
            <w:shd w:val="clear" w:color="auto" w:fill="FFFFFF"/>
            <w:tcMar>
              <w:top w:w="0" w:type="dxa"/>
              <w:left w:w="0" w:type="dxa"/>
              <w:bottom w:w="0" w:type="dxa"/>
              <w:right w:w="0" w:type="dxa"/>
            </w:tcMar>
            <w:vAlign w:val="center"/>
          </w:tcPr>
          <w:p w14:paraId="3D6FF8C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52.3</w:t>
            </w:r>
          </w:p>
        </w:tc>
        <w:tc>
          <w:tcPr>
            <w:tcW w:w="548" w:type="dxa"/>
            <w:shd w:val="clear" w:color="auto" w:fill="FFFFFF"/>
            <w:tcMar>
              <w:top w:w="0" w:type="dxa"/>
              <w:left w:w="0" w:type="dxa"/>
              <w:bottom w:w="0" w:type="dxa"/>
              <w:right w:w="0" w:type="dxa"/>
            </w:tcMar>
            <w:vAlign w:val="center"/>
          </w:tcPr>
          <w:p w14:paraId="0BA73CBD">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52.5</w:t>
            </w:r>
          </w:p>
        </w:tc>
        <w:tc>
          <w:tcPr>
            <w:tcW w:w="761" w:type="dxa"/>
            <w:shd w:val="clear" w:color="auto" w:fill="FFFFFF"/>
            <w:tcMar>
              <w:top w:w="0" w:type="dxa"/>
              <w:left w:w="0" w:type="dxa"/>
              <w:bottom w:w="0" w:type="dxa"/>
              <w:right w:w="0" w:type="dxa"/>
            </w:tcMar>
            <w:vAlign w:val="center"/>
          </w:tcPr>
          <w:p w14:paraId="29D1E7B8">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w:t>
            </w:r>
          </w:p>
        </w:tc>
      </w:tr>
      <w:tr w14:paraId="083B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1A0A81DE">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5</w:t>
            </w:r>
          </w:p>
        </w:tc>
        <w:tc>
          <w:tcPr>
            <w:tcW w:w="398" w:type="dxa"/>
            <w:vMerge w:val="continue"/>
            <w:shd w:val="clear" w:color="auto" w:fill="FFFFFF"/>
            <w:tcMar>
              <w:top w:w="0" w:type="dxa"/>
              <w:left w:w="0" w:type="dxa"/>
              <w:bottom w:w="0" w:type="dxa"/>
              <w:right w:w="0" w:type="dxa"/>
            </w:tcMar>
            <w:vAlign w:val="center"/>
          </w:tcPr>
          <w:p w14:paraId="2024E8C2">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p>
        </w:tc>
        <w:tc>
          <w:tcPr>
            <w:tcW w:w="847" w:type="dxa"/>
            <w:shd w:val="clear" w:color="auto" w:fill="FFFFFF"/>
            <w:tcMar>
              <w:top w:w="0" w:type="dxa"/>
              <w:left w:w="0" w:type="dxa"/>
              <w:bottom w:w="0" w:type="dxa"/>
              <w:right w:w="0" w:type="dxa"/>
            </w:tcMar>
            <w:vAlign w:val="center"/>
          </w:tcPr>
          <w:p w14:paraId="43021C6A">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抛丸废气风机</w:t>
            </w:r>
          </w:p>
        </w:tc>
        <w:tc>
          <w:tcPr>
            <w:tcW w:w="712" w:type="dxa"/>
            <w:shd w:val="clear" w:color="auto" w:fill="FFFFFF"/>
            <w:tcMar>
              <w:top w:w="0" w:type="dxa"/>
              <w:left w:w="0" w:type="dxa"/>
              <w:bottom w:w="0" w:type="dxa"/>
              <w:right w:w="0" w:type="dxa"/>
            </w:tcMar>
            <w:vAlign w:val="center"/>
          </w:tcPr>
          <w:p w14:paraId="4308E25A">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80</w:t>
            </w:r>
          </w:p>
        </w:tc>
        <w:tc>
          <w:tcPr>
            <w:tcW w:w="578" w:type="dxa"/>
            <w:vMerge w:val="continue"/>
            <w:shd w:val="clear" w:color="auto" w:fill="FFFFFF"/>
            <w:tcMar>
              <w:top w:w="0" w:type="dxa"/>
              <w:left w:w="0" w:type="dxa"/>
              <w:bottom w:w="0" w:type="dxa"/>
              <w:right w:w="0" w:type="dxa"/>
            </w:tcMar>
            <w:vAlign w:val="center"/>
          </w:tcPr>
          <w:p w14:paraId="46E07A5A">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500" w:type="dxa"/>
            <w:shd w:val="clear" w:color="auto" w:fill="FFFFFF"/>
            <w:tcMar>
              <w:top w:w="0" w:type="dxa"/>
              <w:left w:w="0" w:type="dxa"/>
              <w:bottom w:w="0" w:type="dxa"/>
              <w:right w:w="0" w:type="dxa"/>
            </w:tcMar>
            <w:vAlign w:val="center"/>
          </w:tcPr>
          <w:p w14:paraId="2CC29880">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9.2</w:t>
            </w:r>
          </w:p>
        </w:tc>
        <w:tc>
          <w:tcPr>
            <w:tcW w:w="520" w:type="dxa"/>
            <w:shd w:val="clear" w:color="auto" w:fill="FFFFFF"/>
            <w:tcMar>
              <w:top w:w="0" w:type="dxa"/>
              <w:left w:w="0" w:type="dxa"/>
              <w:bottom w:w="0" w:type="dxa"/>
              <w:right w:w="0" w:type="dxa"/>
            </w:tcMar>
            <w:vAlign w:val="center"/>
          </w:tcPr>
          <w:p w14:paraId="40613D1E">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9.2</w:t>
            </w:r>
          </w:p>
        </w:tc>
        <w:tc>
          <w:tcPr>
            <w:tcW w:w="480" w:type="dxa"/>
            <w:shd w:val="clear" w:color="auto" w:fill="FFFFFF"/>
            <w:tcMar>
              <w:top w:w="0" w:type="dxa"/>
              <w:left w:w="0" w:type="dxa"/>
              <w:bottom w:w="0" w:type="dxa"/>
              <w:right w:w="0" w:type="dxa"/>
            </w:tcMar>
            <w:vAlign w:val="center"/>
          </w:tcPr>
          <w:p w14:paraId="6D7280D6">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0.5</w:t>
            </w:r>
          </w:p>
        </w:tc>
        <w:tc>
          <w:tcPr>
            <w:tcW w:w="500" w:type="dxa"/>
            <w:shd w:val="clear" w:color="auto" w:fill="FFFFFF"/>
            <w:tcMar>
              <w:top w:w="0" w:type="dxa"/>
              <w:left w:w="0" w:type="dxa"/>
              <w:bottom w:w="0" w:type="dxa"/>
              <w:right w:w="0" w:type="dxa"/>
            </w:tcMar>
            <w:vAlign w:val="center"/>
          </w:tcPr>
          <w:p w14:paraId="5CC582E2">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5.8</w:t>
            </w:r>
          </w:p>
        </w:tc>
        <w:tc>
          <w:tcPr>
            <w:tcW w:w="500" w:type="dxa"/>
            <w:shd w:val="clear" w:color="auto" w:fill="FFFFFF"/>
            <w:tcMar>
              <w:top w:w="0" w:type="dxa"/>
              <w:left w:w="0" w:type="dxa"/>
              <w:bottom w:w="0" w:type="dxa"/>
              <w:right w:w="0" w:type="dxa"/>
            </w:tcMar>
            <w:vAlign w:val="center"/>
          </w:tcPr>
          <w:p w14:paraId="203AFCBC">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23.5</w:t>
            </w:r>
          </w:p>
        </w:tc>
        <w:tc>
          <w:tcPr>
            <w:tcW w:w="500" w:type="dxa"/>
            <w:shd w:val="clear" w:color="auto" w:fill="FFFFFF"/>
            <w:tcMar>
              <w:top w:w="0" w:type="dxa"/>
              <w:left w:w="0" w:type="dxa"/>
              <w:bottom w:w="0" w:type="dxa"/>
              <w:right w:w="0" w:type="dxa"/>
            </w:tcMar>
            <w:vAlign w:val="center"/>
          </w:tcPr>
          <w:p w14:paraId="11FE699A">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24.4</w:t>
            </w:r>
          </w:p>
        </w:tc>
        <w:tc>
          <w:tcPr>
            <w:tcW w:w="500" w:type="dxa"/>
            <w:shd w:val="clear" w:color="auto" w:fill="FFFFFF"/>
            <w:tcMar>
              <w:top w:w="0" w:type="dxa"/>
              <w:left w:w="0" w:type="dxa"/>
              <w:bottom w:w="0" w:type="dxa"/>
              <w:right w:w="0" w:type="dxa"/>
            </w:tcMar>
            <w:vAlign w:val="center"/>
          </w:tcPr>
          <w:p w14:paraId="6826005A">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w:t>
            </w:r>
          </w:p>
        </w:tc>
        <w:tc>
          <w:tcPr>
            <w:tcW w:w="500" w:type="dxa"/>
            <w:shd w:val="clear" w:color="auto" w:fill="FFFFFF"/>
            <w:tcMar>
              <w:top w:w="0" w:type="dxa"/>
              <w:left w:w="0" w:type="dxa"/>
              <w:bottom w:w="0" w:type="dxa"/>
              <w:right w:w="0" w:type="dxa"/>
            </w:tcMar>
            <w:vAlign w:val="center"/>
          </w:tcPr>
          <w:p w14:paraId="14E85A82">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67.4</w:t>
            </w:r>
          </w:p>
        </w:tc>
        <w:tc>
          <w:tcPr>
            <w:tcW w:w="500" w:type="dxa"/>
            <w:shd w:val="clear" w:color="auto" w:fill="FFFFFF"/>
            <w:tcMar>
              <w:top w:w="0" w:type="dxa"/>
              <w:left w:w="0" w:type="dxa"/>
              <w:bottom w:w="0" w:type="dxa"/>
              <w:right w:w="0" w:type="dxa"/>
            </w:tcMar>
            <w:vAlign w:val="center"/>
          </w:tcPr>
          <w:p w14:paraId="30E4F09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67.3</w:t>
            </w:r>
          </w:p>
        </w:tc>
        <w:tc>
          <w:tcPr>
            <w:tcW w:w="585" w:type="dxa"/>
            <w:shd w:val="clear" w:color="auto" w:fill="FFFFFF"/>
            <w:tcMar>
              <w:top w:w="0" w:type="dxa"/>
              <w:left w:w="0" w:type="dxa"/>
              <w:bottom w:w="0" w:type="dxa"/>
              <w:right w:w="0" w:type="dxa"/>
            </w:tcMar>
            <w:vAlign w:val="center"/>
          </w:tcPr>
          <w:p w14:paraId="59EE8FA5">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67.3</w:t>
            </w:r>
          </w:p>
        </w:tc>
        <w:tc>
          <w:tcPr>
            <w:tcW w:w="570" w:type="dxa"/>
            <w:shd w:val="clear" w:color="auto" w:fill="FFFFFF"/>
            <w:tcMar>
              <w:top w:w="0" w:type="dxa"/>
              <w:left w:w="0" w:type="dxa"/>
              <w:bottom w:w="0" w:type="dxa"/>
              <w:right w:w="0" w:type="dxa"/>
            </w:tcMar>
            <w:vAlign w:val="center"/>
          </w:tcPr>
          <w:p w14:paraId="30098F06">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67.5</w:t>
            </w:r>
          </w:p>
        </w:tc>
        <w:tc>
          <w:tcPr>
            <w:tcW w:w="488" w:type="dxa"/>
            <w:vMerge w:val="continue"/>
            <w:shd w:val="clear" w:color="auto" w:fill="FFFFFF"/>
            <w:tcMar>
              <w:top w:w="0" w:type="dxa"/>
              <w:left w:w="0" w:type="dxa"/>
              <w:bottom w:w="0" w:type="dxa"/>
              <w:right w:w="0" w:type="dxa"/>
            </w:tcMar>
            <w:vAlign w:val="center"/>
          </w:tcPr>
          <w:p w14:paraId="79C0AA19">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909" w:type="dxa"/>
            <w:shd w:val="clear" w:color="auto" w:fill="FFFFFF"/>
            <w:tcMar>
              <w:top w:w="0" w:type="dxa"/>
              <w:left w:w="0" w:type="dxa"/>
              <w:bottom w:w="0" w:type="dxa"/>
              <w:right w:w="0" w:type="dxa"/>
            </w:tcMar>
            <w:vAlign w:val="center"/>
          </w:tcPr>
          <w:p w14:paraId="6F4A87E0">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15.0</w:t>
            </w:r>
          </w:p>
        </w:tc>
        <w:tc>
          <w:tcPr>
            <w:tcW w:w="663" w:type="dxa"/>
            <w:shd w:val="clear" w:color="auto" w:fill="FFFFFF"/>
            <w:tcMar>
              <w:top w:w="0" w:type="dxa"/>
              <w:left w:w="0" w:type="dxa"/>
              <w:bottom w:w="0" w:type="dxa"/>
              <w:right w:w="0" w:type="dxa"/>
            </w:tcMar>
            <w:vAlign w:val="center"/>
          </w:tcPr>
          <w:p w14:paraId="194B93E3">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52.4</w:t>
            </w:r>
          </w:p>
        </w:tc>
        <w:tc>
          <w:tcPr>
            <w:tcW w:w="592" w:type="dxa"/>
            <w:shd w:val="clear" w:color="auto" w:fill="FFFFFF"/>
            <w:tcMar>
              <w:top w:w="0" w:type="dxa"/>
              <w:left w:w="0" w:type="dxa"/>
              <w:bottom w:w="0" w:type="dxa"/>
              <w:right w:w="0" w:type="dxa"/>
            </w:tcMar>
            <w:vAlign w:val="center"/>
          </w:tcPr>
          <w:p w14:paraId="03753A85">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52.3</w:t>
            </w:r>
          </w:p>
        </w:tc>
        <w:tc>
          <w:tcPr>
            <w:tcW w:w="620" w:type="dxa"/>
            <w:shd w:val="clear" w:color="auto" w:fill="FFFFFF"/>
            <w:tcMar>
              <w:top w:w="0" w:type="dxa"/>
              <w:left w:w="0" w:type="dxa"/>
              <w:bottom w:w="0" w:type="dxa"/>
              <w:right w:w="0" w:type="dxa"/>
            </w:tcMar>
            <w:vAlign w:val="center"/>
          </w:tcPr>
          <w:p w14:paraId="4352A5A1">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52.3</w:t>
            </w:r>
          </w:p>
        </w:tc>
        <w:tc>
          <w:tcPr>
            <w:tcW w:w="548" w:type="dxa"/>
            <w:shd w:val="clear" w:color="auto" w:fill="FFFFFF"/>
            <w:tcMar>
              <w:top w:w="0" w:type="dxa"/>
              <w:left w:w="0" w:type="dxa"/>
              <w:bottom w:w="0" w:type="dxa"/>
              <w:right w:w="0" w:type="dxa"/>
            </w:tcMar>
            <w:vAlign w:val="center"/>
          </w:tcPr>
          <w:p w14:paraId="54A8FCDC">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52.5</w:t>
            </w:r>
          </w:p>
        </w:tc>
        <w:tc>
          <w:tcPr>
            <w:tcW w:w="761" w:type="dxa"/>
            <w:shd w:val="clear" w:color="auto" w:fill="FFFFFF"/>
            <w:tcMar>
              <w:top w:w="0" w:type="dxa"/>
              <w:left w:w="0" w:type="dxa"/>
              <w:bottom w:w="0" w:type="dxa"/>
              <w:right w:w="0" w:type="dxa"/>
            </w:tcMar>
            <w:vAlign w:val="center"/>
          </w:tcPr>
          <w:p w14:paraId="71F968EC">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w:t>
            </w:r>
          </w:p>
        </w:tc>
      </w:tr>
      <w:tr w14:paraId="40A8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5F50C3C3">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r>
              <w:rPr>
                <w:rFonts w:ascii="Times New Roman" w:hAnsi="Times New Roman" w:eastAsia="宋体" w:cs="Times New Roman"/>
                <w:bCs/>
                <w:color w:val="000000" w:themeColor="text1"/>
                <w:sz w:val="18"/>
                <w:szCs w:val="18"/>
                <w:highlight w:val="none"/>
                <w14:textFill>
                  <w14:solidFill>
                    <w14:schemeClr w14:val="tx1"/>
                  </w14:solidFill>
                </w14:textFill>
              </w:rPr>
              <w:t>6</w:t>
            </w:r>
          </w:p>
        </w:tc>
        <w:tc>
          <w:tcPr>
            <w:tcW w:w="398" w:type="dxa"/>
            <w:vMerge w:val="continue"/>
            <w:shd w:val="clear" w:color="auto" w:fill="FFFFFF"/>
            <w:tcMar>
              <w:top w:w="0" w:type="dxa"/>
              <w:left w:w="0" w:type="dxa"/>
              <w:bottom w:w="0" w:type="dxa"/>
              <w:right w:w="0" w:type="dxa"/>
            </w:tcMar>
            <w:vAlign w:val="center"/>
          </w:tcPr>
          <w:p w14:paraId="3872F67E">
            <w:pPr>
              <w:jc w:val="center"/>
              <w:rPr>
                <w:rFonts w:ascii="Times New Roman" w:hAnsi="Times New Roman" w:eastAsia="宋体" w:cs="Times New Roman"/>
                <w:bCs/>
                <w:color w:val="000000" w:themeColor="text1"/>
                <w:sz w:val="18"/>
                <w:szCs w:val="18"/>
                <w:highlight w:val="none"/>
                <w14:textFill>
                  <w14:solidFill>
                    <w14:schemeClr w14:val="tx1"/>
                  </w14:solidFill>
                </w14:textFill>
              </w:rPr>
            </w:pPr>
          </w:p>
        </w:tc>
        <w:tc>
          <w:tcPr>
            <w:tcW w:w="847" w:type="dxa"/>
            <w:shd w:val="clear" w:color="auto" w:fill="FFFFFF"/>
            <w:tcMar>
              <w:top w:w="0" w:type="dxa"/>
              <w:left w:w="0" w:type="dxa"/>
              <w:bottom w:w="0" w:type="dxa"/>
              <w:right w:w="0" w:type="dxa"/>
            </w:tcMar>
            <w:vAlign w:val="center"/>
          </w:tcPr>
          <w:p w14:paraId="2D6713C5">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喷粉废气风机</w:t>
            </w:r>
          </w:p>
        </w:tc>
        <w:tc>
          <w:tcPr>
            <w:tcW w:w="712" w:type="dxa"/>
            <w:shd w:val="clear" w:color="auto" w:fill="FFFFFF"/>
            <w:tcMar>
              <w:top w:w="0" w:type="dxa"/>
              <w:left w:w="0" w:type="dxa"/>
              <w:bottom w:w="0" w:type="dxa"/>
              <w:right w:w="0" w:type="dxa"/>
            </w:tcMar>
            <w:vAlign w:val="center"/>
          </w:tcPr>
          <w:p w14:paraId="666E37CB">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80</w:t>
            </w:r>
          </w:p>
        </w:tc>
        <w:tc>
          <w:tcPr>
            <w:tcW w:w="578" w:type="dxa"/>
            <w:vMerge w:val="continue"/>
            <w:shd w:val="clear" w:color="auto" w:fill="FFFFFF"/>
            <w:tcMar>
              <w:top w:w="0" w:type="dxa"/>
              <w:left w:w="0" w:type="dxa"/>
              <w:bottom w:w="0" w:type="dxa"/>
              <w:right w:w="0" w:type="dxa"/>
            </w:tcMar>
            <w:vAlign w:val="center"/>
          </w:tcPr>
          <w:p w14:paraId="2D5F4EAC">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500" w:type="dxa"/>
            <w:shd w:val="clear" w:color="auto" w:fill="FFFFFF"/>
            <w:tcMar>
              <w:top w:w="0" w:type="dxa"/>
              <w:left w:w="0" w:type="dxa"/>
              <w:bottom w:w="0" w:type="dxa"/>
              <w:right w:w="0" w:type="dxa"/>
            </w:tcMar>
            <w:vAlign w:val="center"/>
          </w:tcPr>
          <w:p w14:paraId="3C59F3DA">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8.3</w:t>
            </w:r>
          </w:p>
        </w:tc>
        <w:tc>
          <w:tcPr>
            <w:tcW w:w="520" w:type="dxa"/>
            <w:shd w:val="clear" w:color="auto" w:fill="FFFFFF"/>
            <w:tcMar>
              <w:top w:w="0" w:type="dxa"/>
              <w:left w:w="0" w:type="dxa"/>
              <w:bottom w:w="0" w:type="dxa"/>
              <w:right w:w="0" w:type="dxa"/>
            </w:tcMar>
            <w:vAlign w:val="center"/>
          </w:tcPr>
          <w:p w14:paraId="61ECC41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-4.4</w:t>
            </w:r>
          </w:p>
        </w:tc>
        <w:tc>
          <w:tcPr>
            <w:tcW w:w="480" w:type="dxa"/>
            <w:shd w:val="clear" w:color="auto" w:fill="FFFFFF"/>
            <w:tcMar>
              <w:top w:w="0" w:type="dxa"/>
              <w:left w:w="0" w:type="dxa"/>
              <w:bottom w:w="0" w:type="dxa"/>
              <w:right w:w="0" w:type="dxa"/>
            </w:tcMar>
            <w:vAlign w:val="center"/>
          </w:tcPr>
          <w:p w14:paraId="532B94A6">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0.5</w:t>
            </w:r>
          </w:p>
        </w:tc>
        <w:tc>
          <w:tcPr>
            <w:tcW w:w="500" w:type="dxa"/>
            <w:shd w:val="clear" w:color="auto" w:fill="FFFFFF"/>
            <w:tcMar>
              <w:top w:w="0" w:type="dxa"/>
              <w:left w:w="0" w:type="dxa"/>
              <w:bottom w:w="0" w:type="dxa"/>
              <w:right w:w="0" w:type="dxa"/>
            </w:tcMar>
            <w:vAlign w:val="center"/>
          </w:tcPr>
          <w:p w14:paraId="49F28C88">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w:t>
            </w:r>
          </w:p>
        </w:tc>
        <w:tc>
          <w:tcPr>
            <w:tcW w:w="500" w:type="dxa"/>
            <w:shd w:val="clear" w:color="auto" w:fill="FFFFFF"/>
            <w:tcMar>
              <w:top w:w="0" w:type="dxa"/>
              <w:left w:w="0" w:type="dxa"/>
              <w:bottom w:w="0" w:type="dxa"/>
              <w:right w:w="0" w:type="dxa"/>
            </w:tcMar>
            <w:vAlign w:val="center"/>
          </w:tcPr>
          <w:p w14:paraId="79060A48">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9.9</w:t>
            </w:r>
          </w:p>
        </w:tc>
        <w:tc>
          <w:tcPr>
            <w:tcW w:w="500" w:type="dxa"/>
            <w:shd w:val="clear" w:color="auto" w:fill="FFFFFF"/>
            <w:tcMar>
              <w:top w:w="0" w:type="dxa"/>
              <w:left w:w="0" w:type="dxa"/>
              <w:bottom w:w="0" w:type="dxa"/>
              <w:right w:w="0" w:type="dxa"/>
            </w:tcMar>
            <w:vAlign w:val="center"/>
          </w:tcPr>
          <w:p w14:paraId="77C553EE">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23.5</w:t>
            </w:r>
          </w:p>
        </w:tc>
        <w:tc>
          <w:tcPr>
            <w:tcW w:w="500" w:type="dxa"/>
            <w:shd w:val="clear" w:color="auto" w:fill="FFFFFF"/>
            <w:tcMar>
              <w:top w:w="0" w:type="dxa"/>
              <w:left w:w="0" w:type="dxa"/>
              <w:bottom w:w="0" w:type="dxa"/>
              <w:right w:w="0" w:type="dxa"/>
            </w:tcMar>
            <w:vAlign w:val="center"/>
          </w:tcPr>
          <w:p w14:paraId="6831C15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18.8</w:t>
            </w:r>
          </w:p>
        </w:tc>
        <w:tc>
          <w:tcPr>
            <w:tcW w:w="500" w:type="dxa"/>
            <w:shd w:val="clear" w:color="auto" w:fill="FFFFFF"/>
            <w:tcMar>
              <w:top w:w="0" w:type="dxa"/>
              <w:left w:w="0" w:type="dxa"/>
              <w:bottom w:w="0" w:type="dxa"/>
              <w:right w:w="0" w:type="dxa"/>
            </w:tcMar>
            <w:vAlign w:val="center"/>
          </w:tcPr>
          <w:p w14:paraId="57D294B2">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67.4</w:t>
            </w:r>
          </w:p>
        </w:tc>
        <w:tc>
          <w:tcPr>
            <w:tcW w:w="500" w:type="dxa"/>
            <w:shd w:val="clear" w:color="auto" w:fill="FFFFFF"/>
            <w:tcMar>
              <w:top w:w="0" w:type="dxa"/>
              <w:left w:w="0" w:type="dxa"/>
              <w:bottom w:w="0" w:type="dxa"/>
              <w:right w:w="0" w:type="dxa"/>
            </w:tcMar>
            <w:vAlign w:val="center"/>
          </w:tcPr>
          <w:p w14:paraId="449F610E">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67.3</w:t>
            </w:r>
          </w:p>
        </w:tc>
        <w:tc>
          <w:tcPr>
            <w:tcW w:w="585" w:type="dxa"/>
            <w:shd w:val="clear" w:color="auto" w:fill="FFFFFF"/>
            <w:tcMar>
              <w:top w:w="0" w:type="dxa"/>
              <w:left w:w="0" w:type="dxa"/>
              <w:bottom w:w="0" w:type="dxa"/>
              <w:right w:w="0" w:type="dxa"/>
            </w:tcMar>
            <w:vAlign w:val="center"/>
          </w:tcPr>
          <w:p w14:paraId="315B419C">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67.3</w:t>
            </w:r>
          </w:p>
        </w:tc>
        <w:tc>
          <w:tcPr>
            <w:tcW w:w="570" w:type="dxa"/>
            <w:shd w:val="clear" w:color="auto" w:fill="FFFFFF"/>
            <w:tcMar>
              <w:top w:w="0" w:type="dxa"/>
              <w:left w:w="0" w:type="dxa"/>
              <w:bottom w:w="0" w:type="dxa"/>
              <w:right w:w="0" w:type="dxa"/>
            </w:tcMar>
            <w:vAlign w:val="center"/>
          </w:tcPr>
          <w:p w14:paraId="14F0CA40">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67.3</w:t>
            </w:r>
          </w:p>
        </w:tc>
        <w:tc>
          <w:tcPr>
            <w:tcW w:w="488" w:type="dxa"/>
            <w:vMerge w:val="continue"/>
            <w:shd w:val="clear" w:color="auto" w:fill="FFFFFF"/>
            <w:tcMar>
              <w:top w:w="0" w:type="dxa"/>
              <w:left w:w="0" w:type="dxa"/>
              <w:bottom w:w="0" w:type="dxa"/>
              <w:right w:w="0" w:type="dxa"/>
            </w:tcMar>
            <w:vAlign w:val="center"/>
          </w:tcPr>
          <w:p w14:paraId="748BC526">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909" w:type="dxa"/>
            <w:shd w:val="clear" w:color="auto" w:fill="FFFFFF"/>
            <w:tcMar>
              <w:top w:w="0" w:type="dxa"/>
              <w:left w:w="0" w:type="dxa"/>
              <w:bottom w:w="0" w:type="dxa"/>
              <w:right w:w="0" w:type="dxa"/>
            </w:tcMar>
            <w:vAlign w:val="center"/>
          </w:tcPr>
          <w:p w14:paraId="31174315">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15.0</w:t>
            </w:r>
          </w:p>
        </w:tc>
        <w:tc>
          <w:tcPr>
            <w:tcW w:w="663" w:type="dxa"/>
            <w:shd w:val="clear" w:color="auto" w:fill="FFFFFF"/>
            <w:tcMar>
              <w:top w:w="0" w:type="dxa"/>
              <w:left w:w="0" w:type="dxa"/>
              <w:bottom w:w="0" w:type="dxa"/>
              <w:right w:w="0" w:type="dxa"/>
            </w:tcMar>
            <w:vAlign w:val="center"/>
          </w:tcPr>
          <w:p w14:paraId="6475554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52.4</w:t>
            </w:r>
          </w:p>
        </w:tc>
        <w:tc>
          <w:tcPr>
            <w:tcW w:w="592" w:type="dxa"/>
            <w:shd w:val="clear" w:color="auto" w:fill="FFFFFF"/>
            <w:tcMar>
              <w:top w:w="0" w:type="dxa"/>
              <w:left w:w="0" w:type="dxa"/>
              <w:bottom w:w="0" w:type="dxa"/>
              <w:right w:w="0" w:type="dxa"/>
            </w:tcMar>
            <w:vAlign w:val="center"/>
          </w:tcPr>
          <w:p w14:paraId="04550D5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52.3</w:t>
            </w:r>
          </w:p>
        </w:tc>
        <w:tc>
          <w:tcPr>
            <w:tcW w:w="620" w:type="dxa"/>
            <w:shd w:val="clear" w:color="auto" w:fill="FFFFFF"/>
            <w:tcMar>
              <w:top w:w="0" w:type="dxa"/>
              <w:left w:w="0" w:type="dxa"/>
              <w:bottom w:w="0" w:type="dxa"/>
              <w:right w:w="0" w:type="dxa"/>
            </w:tcMar>
            <w:vAlign w:val="center"/>
          </w:tcPr>
          <w:p w14:paraId="4DED6AD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52.3</w:t>
            </w:r>
          </w:p>
        </w:tc>
        <w:tc>
          <w:tcPr>
            <w:tcW w:w="548" w:type="dxa"/>
            <w:shd w:val="clear" w:color="auto" w:fill="FFFFFF"/>
            <w:tcMar>
              <w:top w:w="0" w:type="dxa"/>
              <w:left w:w="0" w:type="dxa"/>
              <w:bottom w:w="0" w:type="dxa"/>
              <w:right w:w="0" w:type="dxa"/>
            </w:tcMar>
            <w:vAlign w:val="center"/>
          </w:tcPr>
          <w:p w14:paraId="2828A8B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52.3</w:t>
            </w:r>
          </w:p>
        </w:tc>
        <w:tc>
          <w:tcPr>
            <w:tcW w:w="761" w:type="dxa"/>
            <w:shd w:val="clear" w:color="auto" w:fill="FFFFFF"/>
            <w:tcMar>
              <w:top w:w="0" w:type="dxa"/>
              <w:left w:w="0" w:type="dxa"/>
              <w:bottom w:w="0" w:type="dxa"/>
              <w:right w:w="0" w:type="dxa"/>
            </w:tcMar>
            <w:vAlign w:val="center"/>
          </w:tcPr>
          <w:p w14:paraId="3ADCB8C3">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w:t>
            </w:r>
          </w:p>
        </w:tc>
      </w:tr>
      <w:tr w14:paraId="61F2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448" w:type="dxa"/>
            <w:shd w:val="clear" w:color="auto" w:fill="FFFFFF"/>
            <w:tcMar>
              <w:top w:w="0" w:type="dxa"/>
              <w:left w:w="0" w:type="dxa"/>
              <w:bottom w:w="0" w:type="dxa"/>
              <w:right w:w="0" w:type="dxa"/>
            </w:tcMar>
            <w:vAlign w:val="center"/>
          </w:tcPr>
          <w:p w14:paraId="2C95F77F">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7</w:t>
            </w:r>
          </w:p>
        </w:tc>
        <w:tc>
          <w:tcPr>
            <w:tcW w:w="398" w:type="dxa"/>
            <w:vMerge w:val="continue"/>
            <w:shd w:val="clear" w:color="auto" w:fill="FFFFFF"/>
            <w:tcMar>
              <w:top w:w="0" w:type="dxa"/>
              <w:left w:w="0" w:type="dxa"/>
              <w:bottom w:w="0" w:type="dxa"/>
              <w:right w:w="0" w:type="dxa"/>
            </w:tcMar>
            <w:vAlign w:val="center"/>
          </w:tcPr>
          <w:p w14:paraId="10447E7C">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847" w:type="dxa"/>
            <w:shd w:val="clear" w:color="auto" w:fill="FFFFFF"/>
            <w:tcMar>
              <w:top w:w="0" w:type="dxa"/>
              <w:left w:w="0" w:type="dxa"/>
              <w:bottom w:w="0" w:type="dxa"/>
              <w:right w:w="0" w:type="dxa"/>
            </w:tcMar>
            <w:vAlign w:val="center"/>
          </w:tcPr>
          <w:p w14:paraId="2EB50921">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固化废气风机</w:t>
            </w:r>
          </w:p>
        </w:tc>
        <w:tc>
          <w:tcPr>
            <w:tcW w:w="712" w:type="dxa"/>
            <w:shd w:val="clear" w:color="auto" w:fill="FFFFFF"/>
            <w:tcMar>
              <w:top w:w="0" w:type="dxa"/>
              <w:left w:w="0" w:type="dxa"/>
              <w:bottom w:w="0" w:type="dxa"/>
              <w:right w:w="0" w:type="dxa"/>
            </w:tcMar>
            <w:vAlign w:val="center"/>
          </w:tcPr>
          <w:p w14:paraId="722C05A9">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80</w:t>
            </w:r>
          </w:p>
        </w:tc>
        <w:tc>
          <w:tcPr>
            <w:tcW w:w="578" w:type="dxa"/>
            <w:vMerge w:val="continue"/>
            <w:shd w:val="clear" w:color="auto" w:fill="FFFFFF"/>
            <w:tcMar>
              <w:top w:w="0" w:type="dxa"/>
              <w:left w:w="0" w:type="dxa"/>
              <w:bottom w:w="0" w:type="dxa"/>
              <w:right w:w="0" w:type="dxa"/>
            </w:tcMar>
            <w:vAlign w:val="center"/>
          </w:tcPr>
          <w:p w14:paraId="1DE219F6">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500" w:type="dxa"/>
            <w:shd w:val="clear" w:color="auto" w:fill="FFFFFF"/>
            <w:tcMar>
              <w:top w:w="0" w:type="dxa"/>
              <w:left w:w="0" w:type="dxa"/>
              <w:bottom w:w="0" w:type="dxa"/>
              <w:right w:w="0" w:type="dxa"/>
            </w:tcMar>
            <w:vAlign w:val="center"/>
          </w:tcPr>
          <w:p w14:paraId="060AA5B2">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9.4</w:t>
            </w:r>
          </w:p>
        </w:tc>
        <w:tc>
          <w:tcPr>
            <w:tcW w:w="520" w:type="dxa"/>
            <w:shd w:val="clear" w:color="auto" w:fill="FFFFFF"/>
            <w:tcMar>
              <w:top w:w="0" w:type="dxa"/>
              <w:left w:w="0" w:type="dxa"/>
              <w:bottom w:w="0" w:type="dxa"/>
              <w:right w:w="0" w:type="dxa"/>
            </w:tcMar>
            <w:vAlign w:val="center"/>
          </w:tcPr>
          <w:p w14:paraId="61836166">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-9.6</w:t>
            </w:r>
          </w:p>
        </w:tc>
        <w:tc>
          <w:tcPr>
            <w:tcW w:w="480" w:type="dxa"/>
            <w:shd w:val="clear" w:color="auto" w:fill="FFFFFF"/>
            <w:tcMar>
              <w:top w:w="0" w:type="dxa"/>
              <w:left w:w="0" w:type="dxa"/>
              <w:bottom w:w="0" w:type="dxa"/>
              <w:right w:w="0" w:type="dxa"/>
            </w:tcMar>
            <w:vAlign w:val="center"/>
          </w:tcPr>
          <w:p w14:paraId="083C67B1">
            <w:pPr>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0.5</w:t>
            </w:r>
          </w:p>
        </w:tc>
        <w:tc>
          <w:tcPr>
            <w:tcW w:w="500" w:type="dxa"/>
            <w:shd w:val="clear" w:color="auto" w:fill="FFFFFF"/>
            <w:tcMar>
              <w:top w:w="0" w:type="dxa"/>
              <w:left w:w="0" w:type="dxa"/>
              <w:bottom w:w="0" w:type="dxa"/>
              <w:right w:w="0" w:type="dxa"/>
            </w:tcMar>
            <w:vAlign w:val="center"/>
          </w:tcPr>
          <w:p w14:paraId="1062986B">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5.6</w:t>
            </w:r>
          </w:p>
        </w:tc>
        <w:tc>
          <w:tcPr>
            <w:tcW w:w="500" w:type="dxa"/>
            <w:shd w:val="clear" w:color="auto" w:fill="FFFFFF"/>
            <w:tcMar>
              <w:top w:w="0" w:type="dxa"/>
              <w:left w:w="0" w:type="dxa"/>
              <w:bottom w:w="0" w:type="dxa"/>
              <w:right w:w="0" w:type="dxa"/>
            </w:tcMar>
            <w:vAlign w:val="center"/>
          </w:tcPr>
          <w:p w14:paraId="317DED4E">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4.7</w:t>
            </w:r>
          </w:p>
        </w:tc>
        <w:tc>
          <w:tcPr>
            <w:tcW w:w="500" w:type="dxa"/>
            <w:shd w:val="clear" w:color="auto" w:fill="FFFFFF"/>
            <w:tcMar>
              <w:top w:w="0" w:type="dxa"/>
              <w:left w:w="0" w:type="dxa"/>
              <w:bottom w:w="0" w:type="dxa"/>
              <w:right w:w="0" w:type="dxa"/>
            </w:tcMar>
            <w:vAlign w:val="center"/>
          </w:tcPr>
          <w:p w14:paraId="47059829">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24.6</w:t>
            </w:r>
          </w:p>
        </w:tc>
        <w:tc>
          <w:tcPr>
            <w:tcW w:w="500" w:type="dxa"/>
            <w:shd w:val="clear" w:color="auto" w:fill="FFFFFF"/>
            <w:tcMar>
              <w:top w:w="0" w:type="dxa"/>
              <w:left w:w="0" w:type="dxa"/>
              <w:bottom w:w="0" w:type="dxa"/>
              <w:right w:w="0" w:type="dxa"/>
            </w:tcMar>
            <w:vAlign w:val="center"/>
          </w:tcPr>
          <w:p w14:paraId="3CAB3A08">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24.0</w:t>
            </w:r>
          </w:p>
        </w:tc>
        <w:tc>
          <w:tcPr>
            <w:tcW w:w="500" w:type="dxa"/>
            <w:shd w:val="clear" w:color="auto" w:fill="FFFFFF"/>
            <w:tcMar>
              <w:top w:w="0" w:type="dxa"/>
              <w:left w:w="0" w:type="dxa"/>
              <w:bottom w:w="0" w:type="dxa"/>
              <w:right w:w="0" w:type="dxa"/>
            </w:tcMar>
            <w:vAlign w:val="center"/>
          </w:tcPr>
          <w:p w14:paraId="0FDE1648">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67.5</w:t>
            </w:r>
          </w:p>
        </w:tc>
        <w:tc>
          <w:tcPr>
            <w:tcW w:w="500" w:type="dxa"/>
            <w:shd w:val="clear" w:color="auto" w:fill="FFFFFF"/>
            <w:tcMar>
              <w:top w:w="0" w:type="dxa"/>
              <w:left w:w="0" w:type="dxa"/>
              <w:bottom w:w="0" w:type="dxa"/>
              <w:right w:w="0" w:type="dxa"/>
            </w:tcMar>
            <w:vAlign w:val="center"/>
          </w:tcPr>
          <w:p w14:paraId="560985AC">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67.5</w:t>
            </w:r>
          </w:p>
        </w:tc>
        <w:tc>
          <w:tcPr>
            <w:tcW w:w="585" w:type="dxa"/>
            <w:shd w:val="clear" w:color="auto" w:fill="FFFFFF"/>
            <w:tcMar>
              <w:top w:w="0" w:type="dxa"/>
              <w:left w:w="0" w:type="dxa"/>
              <w:bottom w:w="0" w:type="dxa"/>
              <w:right w:w="0" w:type="dxa"/>
            </w:tcMar>
            <w:vAlign w:val="center"/>
          </w:tcPr>
          <w:p w14:paraId="4659F632">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67.3</w:t>
            </w:r>
          </w:p>
        </w:tc>
        <w:tc>
          <w:tcPr>
            <w:tcW w:w="570" w:type="dxa"/>
            <w:shd w:val="clear" w:color="auto" w:fill="FFFFFF"/>
            <w:tcMar>
              <w:top w:w="0" w:type="dxa"/>
              <w:left w:w="0" w:type="dxa"/>
              <w:bottom w:w="0" w:type="dxa"/>
              <w:right w:w="0" w:type="dxa"/>
            </w:tcMar>
            <w:vAlign w:val="center"/>
          </w:tcPr>
          <w:p w14:paraId="0446A66C">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67.3</w:t>
            </w:r>
          </w:p>
        </w:tc>
        <w:tc>
          <w:tcPr>
            <w:tcW w:w="488" w:type="dxa"/>
            <w:vMerge w:val="continue"/>
            <w:shd w:val="clear" w:color="auto" w:fill="FFFFFF"/>
            <w:tcMar>
              <w:top w:w="0" w:type="dxa"/>
              <w:left w:w="0" w:type="dxa"/>
              <w:bottom w:w="0" w:type="dxa"/>
              <w:right w:w="0" w:type="dxa"/>
            </w:tcMar>
            <w:vAlign w:val="center"/>
          </w:tcPr>
          <w:p w14:paraId="256B30F0">
            <w:pPr>
              <w:jc w:val="center"/>
              <w:rPr>
                <w:rFonts w:ascii="Times New Roman" w:hAnsi="Times New Roman" w:eastAsia="宋体" w:cs="Times New Roman"/>
                <w:color w:val="000000" w:themeColor="text1"/>
                <w:sz w:val="18"/>
                <w:szCs w:val="18"/>
                <w:highlight w:val="none"/>
                <w14:textFill>
                  <w14:solidFill>
                    <w14:schemeClr w14:val="tx1"/>
                  </w14:solidFill>
                </w14:textFill>
              </w:rPr>
            </w:pPr>
          </w:p>
        </w:tc>
        <w:tc>
          <w:tcPr>
            <w:tcW w:w="909" w:type="dxa"/>
            <w:shd w:val="clear" w:color="auto" w:fill="FFFFFF"/>
            <w:tcMar>
              <w:top w:w="0" w:type="dxa"/>
              <w:left w:w="0" w:type="dxa"/>
              <w:bottom w:w="0" w:type="dxa"/>
              <w:right w:w="0" w:type="dxa"/>
            </w:tcMar>
            <w:vAlign w:val="center"/>
          </w:tcPr>
          <w:p w14:paraId="1C41276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15.0</w:t>
            </w:r>
          </w:p>
        </w:tc>
        <w:tc>
          <w:tcPr>
            <w:tcW w:w="663" w:type="dxa"/>
            <w:shd w:val="clear" w:color="auto" w:fill="FFFFFF"/>
            <w:tcMar>
              <w:top w:w="0" w:type="dxa"/>
              <w:left w:w="0" w:type="dxa"/>
              <w:bottom w:w="0" w:type="dxa"/>
              <w:right w:w="0" w:type="dxa"/>
            </w:tcMar>
            <w:vAlign w:val="center"/>
          </w:tcPr>
          <w:p w14:paraId="0A916773">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52.5</w:t>
            </w:r>
          </w:p>
        </w:tc>
        <w:tc>
          <w:tcPr>
            <w:tcW w:w="592" w:type="dxa"/>
            <w:shd w:val="clear" w:color="auto" w:fill="FFFFFF"/>
            <w:tcMar>
              <w:top w:w="0" w:type="dxa"/>
              <w:left w:w="0" w:type="dxa"/>
              <w:bottom w:w="0" w:type="dxa"/>
              <w:right w:w="0" w:type="dxa"/>
            </w:tcMar>
            <w:vAlign w:val="center"/>
          </w:tcPr>
          <w:p w14:paraId="073A4FC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52.5</w:t>
            </w:r>
          </w:p>
        </w:tc>
        <w:tc>
          <w:tcPr>
            <w:tcW w:w="620" w:type="dxa"/>
            <w:shd w:val="clear" w:color="auto" w:fill="FFFFFF"/>
            <w:tcMar>
              <w:top w:w="0" w:type="dxa"/>
              <w:left w:w="0" w:type="dxa"/>
              <w:bottom w:w="0" w:type="dxa"/>
              <w:right w:w="0" w:type="dxa"/>
            </w:tcMar>
            <w:vAlign w:val="center"/>
          </w:tcPr>
          <w:p w14:paraId="6312D364">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52.3</w:t>
            </w:r>
          </w:p>
        </w:tc>
        <w:tc>
          <w:tcPr>
            <w:tcW w:w="548" w:type="dxa"/>
            <w:shd w:val="clear" w:color="auto" w:fill="FFFFFF"/>
            <w:tcMar>
              <w:top w:w="0" w:type="dxa"/>
              <w:left w:w="0" w:type="dxa"/>
              <w:bottom w:w="0" w:type="dxa"/>
              <w:right w:w="0" w:type="dxa"/>
            </w:tcMar>
            <w:vAlign w:val="center"/>
          </w:tcPr>
          <w:p w14:paraId="64447E37">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52.3</w:t>
            </w:r>
          </w:p>
        </w:tc>
        <w:tc>
          <w:tcPr>
            <w:tcW w:w="761" w:type="dxa"/>
            <w:shd w:val="clear" w:color="auto" w:fill="FFFFFF"/>
            <w:tcMar>
              <w:top w:w="0" w:type="dxa"/>
              <w:left w:w="0" w:type="dxa"/>
              <w:bottom w:w="0" w:type="dxa"/>
              <w:right w:w="0" w:type="dxa"/>
            </w:tcMar>
            <w:vAlign w:val="center"/>
          </w:tcPr>
          <w:p w14:paraId="32AAEA7C">
            <w:pPr>
              <w:jc w:val="center"/>
              <w:rPr>
                <w:rFonts w:ascii="Times New Roman" w:hAnsi="Times New Roman" w:eastAsia="宋体" w:cs="Times New Roman"/>
                <w:color w:val="000000" w:themeColor="text1"/>
                <w:sz w:val="18"/>
                <w:szCs w:val="18"/>
                <w:highlight w:val="none"/>
                <w14:textFill>
                  <w14:solidFill>
                    <w14:schemeClr w14:val="tx1"/>
                  </w14:solidFill>
                </w14:textFill>
              </w:rPr>
            </w:pPr>
            <w:r>
              <w:rPr>
                <w:rFonts w:ascii="Times New Roman" w:hAnsi="Times New Roman" w:eastAsia="宋体" w:cs="Times New Roman"/>
                <w:color w:val="000000" w:themeColor="text1"/>
                <w:sz w:val="18"/>
                <w:szCs w:val="18"/>
                <w:highlight w:val="none"/>
                <w14:textFill>
                  <w14:solidFill>
                    <w14:schemeClr w14:val="tx1"/>
                  </w14:solidFill>
                </w14:textFill>
              </w:rPr>
              <w:t>1</w:t>
            </w:r>
          </w:p>
        </w:tc>
      </w:tr>
      <w:bookmarkEnd w:id="15"/>
    </w:tbl>
    <w:p w14:paraId="29EAA848">
      <w:pPr>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表中坐标以厂界中心（</w:t>
      </w:r>
      <w:bookmarkStart w:id="17" w:name="PO_7"/>
      <w:r>
        <w:rPr>
          <w:rFonts w:ascii="Times New Roman" w:hAnsi="Times New Roman" w:cs="Times New Roman"/>
          <w:bCs/>
          <w:color w:val="000000" w:themeColor="text1"/>
          <w:szCs w:val="21"/>
          <w:highlight w:val="none"/>
          <w14:textFill>
            <w14:solidFill>
              <w14:schemeClr w14:val="tx1"/>
            </w14:solidFill>
          </w14:textFill>
        </w:rPr>
        <w:t>106.318382,29.324661</w:t>
      </w:r>
      <w:bookmarkEnd w:id="17"/>
      <w:r>
        <w:rPr>
          <w:color w:val="000000" w:themeColor="text1"/>
          <w:highlight w:val="none"/>
          <w14:textFill>
            <w14:solidFill>
              <w14:schemeClr w14:val="tx1"/>
            </w14:solidFill>
          </w14:textFill>
        </w:rPr>
        <w:t>）为坐标原点，正东向为X轴正方向，正北向为Y轴正方向。</w:t>
      </w:r>
    </w:p>
    <w:p w14:paraId="2A4692F9">
      <w:pPr>
        <w:pStyle w:val="24"/>
        <w:jc w:val="center"/>
        <w:rPr>
          <w:color w:val="000000" w:themeColor="text1"/>
          <w:highlight w:val="none"/>
          <w14:textFill>
            <w14:solidFill>
              <w14:schemeClr w14:val="tx1"/>
            </w14:solidFill>
          </w14:textFill>
        </w:rPr>
      </w:pPr>
    </w:p>
    <w:p w14:paraId="70811280">
      <w:pPr>
        <w:pStyle w:val="24"/>
        <w:rPr>
          <w:color w:val="000000" w:themeColor="text1"/>
          <w:highlight w:val="none"/>
          <w14:textFill>
            <w14:solidFill>
              <w14:schemeClr w14:val="tx1"/>
            </w14:solidFill>
          </w14:textFill>
        </w:rPr>
      </w:pPr>
    </w:p>
    <w:p w14:paraId="22AFB39C">
      <w:pPr>
        <w:pStyle w:val="24"/>
        <w:rPr>
          <w:color w:val="000000" w:themeColor="text1"/>
          <w:highlight w:val="none"/>
          <w14:textFill>
            <w14:solidFill>
              <w14:schemeClr w14:val="tx1"/>
            </w14:solidFill>
          </w14:textFill>
        </w:rPr>
        <w:sectPr>
          <w:pgSz w:w="16838" w:h="11906" w:orient="landscape"/>
          <w:pgMar w:top="1514" w:right="1440" w:bottom="1344" w:left="1440" w:header="851" w:footer="992" w:gutter="0"/>
          <w:pgNumType w:fmt="numberInDash"/>
          <w:cols w:space="0" w:num="1"/>
          <w:docGrid w:type="lines" w:linePitch="312" w:charSpace="0"/>
        </w:sectPr>
      </w:pPr>
    </w:p>
    <w:tbl>
      <w:tblPr>
        <w:tblStyle w:val="26"/>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0"/>
        <w:gridCol w:w="8569"/>
      </w:tblGrid>
      <w:tr w14:paraId="4984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849" w:hRule="atLeast"/>
          <w:jc w:val="center"/>
        </w:trPr>
        <w:tc>
          <w:tcPr>
            <w:tcW w:w="322" w:type="pct"/>
            <w:tcMar>
              <w:left w:w="28" w:type="dxa"/>
              <w:right w:w="28" w:type="dxa"/>
            </w:tcMar>
            <w:vAlign w:val="center"/>
          </w:tcPr>
          <w:p w14:paraId="498A2BEE">
            <w:pPr>
              <w:pStyle w:val="48"/>
              <w:spacing w:before="93" w:after="93"/>
              <w:rPr>
                <w:rFonts w:cs="宋体"/>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运营期环境影响和保护措施</w:t>
            </w:r>
          </w:p>
        </w:tc>
        <w:tc>
          <w:tcPr>
            <w:tcW w:w="4678" w:type="pct"/>
            <w:vAlign w:val="center"/>
          </w:tcPr>
          <w:p w14:paraId="54C43582">
            <w:pPr>
              <w:pStyle w:val="43"/>
              <w:spacing w:line="360" w:lineRule="auto"/>
              <w:ind w:firstLine="482"/>
              <w:rPr>
                <w:rFonts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14:textFill>
                  <w14:solidFill>
                    <w14:schemeClr w14:val="tx1"/>
                  </w14:solidFill>
                </w14:textFill>
              </w:rPr>
              <w:t>（</w:t>
            </w:r>
            <w:r>
              <w:rPr>
                <w:rFonts w:ascii="Times New Roman" w:hAnsi="Times New Roman" w:cs="Times New Roman"/>
                <w:b/>
                <w:color w:val="000000" w:themeColor="text1"/>
                <w:sz w:val="24"/>
                <w:highlight w:val="none"/>
                <w14:textFill>
                  <w14:solidFill>
                    <w14:schemeClr w14:val="tx1"/>
                  </w14:solidFill>
                </w14:textFill>
              </w:rPr>
              <w:t>2）厂界达标情况分析</w:t>
            </w:r>
          </w:p>
          <w:p w14:paraId="06459339">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根据《环境影响评价技术导则 声环境》（HJ2.4－2021）中推荐的以下公式，对项目厂界噪声达标情况进行分析。预测模式如下：</w:t>
            </w:r>
          </w:p>
          <w:p w14:paraId="362DA0C3">
            <w:pPr>
              <w:pStyle w:val="43"/>
              <w:spacing w:line="360" w:lineRule="auto"/>
              <w:ind w:firstLine="720" w:firstLineChars="3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①声源位于室内声源靠近围护结构处产生的倍频带声压级或A声级：</w:t>
            </w:r>
          </w:p>
          <w:p w14:paraId="0F7D3561">
            <w:pPr>
              <w:pStyle w:val="43"/>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263775" cy="584835"/>
                  <wp:effectExtent l="0" t="0" r="3175"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cstate="print"/>
                          <a:stretch>
                            <a:fillRect/>
                          </a:stretch>
                        </pic:blipFill>
                        <pic:spPr>
                          <a:xfrm>
                            <a:off x="0" y="0"/>
                            <a:ext cx="2263775" cy="584835"/>
                          </a:xfrm>
                          <a:prstGeom prst="rect">
                            <a:avLst/>
                          </a:prstGeom>
                          <a:noFill/>
                          <a:ln>
                            <a:noFill/>
                          </a:ln>
                        </pic:spPr>
                      </pic:pic>
                    </a:graphicData>
                  </a:graphic>
                </wp:inline>
              </w:drawing>
            </w:r>
          </w:p>
          <w:p w14:paraId="51758A3A">
            <w:pPr>
              <w:pStyle w:val="43"/>
              <w:spacing w:line="360" w:lineRule="auto"/>
              <w:ind w:firstLine="0" w:firstLineChars="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式中：L</w:t>
            </w:r>
            <w:r>
              <w:rPr>
                <w:rFonts w:ascii="Times New Roman" w:hAnsi="Times New Roman" w:cs="Times New Roman"/>
                <w:color w:val="000000" w:themeColor="text1"/>
                <w:sz w:val="24"/>
                <w:highlight w:val="none"/>
                <w:vertAlign w:val="subscript"/>
                <w14:textFill>
                  <w14:solidFill>
                    <w14:schemeClr w14:val="tx1"/>
                  </w14:solidFill>
                </w14:textFill>
              </w:rPr>
              <w:t>p1</w:t>
            </w:r>
            <w:r>
              <w:rPr>
                <w:rFonts w:ascii="Times New Roman" w:hAnsi="Times New Roman" w:cs="Times New Roman"/>
                <w:color w:val="000000" w:themeColor="text1"/>
                <w:sz w:val="24"/>
                <w:highlight w:val="none"/>
                <w14:textFill>
                  <w14:solidFill>
                    <w14:schemeClr w14:val="tx1"/>
                  </w14:solidFill>
                </w14:textFill>
              </w:rPr>
              <w:t>——靠近开口处（或窗户）室内某倍频带的声压级或A声级，dB；</w:t>
            </w:r>
          </w:p>
          <w:p w14:paraId="2544B18F">
            <w:pPr>
              <w:pStyle w:val="43"/>
              <w:spacing w:line="360" w:lineRule="auto"/>
              <w:ind w:firstLine="720" w:firstLineChars="3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L</w:t>
            </w:r>
            <w:r>
              <w:rPr>
                <w:rFonts w:ascii="Times New Roman" w:hAnsi="Times New Roman" w:cs="Times New Roman"/>
                <w:color w:val="000000" w:themeColor="text1"/>
                <w:sz w:val="24"/>
                <w:highlight w:val="none"/>
                <w:vertAlign w:val="subscript"/>
                <w14:textFill>
                  <w14:solidFill>
                    <w14:schemeClr w14:val="tx1"/>
                  </w14:solidFill>
                </w14:textFill>
              </w:rPr>
              <w:t>w</w:t>
            </w:r>
            <w:r>
              <w:rPr>
                <w:rFonts w:ascii="Times New Roman" w:hAnsi="Times New Roman" w:cs="Times New Roman"/>
                <w:color w:val="000000" w:themeColor="text1"/>
                <w:sz w:val="24"/>
                <w:highlight w:val="none"/>
                <w14:textFill>
                  <w14:solidFill>
                    <w14:schemeClr w14:val="tx1"/>
                  </w14:solidFill>
                </w14:textFill>
              </w:rPr>
              <w:t>——点声源声功率级（A计权或倍频带），dB；</w:t>
            </w:r>
          </w:p>
          <w:p w14:paraId="575C704C">
            <w:pPr>
              <w:pStyle w:val="43"/>
              <w:spacing w:line="360" w:lineRule="auto"/>
              <w:ind w:firstLine="720" w:firstLineChars="3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Q——指向性因数；通常对无指向性声源，当声源放在房间中心时，Q=1；当放在一面墙的中心时，Q=2；当放在两面墙夹角处时，Q=4；当放在三面墙夹角处时，Q=8。</w:t>
            </w:r>
          </w:p>
          <w:p w14:paraId="104CFA0A">
            <w:pPr>
              <w:pStyle w:val="43"/>
              <w:spacing w:line="360" w:lineRule="auto"/>
              <w:ind w:firstLine="720" w:firstLineChars="3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R——房间常数；R=Sα/（1-α），S为房间内表面面积，m</w:t>
            </w:r>
            <w:r>
              <w:rPr>
                <w:rFonts w:ascii="Times New Roman" w:hAnsi="Times New Roman" w:cs="Times New Roman"/>
                <w:color w:val="000000" w:themeColor="text1"/>
                <w:sz w:val="24"/>
                <w:highlight w:val="none"/>
                <w:vertAlign w:val="superscript"/>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；α为平均吸声系数；</w:t>
            </w:r>
          </w:p>
          <w:p w14:paraId="742110B8">
            <w:pPr>
              <w:pStyle w:val="43"/>
              <w:spacing w:line="360" w:lineRule="auto"/>
              <w:ind w:firstLine="720" w:firstLineChars="3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r——声源到靠近围护结构某点处的距离，m。</w:t>
            </w:r>
          </w:p>
          <w:p w14:paraId="338B60CD">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②所有室内声源在围护结构处产生的i倍频带叠加声压级：</w:t>
            </w:r>
          </w:p>
          <w:p w14:paraId="050D58FD">
            <w:pPr>
              <w:pStyle w:val="43"/>
              <w:ind w:firstLine="0" w:firstLineChars="0"/>
              <w:jc w:val="center"/>
              <w:rPr>
                <w:rFonts w:asci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773555" cy="558800"/>
                  <wp:effectExtent l="0" t="0" r="17145"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cstate="print"/>
                          <a:stretch>
                            <a:fillRect/>
                          </a:stretch>
                        </pic:blipFill>
                        <pic:spPr>
                          <a:xfrm>
                            <a:off x="0" y="0"/>
                            <a:ext cx="1773555" cy="558800"/>
                          </a:xfrm>
                          <a:prstGeom prst="rect">
                            <a:avLst/>
                          </a:prstGeom>
                          <a:noFill/>
                          <a:ln>
                            <a:noFill/>
                          </a:ln>
                        </pic:spPr>
                      </pic:pic>
                    </a:graphicData>
                  </a:graphic>
                </wp:inline>
              </w:drawing>
            </w:r>
          </w:p>
          <w:p w14:paraId="6C1BA472">
            <w:pPr>
              <w:pStyle w:val="43"/>
              <w:spacing w:line="360" w:lineRule="auto"/>
              <w:ind w:firstLine="0" w:firstLineChars="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式中：L</w:t>
            </w:r>
            <w:r>
              <w:rPr>
                <w:rFonts w:ascii="Times New Roman" w:hAnsi="Times New Roman" w:cs="Times New Roman"/>
                <w:color w:val="000000" w:themeColor="text1"/>
                <w:sz w:val="24"/>
                <w:highlight w:val="none"/>
                <w:vertAlign w:val="subscript"/>
                <w14:textFill>
                  <w14:solidFill>
                    <w14:schemeClr w14:val="tx1"/>
                  </w14:solidFill>
                </w14:textFill>
              </w:rPr>
              <w:t>pli</w:t>
            </w:r>
            <w:r>
              <w:rPr>
                <w:rFonts w:ascii="Times New Roman" w:hAnsi="Times New Roman" w:cs="Times New Roman"/>
                <w:color w:val="000000" w:themeColor="text1"/>
                <w:sz w:val="24"/>
                <w:highlight w:val="none"/>
                <w14:textFill>
                  <w14:solidFill>
                    <w14:schemeClr w14:val="tx1"/>
                  </w14:solidFill>
                </w14:textFill>
              </w:rPr>
              <w:t>（T）——靠近围护结构处室内N个声源i倍频带的叠加声压级，dB；</w:t>
            </w:r>
          </w:p>
          <w:p w14:paraId="7B808EA4">
            <w:pPr>
              <w:pStyle w:val="43"/>
              <w:spacing w:line="360" w:lineRule="auto"/>
              <w:ind w:firstLine="720" w:firstLineChars="3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L</w:t>
            </w:r>
            <w:r>
              <w:rPr>
                <w:rFonts w:ascii="Times New Roman" w:hAnsi="Times New Roman" w:cs="Times New Roman"/>
                <w:color w:val="000000" w:themeColor="text1"/>
                <w:sz w:val="24"/>
                <w:highlight w:val="none"/>
                <w:vertAlign w:val="subscript"/>
                <w14:textFill>
                  <w14:solidFill>
                    <w14:schemeClr w14:val="tx1"/>
                  </w14:solidFill>
                </w14:textFill>
              </w:rPr>
              <w:t>plij</w:t>
            </w:r>
            <w:r>
              <w:rPr>
                <w:rFonts w:ascii="Times New Roman" w:hAnsi="Times New Roman" w:cs="Times New Roman"/>
                <w:color w:val="000000" w:themeColor="text1"/>
                <w:sz w:val="24"/>
                <w:highlight w:val="none"/>
                <w14:textFill>
                  <w14:solidFill>
                    <w14:schemeClr w14:val="tx1"/>
                  </w14:solidFill>
                </w14:textFill>
              </w:rPr>
              <w:t>——室内j声源i倍频带的声压级，dB；</w:t>
            </w:r>
          </w:p>
          <w:p w14:paraId="0DED12B5">
            <w:pPr>
              <w:pStyle w:val="43"/>
              <w:spacing w:line="360" w:lineRule="auto"/>
              <w:ind w:firstLine="720" w:firstLineChars="3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N——室内声源总数。</w:t>
            </w:r>
          </w:p>
          <w:p w14:paraId="5AF3573C">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③靠近室外围护结构处的声压级：</w:t>
            </w:r>
          </w:p>
          <w:p w14:paraId="44667C74">
            <w:pPr>
              <w:pStyle w:val="43"/>
              <w:ind w:firstLine="0" w:firstLineChars="0"/>
              <w:jc w:val="center"/>
              <w:rPr>
                <w:rFonts w:asci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295525" cy="346075"/>
                  <wp:effectExtent l="0" t="0" r="952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cstate="print"/>
                          <a:stretch>
                            <a:fillRect/>
                          </a:stretch>
                        </pic:blipFill>
                        <pic:spPr>
                          <a:xfrm>
                            <a:off x="0" y="0"/>
                            <a:ext cx="2295525" cy="346075"/>
                          </a:xfrm>
                          <a:prstGeom prst="rect">
                            <a:avLst/>
                          </a:prstGeom>
                          <a:noFill/>
                          <a:ln>
                            <a:noFill/>
                          </a:ln>
                        </pic:spPr>
                      </pic:pic>
                    </a:graphicData>
                  </a:graphic>
                </wp:inline>
              </w:drawing>
            </w:r>
          </w:p>
          <w:p w14:paraId="2AC137F2">
            <w:pPr>
              <w:pStyle w:val="43"/>
              <w:spacing w:line="360" w:lineRule="auto"/>
              <w:ind w:firstLine="0" w:firstLineChars="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式中：L</w:t>
            </w:r>
            <w:r>
              <w:rPr>
                <w:rFonts w:ascii="Times New Roman" w:hAnsi="Times New Roman" w:cs="Times New Roman"/>
                <w:color w:val="000000" w:themeColor="text1"/>
                <w:sz w:val="24"/>
                <w:highlight w:val="none"/>
                <w:vertAlign w:val="subscript"/>
                <w14:textFill>
                  <w14:solidFill>
                    <w14:schemeClr w14:val="tx1"/>
                  </w14:solidFill>
                </w14:textFill>
              </w:rPr>
              <w:t>p2i</w:t>
            </w:r>
            <w:r>
              <w:rPr>
                <w:rFonts w:ascii="Times New Roman" w:hAnsi="Times New Roman" w:cs="Times New Roman"/>
                <w:color w:val="000000" w:themeColor="text1"/>
                <w:sz w:val="24"/>
                <w:highlight w:val="none"/>
                <w14:textFill>
                  <w14:solidFill>
                    <w14:schemeClr w14:val="tx1"/>
                  </w14:solidFill>
                </w14:textFill>
              </w:rPr>
              <w:t>（T）——靠近围护结构处室外N个声源i倍频带的叠加声压级，dB；</w:t>
            </w:r>
          </w:p>
          <w:p w14:paraId="518C1588">
            <w:pPr>
              <w:pStyle w:val="43"/>
              <w:spacing w:line="360" w:lineRule="auto"/>
              <w:ind w:firstLine="720" w:firstLineChars="3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L</w:t>
            </w:r>
            <w:r>
              <w:rPr>
                <w:rFonts w:ascii="Times New Roman" w:hAnsi="Times New Roman" w:cs="Times New Roman"/>
                <w:color w:val="000000" w:themeColor="text1"/>
                <w:sz w:val="24"/>
                <w:highlight w:val="none"/>
                <w:vertAlign w:val="subscript"/>
                <w14:textFill>
                  <w14:solidFill>
                    <w14:schemeClr w14:val="tx1"/>
                  </w14:solidFill>
                </w14:textFill>
              </w:rPr>
              <w:t>p1i</w:t>
            </w:r>
            <w:r>
              <w:rPr>
                <w:rFonts w:ascii="Times New Roman" w:hAnsi="Times New Roman" w:cs="Times New Roman"/>
                <w:color w:val="000000" w:themeColor="text1"/>
                <w:sz w:val="24"/>
                <w:highlight w:val="none"/>
                <w14:textFill>
                  <w14:solidFill>
                    <w14:schemeClr w14:val="tx1"/>
                  </w14:solidFill>
                </w14:textFill>
              </w:rPr>
              <w:t>（T）——靠近围护结构处室内N个声源i倍频带的叠加声压级，dB；</w:t>
            </w:r>
          </w:p>
          <w:p w14:paraId="0622DB5A">
            <w:pPr>
              <w:pStyle w:val="43"/>
              <w:spacing w:line="360" w:lineRule="auto"/>
              <w:ind w:firstLine="720" w:firstLineChars="3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TLi——围护结构i倍频带的隔声量，dB。</w:t>
            </w:r>
          </w:p>
          <w:p w14:paraId="0245B01D">
            <w:pPr>
              <w:pStyle w:val="43"/>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④将室外声源的声压级和透过面积换算成等效的室外声源，计算出中心位置位于透声面积（S）处的等效声源的倍频带声功率级。</w:t>
            </w:r>
          </w:p>
          <w:p w14:paraId="468206A7">
            <w:pPr>
              <w:pStyle w:val="43"/>
              <w:ind w:firstLine="420"/>
              <w:jc w:val="center"/>
              <w:rPr>
                <w:rFonts w:hint="eastAsia" w:ascii="宋体"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140585" cy="375920"/>
                  <wp:effectExtent l="0" t="0" r="12065"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cstate="print"/>
                          <a:stretch>
                            <a:fillRect/>
                          </a:stretch>
                        </pic:blipFill>
                        <pic:spPr>
                          <a:xfrm>
                            <a:off x="0" y="0"/>
                            <a:ext cx="2140585" cy="375920"/>
                          </a:xfrm>
                          <a:prstGeom prst="rect">
                            <a:avLst/>
                          </a:prstGeom>
                          <a:noFill/>
                          <a:ln>
                            <a:noFill/>
                          </a:ln>
                        </pic:spPr>
                      </pic:pic>
                    </a:graphicData>
                  </a:graphic>
                </wp:inline>
              </w:drawing>
            </w:r>
          </w:p>
          <w:p w14:paraId="0545FE67">
            <w:pPr>
              <w:pStyle w:val="43"/>
              <w:spacing w:line="360" w:lineRule="auto"/>
              <w:ind w:firstLine="0" w:firstLineChars="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式中：L</w:t>
            </w:r>
            <w:r>
              <w:rPr>
                <w:rFonts w:ascii="Times New Roman" w:hAnsi="Times New Roman" w:cs="Times New Roman"/>
                <w:color w:val="000000" w:themeColor="text1"/>
                <w:sz w:val="24"/>
                <w:highlight w:val="none"/>
                <w:vertAlign w:val="subscript"/>
                <w14:textFill>
                  <w14:solidFill>
                    <w14:schemeClr w14:val="tx1"/>
                  </w14:solidFill>
                </w14:textFill>
              </w:rPr>
              <w:t>w</w:t>
            </w:r>
            <w:r>
              <w:rPr>
                <w:rFonts w:ascii="Times New Roman" w:hAnsi="Times New Roman" w:cs="Times New Roman"/>
                <w:color w:val="000000" w:themeColor="text1"/>
                <w:sz w:val="24"/>
                <w:highlight w:val="none"/>
                <w14:textFill>
                  <w14:solidFill>
                    <w14:schemeClr w14:val="tx1"/>
                  </w14:solidFill>
                </w14:textFill>
              </w:rPr>
              <w:t>——中心位置位于透声面积（S）处的等效声源的倍频带声功率级，dB；</w:t>
            </w:r>
          </w:p>
          <w:p w14:paraId="693D75B4">
            <w:pPr>
              <w:pStyle w:val="43"/>
              <w:spacing w:line="360" w:lineRule="auto"/>
              <w:ind w:firstLine="720" w:firstLineChars="3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L</w:t>
            </w:r>
            <w:r>
              <w:rPr>
                <w:rFonts w:ascii="Times New Roman" w:hAnsi="Times New Roman" w:cs="Times New Roman"/>
                <w:color w:val="000000" w:themeColor="text1"/>
                <w:sz w:val="24"/>
                <w:highlight w:val="none"/>
                <w:vertAlign w:val="subscript"/>
                <w14:textFill>
                  <w14:solidFill>
                    <w14:schemeClr w14:val="tx1"/>
                  </w14:solidFill>
                </w14:textFill>
              </w:rPr>
              <w:t>p2</w:t>
            </w:r>
            <w:r>
              <w:rPr>
                <w:rFonts w:ascii="Times New Roman" w:hAnsi="Times New Roman" w:cs="Times New Roman"/>
                <w:color w:val="000000" w:themeColor="text1"/>
                <w:sz w:val="24"/>
                <w:highlight w:val="none"/>
                <w14:textFill>
                  <w14:solidFill>
                    <w14:schemeClr w14:val="tx1"/>
                  </w14:solidFill>
                </w14:textFill>
              </w:rPr>
              <w:t>（T）——靠近围护结构处室外声源的声压级，dB；</w:t>
            </w:r>
          </w:p>
          <w:p w14:paraId="75D974BF">
            <w:pPr>
              <w:pStyle w:val="43"/>
              <w:spacing w:line="360" w:lineRule="auto"/>
              <w:ind w:firstLine="720" w:firstLineChars="3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S——透声面积，m</w:t>
            </w:r>
            <w:r>
              <w:rPr>
                <w:rFonts w:ascii="Times New Roman" w:hAnsi="Times New Roman" w:cs="Times New Roman"/>
                <w:color w:val="000000" w:themeColor="text1"/>
                <w:sz w:val="24"/>
                <w:highlight w:val="none"/>
                <w:vertAlign w:val="superscript"/>
                <w14:textFill>
                  <w14:solidFill>
                    <w14:schemeClr w14:val="tx1"/>
                  </w14:solidFill>
                </w14:textFill>
              </w:rPr>
              <w:t>2</w:t>
            </w:r>
            <w:r>
              <w:rPr>
                <w:rFonts w:ascii="Times New Roman" w:hAnsi="Times New Roman" w:cs="Times New Roman"/>
                <w:color w:val="000000" w:themeColor="text1"/>
                <w:sz w:val="24"/>
                <w:highlight w:val="none"/>
                <w14:textFill>
                  <w14:solidFill>
                    <w14:schemeClr w14:val="tx1"/>
                  </w14:solidFill>
                </w14:textFill>
              </w:rPr>
              <w:t>，以厂房侧面积计。</w:t>
            </w:r>
          </w:p>
          <w:p w14:paraId="3260B4FB">
            <w:pPr>
              <w:pStyle w:val="43"/>
              <w:wordWrap w:val="0"/>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⑤按室外声源预测方法计算厂界A声级。</w:t>
            </w:r>
          </w:p>
          <w:p w14:paraId="430BC2BF">
            <w:pPr>
              <w:pStyle w:val="43"/>
              <w:wordWrap w:val="0"/>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根据《环境影响评价技术导则 声环境》（HJ2.4-2021）“B.1.4 如预测点在靠近声源处，但不能满足点声源条件时，需按线声源或面声源模型计算。”项目等效到厂房室外的噪声源采用面声源几何发散衰减模式进行厂界噪声预测。</w:t>
            </w:r>
          </w:p>
          <w:p w14:paraId="353AF0C1">
            <w:pPr>
              <w:pStyle w:val="43"/>
              <w:wordWrap w:val="0"/>
              <w:spacing w:line="360" w:lineRule="auto"/>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面声源的几何发散衰减：当预测点和面声源中心距离r处于以下条件时，可按下述方法近似计算：r＜a/π时，几乎不衰减（Adiv≈0）；当a/π＜r＜b/π，距离加倍衰减3dB左右，类似线声源衰减特性[Adiv≈10lg(r/r0)）]；当r＞b/π时，距离加倍衰减趋近于6dB，类似点声源衰减特性[Adiv≈20lg(r/r0)）]，其中面声源的b＞a。</w:t>
            </w:r>
          </w:p>
          <w:p w14:paraId="3132EE03">
            <w:pPr>
              <w:pStyle w:val="43"/>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221990" cy="1796415"/>
                  <wp:effectExtent l="0" t="0" r="16510" b="133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2" cstate="print"/>
                          <a:stretch>
                            <a:fillRect/>
                          </a:stretch>
                        </pic:blipFill>
                        <pic:spPr>
                          <a:xfrm>
                            <a:off x="0" y="0"/>
                            <a:ext cx="3221990" cy="1796415"/>
                          </a:xfrm>
                          <a:prstGeom prst="rect">
                            <a:avLst/>
                          </a:prstGeom>
                          <a:noFill/>
                          <a:ln>
                            <a:noFill/>
                          </a:ln>
                        </pic:spPr>
                      </pic:pic>
                    </a:graphicData>
                  </a:graphic>
                </wp:inline>
              </w:drawing>
            </w:r>
          </w:p>
          <w:p w14:paraId="09E1B106">
            <w:pPr>
              <w:pStyle w:val="45"/>
              <w:spacing w:afterLines="0" w:line="360" w:lineRule="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图4-1 长方形面声源中心轴线上的衰减特性</w:t>
            </w:r>
          </w:p>
          <w:p w14:paraId="3250F50B">
            <w:pPr>
              <w:pStyle w:val="43"/>
              <w:spacing w:line="360" w:lineRule="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⑥噪声贡献值计算：</w:t>
            </w:r>
          </w:p>
          <w:p w14:paraId="66D573DF">
            <w:pPr>
              <w:pStyle w:val="43"/>
              <w:ind w:firstLine="0" w:firstLineChars="0"/>
              <w:jc w:val="center"/>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drawing>
                <wp:inline distT="0" distB="0" distL="114300" distR="114300">
                  <wp:extent cx="3274060" cy="662305"/>
                  <wp:effectExtent l="0" t="0" r="2540" b="444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3" cstate="print"/>
                          <a:stretch>
                            <a:fillRect/>
                          </a:stretch>
                        </pic:blipFill>
                        <pic:spPr>
                          <a:xfrm>
                            <a:off x="0" y="0"/>
                            <a:ext cx="3274060" cy="662305"/>
                          </a:xfrm>
                          <a:prstGeom prst="rect">
                            <a:avLst/>
                          </a:prstGeom>
                          <a:noFill/>
                          <a:ln>
                            <a:noFill/>
                          </a:ln>
                        </pic:spPr>
                      </pic:pic>
                    </a:graphicData>
                  </a:graphic>
                </wp:inline>
              </w:drawing>
            </w:r>
          </w:p>
          <w:p w14:paraId="25CB19CA">
            <w:pPr>
              <w:pStyle w:val="43"/>
              <w:spacing w:line="360" w:lineRule="auto"/>
              <w:ind w:firstLine="0" w:firstLineChars="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式中：Leqg——建设项目声源在预测点产生的噪声贡献值，dB；</w:t>
            </w:r>
          </w:p>
          <w:p w14:paraId="7BA923CF">
            <w:pPr>
              <w:pStyle w:val="43"/>
              <w:spacing w:line="360" w:lineRule="auto"/>
              <w:ind w:firstLine="720" w:firstLineChars="3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T——用于计算等效声级的时间，s；</w:t>
            </w:r>
          </w:p>
          <w:p w14:paraId="22CFBCB4">
            <w:pPr>
              <w:pStyle w:val="43"/>
              <w:spacing w:line="360" w:lineRule="auto"/>
              <w:ind w:firstLine="720" w:firstLineChars="3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N——室外声源个数；</w:t>
            </w:r>
          </w:p>
          <w:p w14:paraId="16870CA6">
            <w:pPr>
              <w:pStyle w:val="43"/>
              <w:spacing w:line="360" w:lineRule="auto"/>
              <w:ind w:firstLine="720" w:firstLineChars="3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ti——在T时间内i声源工作时间，s；</w:t>
            </w:r>
          </w:p>
          <w:p w14:paraId="55FD0C2D">
            <w:pPr>
              <w:pStyle w:val="43"/>
              <w:spacing w:line="360" w:lineRule="auto"/>
              <w:ind w:firstLine="720" w:firstLineChars="3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M——等效室外声源个数；</w:t>
            </w:r>
          </w:p>
          <w:p w14:paraId="67C90C50">
            <w:pPr>
              <w:pStyle w:val="43"/>
              <w:spacing w:line="360" w:lineRule="auto"/>
              <w:ind w:firstLine="720" w:firstLineChars="300"/>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tj——在T时间内j声源工作时间，s。</w:t>
            </w:r>
          </w:p>
          <w:p w14:paraId="26EA3D78">
            <w:pPr>
              <w:pStyle w:val="43"/>
              <w:spacing w:line="360" w:lineRule="auto"/>
              <w:rPr>
                <w:rFonts w:ascii="Times New Roman" w:hAnsi="Times New Roman" w:eastAsia="宋体" w:cs="Times New Roman"/>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声波在传递过程中，除随距离增加而衰减外，同时受大气吸收、屏障阻挡等因素衰减，本次预测计算中，只考虑消声、隔声以及距离衰减效应，空气吸收和其余附加衰减忽略不计</w:t>
            </w:r>
            <w:r>
              <w:rPr>
                <w:rFonts w:hint="eastAsia"/>
                <w:bCs/>
                <w:color w:val="000000" w:themeColor="text1"/>
                <w:sz w:val="24"/>
                <w:highlight w:val="none"/>
                <w14:textFill>
                  <w14:solidFill>
                    <w14:schemeClr w14:val="tx1"/>
                  </w14:solidFill>
                </w14:textFill>
              </w:rPr>
              <w:t>。</w:t>
            </w:r>
            <w:r>
              <w:rPr>
                <w:bCs/>
                <w:color w:val="000000" w:themeColor="text1"/>
                <w:sz w:val="24"/>
                <w:highlight w:val="none"/>
                <w14:textFill>
                  <w14:solidFill>
                    <w14:schemeClr w14:val="tx1"/>
                  </w14:solidFill>
                </w14:textFill>
              </w:rPr>
              <w:t>根据噪声源强和预测模型，</w:t>
            </w:r>
            <w:r>
              <w:rPr>
                <w:rFonts w:hint="eastAsia" w:ascii="Times New Roman" w:hAnsi="Times New Roman" w:eastAsia="宋体" w:cs="Times New Roman"/>
                <w:color w:val="000000" w:themeColor="text1"/>
                <w:sz w:val="24"/>
                <w:highlight w:val="none"/>
                <w14:textFill>
                  <w14:solidFill>
                    <w14:schemeClr w14:val="tx1"/>
                  </w14:solidFill>
                </w14:textFill>
              </w:rPr>
              <w:t>项目</w:t>
            </w:r>
            <w:r>
              <w:rPr>
                <w:rFonts w:ascii="Times New Roman" w:hAnsi="Times New Roman" w:eastAsia="宋体" w:cs="Times New Roman"/>
                <w:color w:val="000000" w:themeColor="text1"/>
                <w:sz w:val="24"/>
                <w:highlight w:val="none"/>
                <w14:textFill>
                  <w14:solidFill>
                    <w14:schemeClr w14:val="tx1"/>
                  </w14:solidFill>
                </w14:textFill>
              </w:rPr>
              <w:t>厂界噪声</w:t>
            </w:r>
            <w:r>
              <w:rPr>
                <w:rFonts w:hint="eastAsia" w:ascii="Times New Roman" w:hAnsi="Times New Roman" w:eastAsia="宋体" w:cs="Times New Roman"/>
                <w:color w:val="000000" w:themeColor="text1"/>
                <w:sz w:val="24"/>
                <w:highlight w:val="none"/>
                <w14:textFill>
                  <w14:solidFill>
                    <w14:schemeClr w14:val="tx1"/>
                  </w14:solidFill>
                </w14:textFill>
              </w:rPr>
              <w:t>预测结果与达标分析表详见表4-1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highlight w:val="none"/>
                <w14:textFill>
                  <w14:solidFill>
                    <w14:schemeClr w14:val="tx1"/>
                  </w14:solidFill>
                </w14:textFill>
              </w:rPr>
              <w:t>。</w:t>
            </w:r>
          </w:p>
          <w:p w14:paraId="0344E75C">
            <w:pPr>
              <w:spacing w:line="360" w:lineRule="auto"/>
              <w:jc w:val="center"/>
              <w:rPr>
                <w:rFonts w:ascii="Times New Roman" w:hAnsi="Times New Roman" w:cs="Times New Roman"/>
                <w:bCs/>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表4-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18</w:t>
            </w:r>
            <w:r>
              <w:rPr>
                <w:rFonts w:ascii="Times New Roman" w:hAnsi="Times New Roman" w:eastAsia="宋体" w:cs="Times New Roman"/>
                <w:color w:val="000000" w:themeColor="text1"/>
                <w:sz w:val="24"/>
                <w:highlight w:val="none"/>
                <w14:textFill>
                  <w14:solidFill>
                    <w14:schemeClr w14:val="tx1"/>
                  </w14:solidFill>
                </w14:textFill>
              </w:rPr>
              <w:t xml:space="preserve">  </w:t>
            </w:r>
            <w:r>
              <w:rPr>
                <w:rFonts w:ascii="Times New Roman" w:hAnsi="Times New Roman" w:cs="Times New Roman"/>
                <w:bCs/>
                <w:color w:val="000000" w:themeColor="text1"/>
                <w:kern w:val="0"/>
                <w:sz w:val="24"/>
                <w:highlight w:val="none"/>
                <w14:textFill>
                  <w14:solidFill>
                    <w14:schemeClr w14:val="tx1"/>
                  </w14:solidFill>
                </w14:textFill>
              </w:rPr>
              <w:t>厂界噪声预测结果与达标分析表单位：dB（A）</w:t>
            </w:r>
          </w:p>
          <w:tbl>
            <w:tblPr>
              <w:tblStyle w:val="26"/>
              <w:tblW w:w="0" w:type="auto"/>
              <w:jc w:val="center"/>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803"/>
              <w:gridCol w:w="968"/>
              <w:gridCol w:w="859"/>
              <w:gridCol w:w="996"/>
              <w:gridCol w:w="1213"/>
              <w:gridCol w:w="1091"/>
              <w:gridCol w:w="1309"/>
            </w:tblGrid>
            <w:tr w14:paraId="325C2B87">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032" w:type="dxa"/>
                  <w:vMerge w:val="restart"/>
                  <w:tcBorders>
                    <w:tl2br w:val="nil"/>
                    <w:tr2bl w:val="nil"/>
                  </w:tcBorders>
                  <w:vAlign w:val="center"/>
                </w:tcPr>
                <w:p w14:paraId="056C61D5">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预测方位</w:t>
                  </w:r>
                </w:p>
              </w:tc>
              <w:tc>
                <w:tcPr>
                  <w:tcW w:w="2630" w:type="dxa"/>
                  <w:gridSpan w:val="3"/>
                  <w:tcBorders>
                    <w:tl2br w:val="nil"/>
                    <w:tr2bl w:val="nil"/>
                  </w:tcBorders>
                  <w:vAlign w:val="center"/>
                </w:tcPr>
                <w:p w14:paraId="29F1DEB5">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最大值点空间相对位置/m</w:t>
                  </w:r>
                </w:p>
              </w:tc>
              <w:tc>
                <w:tcPr>
                  <w:tcW w:w="996" w:type="dxa"/>
                  <w:vMerge w:val="restart"/>
                  <w:tcBorders>
                    <w:tl2br w:val="nil"/>
                    <w:tr2bl w:val="nil"/>
                  </w:tcBorders>
                  <w:vAlign w:val="center"/>
                </w:tcPr>
                <w:p w14:paraId="3EF9844F">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时段</w:t>
                  </w:r>
                </w:p>
              </w:tc>
              <w:tc>
                <w:tcPr>
                  <w:tcW w:w="1213" w:type="dxa"/>
                  <w:vMerge w:val="restart"/>
                  <w:tcBorders>
                    <w:tl2br w:val="nil"/>
                    <w:tr2bl w:val="nil"/>
                  </w:tcBorders>
                  <w:vAlign w:val="center"/>
                </w:tcPr>
                <w:p w14:paraId="0555AEFF">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贡献值（dB(A)）</w:t>
                  </w:r>
                </w:p>
              </w:tc>
              <w:tc>
                <w:tcPr>
                  <w:tcW w:w="1091" w:type="dxa"/>
                  <w:vMerge w:val="restart"/>
                  <w:tcBorders>
                    <w:tl2br w:val="nil"/>
                    <w:tr2bl w:val="nil"/>
                  </w:tcBorders>
                  <w:vAlign w:val="center"/>
                </w:tcPr>
                <w:p w14:paraId="432711CD">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标准限值（dB(A)）</w:t>
                  </w:r>
                </w:p>
              </w:tc>
              <w:tc>
                <w:tcPr>
                  <w:tcW w:w="1309" w:type="dxa"/>
                  <w:vMerge w:val="restart"/>
                  <w:tcBorders>
                    <w:tl2br w:val="nil"/>
                    <w:tr2bl w:val="nil"/>
                  </w:tcBorders>
                  <w:vAlign w:val="center"/>
                </w:tcPr>
                <w:p w14:paraId="4CE2C2E8">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达标情况</w:t>
                  </w:r>
                </w:p>
              </w:tc>
            </w:tr>
            <w:tr w14:paraId="52EB61E2">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32" w:type="dxa"/>
                  <w:vMerge w:val="continue"/>
                  <w:tcBorders>
                    <w:tl2br w:val="nil"/>
                    <w:tr2bl w:val="nil"/>
                  </w:tcBorders>
                  <w:shd w:val="clear" w:color="auto" w:fill="FFFFFF"/>
                  <w:vAlign w:val="center"/>
                </w:tcPr>
                <w:p w14:paraId="14FEAD71">
                  <w:pPr>
                    <w:jc w:val="center"/>
                    <w:rPr>
                      <w:rFonts w:ascii="Times New Roman" w:hAnsi="Times New Roman" w:eastAsia="宋体" w:cs="Times New Roman"/>
                      <w:bCs/>
                      <w:color w:val="000000" w:themeColor="text1"/>
                      <w:szCs w:val="21"/>
                      <w:highlight w:val="none"/>
                      <w14:textFill>
                        <w14:solidFill>
                          <w14:schemeClr w14:val="tx1"/>
                        </w14:solidFill>
                      </w14:textFill>
                    </w:rPr>
                  </w:pPr>
                </w:p>
              </w:tc>
              <w:tc>
                <w:tcPr>
                  <w:tcW w:w="803" w:type="dxa"/>
                  <w:tcBorders>
                    <w:tl2br w:val="nil"/>
                    <w:tr2bl w:val="nil"/>
                  </w:tcBorders>
                  <w:shd w:val="clear" w:color="auto" w:fill="FFFFFF"/>
                  <w:vAlign w:val="center"/>
                </w:tcPr>
                <w:p w14:paraId="095081E6">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X</w:t>
                  </w:r>
                </w:p>
              </w:tc>
              <w:tc>
                <w:tcPr>
                  <w:tcW w:w="968" w:type="dxa"/>
                  <w:tcBorders>
                    <w:tl2br w:val="nil"/>
                    <w:tr2bl w:val="nil"/>
                  </w:tcBorders>
                  <w:shd w:val="clear" w:color="auto" w:fill="FFFFFF"/>
                  <w:vAlign w:val="center"/>
                </w:tcPr>
                <w:p w14:paraId="709410B8">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Y</w:t>
                  </w:r>
                </w:p>
              </w:tc>
              <w:tc>
                <w:tcPr>
                  <w:tcW w:w="859" w:type="dxa"/>
                  <w:tcBorders>
                    <w:tl2br w:val="nil"/>
                    <w:tr2bl w:val="nil"/>
                  </w:tcBorders>
                  <w:shd w:val="clear" w:color="auto" w:fill="FFFFFF"/>
                  <w:vAlign w:val="center"/>
                </w:tcPr>
                <w:p w14:paraId="7B525D93">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Z</w:t>
                  </w:r>
                </w:p>
              </w:tc>
              <w:tc>
                <w:tcPr>
                  <w:tcW w:w="996" w:type="dxa"/>
                  <w:vMerge w:val="continue"/>
                  <w:tcBorders>
                    <w:tl2br w:val="nil"/>
                    <w:tr2bl w:val="nil"/>
                  </w:tcBorders>
                  <w:shd w:val="clear" w:color="auto" w:fill="FFFFFF"/>
                  <w:vAlign w:val="center"/>
                </w:tcPr>
                <w:p w14:paraId="21DCBEA0">
                  <w:pPr>
                    <w:jc w:val="center"/>
                    <w:rPr>
                      <w:rFonts w:ascii="Times New Roman" w:hAnsi="Times New Roman" w:eastAsia="宋体" w:cs="Times New Roman"/>
                      <w:bCs/>
                      <w:color w:val="000000" w:themeColor="text1"/>
                      <w:szCs w:val="21"/>
                      <w:highlight w:val="none"/>
                      <w14:textFill>
                        <w14:solidFill>
                          <w14:schemeClr w14:val="tx1"/>
                        </w14:solidFill>
                      </w14:textFill>
                    </w:rPr>
                  </w:pPr>
                </w:p>
              </w:tc>
              <w:tc>
                <w:tcPr>
                  <w:tcW w:w="1213" w:type="dxa"/>
                  <w:vMerge w:val="continue"/>
                  <w:tcBorders>
                    <w:tl2br w:val="nil"/>
                    <w:tr2bl w:val="nil"/>
                  </w:tcBorders>
                  <w:shd w:val="clear" w:color="auto" w:fill="FFFFFF"/>
                  <w:vAlign w:val="center"/>
                </w:tcPr>
                <w:p w14:paraId="2C89BB18">
                  <w:pPr>
                    <w:jc w:val="center"/>
                    <w:rPr>
                      <w:rFonts w:ascii="Times New Roman" w:hAnsi="Times New Roman" w:eastAsia="宋体" w:cs="Times New Roman"/>
                      <w:bCs/>
                      <w:color w:val="000000" w:themeColor="text1"/>
                      <w:szCs w:val="21"/>
                      <w:highlight w:val="none"/>
                      <w14:textFill>
                        <w14:solidFill>
                          <w14:schemeClr w14:val="tx1"/>
                        </w14:solidFill>
                      </w14:textFill>
                    </w:rPr>
                  </w:pPr>
                </w:p>
              </w:tc>
              <w:tc>
                <w:tcPr>
                  <w:tcW w:w="1091" w:type="dxa"/>
                  <w:vMerge w:val="continue"/>
                  <w:tcBorders>
                    <w:tl2br w:val="nil"/>
                    <w:tr2bl w:val="nil"/>
                  </w:tcBorders>
                  <w:shd w:val="clear" w:color="auto" w:fill="FFFFFF"/>
                  <w:vAlign w:val="center"/>
                </w:tcPr>
                <w:p w14:paraId="3ADB5FAF">
                  <w:pPr>
                    <w:jc w:val="center"/>
                    <w:rPr>
                      <w:rFonts w:ascii="Times New Roman" w:hAnsi="Times New Roman" w:eastAsia="宋体" w:cs="Times New Roman"/>
                      <w:bCs/>
                      <w:color w:val="000000" w:themeColor="text1"/>
                      <w:szCs w:val="21"/>
                      <w:highlight w:val="none"/>
                      <w14:textFill>
                        <w14:solidFill>
                          <w14:schemeClr w14:val="tx1"/>
                        </w14:solidFill>
                      </w14:textFill>
                    </w:rPr>
                  </w:pPr>
                </w:p>
              </w:tc>
              <w:tc>
                <w:tcPr>
                  <w:tcW w:w="1309" w:type="dxa"/>
                  <w:vMerge w:val="continue"/>
                  <w:tcBorders>
                    <w:tl2br w:val="nil"/>
                    <w:tr2bl w:val="nil"/>
                  </w:tcBorders>
                  <w:shd w:val="clear" w:color="auto" w:fill="FFFFFF"/>
                  <w:vAlign w:val="center"/>
                </w:tcPr>
                <w:p w14:paraId="0CF29FDC">
                  <w:pPr>
                    <w:jc w:val="center"/>
                    <w:rPr>
                      <w:rFonts w:ascii="Times New Roman" w:hAnsi="Times New Roman" w:eastAsia="宋体" w:cs="Times New Roman"/>
                      <w:bCs/>
                      <w:color w:val="000000" w:themeColor="text1"/>
                      <w:szCs w:val="21"/>
                      <w:highlight w:val="none"/>
                      <w14:textFill>
                        <w14:solidFill>
                          <w14:schemeClr w14:val="tx1"/>
                        </w14:solidFill>
                      </w14:textFill>
                    </w:rPr>
                  </w:pPr>
                </w:p>
              </w:tc>
            </w:tr>
            <w:tr w14:paraId="45A39756">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32" w:type="dxa"/>
                  <w:tcBorders>
                    <w:tl2br w:val="nil"/>
                    <w:tr2bl w:val="nil"/>
                  </w:tcBorders>
                  <w:shd w:val="clear" w:color="auto" w:fill="FFFFFF"/>
                  <w:vAlign w:val="center"/>
                </w:tcPr>
                <w:p w14:paraId="2B170653">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东侧</w:t>
                  </w:r>
                </w:p>
              </w:tc>
              <w:tc>
                <w:tcPr>
                  <w:tcW w:w="803" w:type="dxa"/>
                  <w:tcBorders>
                    <w:tl2br w:val="nil"/>
                    <w:tr2bl w:val="nil"/>
                  </w:tcBorders>
                  <w:shd w:val="clear" w:color="auto" w:fill="FFFFFF"/>
                  <w:vAlign w:val="center"/>
                </w:tcPr>
                <w:p w14:paraId="2D5A7538">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17.3</w:t>
                  </w:r>
                </w:p>
              </w:tc>
              <w:tc>
                <w:tcPr>
                  <w:tcW w:w="968" w:type="dxa"/>
                  <w:tcBorders>
                    <w:tl2br w:val="nil"/>
                    <w:tr2bl w:val="nil"/>
                  </w:tcBorders>
                  <w:shd w:val="clear" w:color="auto" w:fill="FFFFFF"/>
                  <w:vAlign w:val="center"/>
                </w:tcPr>
                <w:p w14:paraId="024FC1BC">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4.5</w:t>
                  </w:r>
                </w:p>
              </w:tc>
              <w:tc>
                <w:tcPr>
                  <w:tcW w:w="859" w:type="dxa"/>
                  <w:tcBorders>
                    <w:tl2br w:val="nil"/>
                    <w:tr2bl w:val="nil"/>
                  </w:tcBorders>
                  <w:shd w:val="clear" w:color="auto" w:fill="FFFFFF"/>
                  <w:vAlign w:val="center"/>
                </w:tcPr>
                <w:p w14:paraId="48C7FB59">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1.2</w:t>
                  </w:r>
                </w:p>
              </w:tc>
              <w:tc>
                <w:tcPr>
                  <w:tcW w:w="996" w:type="dxa"/>
                  <w:tcBorders>
                    <w:tl2br w:val="nil"/>
                    <w:tr2bl w:val="nil"/>
                  </w:tcBorders>
                  <w:shd w:val="clear" w:color="auto" w:fill="FFFFFF"/>
                  <w:vAlign w:val="center"/>
                </w:tcPr>
                <w:p w14:paraId="3B026C10">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昼间</w:t>
                  </w:r>
                </w:p>
              </w:tc>
              <w:tc>
                <w:tcPr>
                  <w:tcW w:w="1213" w:type="dxa"/>
                  <w:tcBorders>
                    <w:tl2br w:val="nil"/>
                    <w:tr2bl w:val="nil"/>
                  </w:tcBorders>
                  <w:shd w:val="clear" w:color="auto" w:fill="FFFFFF"/>
                  <w:vAlign w:val="center"/>
                </w:tcPr>
                <w:p w14:paraId="66F86D6A">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50</w:t>
                  </w:r>
                </w:p>
              </w:tc>
              <w:tc>
                <w:tcPr>
                  <w:tcW w:w="1091" w:type="dxa"/>
                  <w:tcBorders>
                    <w:tl2br w:val="nil"/>
                    <w:tr2bl w:val="nil"/>
                  </w:tcBorders>
                  <w:shd w:val="clear" w:color="auto" w:fill="FFFFFF"/>
                  <w:vAlign w:val="center"/>
                </w:tcPr>
                <w:p w14:paraId="638A5FE9">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65</w:t>
                  </w:r>
                </w:p>
              </w:tc>
              <w:tc>
                <w:tcPr>
                  <w:tcW w:w="1309" w:type="dxa"/>
                  <w:tcBorders>
                    <w:tl2br w:val="nil"/>
                    <w:tr2bl w:val="nil"/>
                  </w:tcBorders>
                  <w:shd w:val="clear" w:color="auto" w:fill="FFFFFF"/>
                  <w:vAlign w:val="center"/>
                </w:tcPr>
                <w:p w14:paraId="4E8E56C5">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达标</w:t>
                  </w:r>
                </w:p>
              </w:tc>
            </w:tr>
            <w:tr w14:paraId="75643DF2">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0" w:hRule="exact"/>
                <w:jc w:val="center"/>
              </w:trPr>
              <w:tc>
                <w:tcPr>
                  <w:tcW w:w="1032" w:type="dxa"/>
                  <w:tcBorders>
                    <w:tl2br w:val="nil"/>
                    <w:tr2bl w:val="nil"/>
                  </w:tcBorders>
                  <w:shd w:val="clear" w:color="auto" w:fill="FFFFFF"/>
                  <w:vAlign w:val="center"/>
                </w:tcPr>
                <w:p w14:paraId="2FF19AEE">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南侧</w:t>
                  </w:r>
                </w:p>
              </w:tc>
              <w:tc>
                <w:tcPr>
                  <w:tcW w:w="803" w:type="dxa"/>
                  <w:tcBorders>
                    <w:tl2br w:val="nil"/>
                    <w:tr2bl w:val="nil"/>
                  </w:tcBorders>
                  <w:shd w:val="clear" w:color="auto" w:fill="FFFFFF"/>
                  <w:vAlign w:val="center"/>
                </w:tcPr>
                <w:p w14:paraId="62D16A62">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5.3</w:t>
                  </w:r>
                </w:p>
              </w:tc>
              <w:tc>
                <w:tcPr>
                  <w:tcW w:w="968" w:type="dxa"/>
                  <w:tcBorders>
                    <w:tl2br w:val="nil"/>
                    <w:tr2bl w:val="nil"/>
                  </w:tcBorders>
                  <w:shd w:val="clear" w:color="auto" w:fill="FFFFFF"/>
                  <w:vAlign w:val="center"/>
                </w:tcPr>
                <w:p w14:paraId="16EB2E36">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-16.5</w:t>
                  </w:r>
                </w:p>
              </w:tc>
              <w:tc>
                <w:tcPr>
                  <w:tcW w:w="859" w:type="dxa"/>
                  <w:tcBorders>
                    <w:tl2br w:val="nil"/>
                    <w:tr2bl w:val="nil"/>
                  </w:tcBorders>
                  <w:shd w:val="clear" w:color="auto" w:fill="FFFFFF"/>
                  <w:vAlign w:val="center"/>
                </w:tcPr>
                <w:p w14:paraId="575883B7">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1.2</w:t>
                  </w:r>
                </w:p>
              </w:tc>
              <w:tc>
                <w:tcPr>
                  <w:tcW w:w="996" w:type="dxa"/>
                  <w:tcBorders>
                    <w:tl2br w:val="nil"/>
                    <w:tr2bl w:val="nil"/>
                  </w:tcBorders>
                  <w:shd w:val="clear" w:color="auto" w:fill="FFFFFF"/>
                  <w:vAlign w:val="center"/>
                </w:tcPr>
                <w:p w14:paraId="79C1E2DC">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昼间</w:t>
                  </w:r>
                </w:p>
              </w:tc>
              <w:tc>
                <w:tcPr>
                  <w:tcW w:w="1213" w:type="dxa"/>
                  <w:tcBorders>
                    <w:tl2br w:val="nil"/>
                    <w:tr2bl w:val="nil"/>
                  </w:tcBorders>
                  <w:shd w:val="clear" w:color="auto" w:fill="FFFFFF"/>
                  <w:vAlign w:val="center"/>
                </w:tcPr>
                <w:p w14:paraId="1E291AE5">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47</w:t>
                  </w:r>
                </w:p>
              </w:tc>
              <w:tc>
                <w:tcPr>
                  <w:tcW w:w="1091" w:type="dxa"/>
                  <w:tcBorders>
                    <w:tl2br w:val="nil"/>
                    <w:tr2bl w:val="nil"/>
                  </w:tcBorders>
                  <w:shd w:val="clear" w:color="auto" w:fill="FFFFFF"/>
                  <w:vAlign w:val="center"/>
                </w:tcPr>
                <w:p w14:paraId="29F9782B">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65</w:t>
                  </w:r>
                </w:p>
              </w:tc>
              <w:tc>
                <w:tcPr>
                  <w:tcW w:w="1309" w:type="dxa"/>
                  <w:tcBorders>
                    <w:tl2br w:val="nil"/>
                    <w:tr2bl w:val="nil"/>
                  </w:tcBorders>
                  <w:shd w:val="clear" w:color="auto" w:fill="FFFFFF"/>
                  <w:vAlign w:val="center"/>
                </w:tcPr>
                <w:p w14:paraId="6283CD34">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达标</w:t>
                  </w:r>
                </w:p>
              </w:tc>
            </w:tr>
            <w:tr w14:paraId="7A877BA0">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1" w:hRule="exact"/>
                <w:jc w:val="center"/>
              </w:trPr>
              <w:tc>
                <w:tcPr>
                  <w:tcW w:w="1032" w:type="dxa"/>
                  <w:tcBorders>
                    <w:tl2br w:val="nil"/>
                    <w:tr2bl w:val="nil"/>
                  </w:tcBorders>
                  <w:shd w:val="clear" w:color="auto" w:fill="FFFFFF"/>
                  <w:vAlign w:val="center"/>
                </w:tcPr>
                <w:p w14:paraId="21A968FF">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西侧</w:t>
                  </w:r>
                </w:p>
              </w:tc>
              <w:tc>
                <w:tcPr>
                  <w:tcW w:w="803" w:type="dxa"/>
                  <w:tcBorders>
                    <w:tl2br w:val="nil"/>
                    <w:tr2bl w:val="nil"/>
                  </w:tcBorders>
                  <w:shd w:val="clear" w:color="auto" w:fill="FFFFFF"/>
                  <w:vAlign w:val="center"/>
                </w:tcPr>
                <w:p w14:paraId="7B2DD0AE">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-17.3</w:t>
                  </w:r>
                </w:p>
              </w:tc>
              <w:tc>
                <w:tcPr>
                  <w:tcW w:w="968" w:type="dxa"/>
                  <w:tcBorders>
                    <w:tl2br w:val="nil"/>
                    <w:tr2bl w:val="nil"/>
                  </w:tcBorders>
                  <w:shd w:val="clear" w:color="auto" w:fill="FFFFFF"/>
                  <w:vAlign w:val="center"/>
                </w:tcPr>
                <w:p w14:paraId="27AB9F72">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1.5</w:t>
                  </w:r>
                </w:p>
              </w:tc>
              <w:tc>
                <w:tcPr>
                  <w:tcW w:w="859" w:type="dxa"/>
                  <w:tcBorders>
                    <w:tl2br w:val="nil"/>
                    <w:tr2bl w:val="nil"/>
                  </w:tcBorders>
                  <w:shd w:val="clear" w:color="auto" w:fill="FFFFFF"/>
                  <w:vAlign w:val="center"/>
                </w:tcPr>
                <w:p w14:paraId="7E10922E">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1.2</w:t>
                  </w:r>
                </w:p>
              </w:tc>
              <w:tc>
                <w:tcPr>
                  <w:tcW w:w="996" w:type="dxa"/>
                  <w:tcBorders>
                    <w:tl2br w:val="nil"/>
                    <w:tr2bl w:val="nil"/>
                  </w:tcBorders>
                  <w:shd w:val="clear" w:color="auto" w:fill="FFFFFF"/>
                  <w:vAlign w:val="center"/>
                </w:tcPr>
                <w:p w14:paraId="5CC4F0A3">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昼间</w:t>
                  </w:r>
                </w:p>
              </w:tc>
              <w:tc>
                <w:tcPr>
                  <w:tcW w:w="1213" w:type="dxa"/>
                  <w:tcBorders>
                    <w:tl2br w:val="nil"/>
                    <w:tr2bl w:val="nil"/>
                  </w:tcBorders>
                  <w:shd w:val="clear" w:color="auto" w:fill="FFFFFF"/>
                  <w:vAlign w:val="center"/>
                </w:tcPr>
                <w:p w14:paraId="0A5075DC">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45</w:t>
                  </w:r>
                </w:p>
              </w:tc>
              <w:tc>
                <w:tcPr>
                  <w:tcW w:w="1091" w:type="dxa"/>
                  <w:tcBorders>
                    <w:tl2br w:val="nil"/>
                    <w:tr2bl w:val="nil"/>
                  </w:tcBorders>
                  <w:shd w:val="clear" w:color="auto" w:fill="FFFFFF"/>
                  <w:vAlign w:val="center"/>
                </w:tcPr>
                <w:p w14:paraId="4BC627D4">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65</w:t>
                  </w:r>
                </w:p>
              </w:tc>
              <w:tc>
                <w:tcPr>
                  <w:tcW w:w="1309" w:type="dxa"/>
                  <w:tcBorders>
                    <w:tl2br w:val="nil"/>
                    <w:tr2bl w:val="nil"/>
                  </w:tcBorders>
                  <w:shd w:val="clear" w:color="auto" w:fill="FFFFFF"/>
                  <w:vAlign w:val="center"/>
                </w:tcPr>
                <w:p w14:paraId="0BF2BE9E">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达标</w:t>
                  </w:r>
                </w:p>
              </w:tc>
            </w:tr>
            <w:tr w14:paraId="03A1027B">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3" w:hRule="exact"/>
                <w:jc w:val="center"/>
              </w:trPr>
              <w:tc>
                <w:tcPr>
                  <w:tcW w:w="1032" w:type="dxa"/>
                  <w:tcBorders>
                    <w:tl2br w:val="nil"/>
                    <w:tr2bl w:val="nil"/>
                  </w:tcBorders>
                  <w:shd w:val="clear" w:color="auto" w:fill="FFFFFF"/>
                  <w:vAlign w:val="center"/>
                </w:tcPr>
                <w:p w14:paraId="3A9EAD39">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北侧</w:t>
                  </w:r>
                </w:p>
              </w:tc>
              <w:tc>
                <w:tcPr>
                  <w:tcW w:w="803" w:type="dxa"/>
                  <w:tcBorders>
                    <w:tl2br w:val="nil"/>
                    <w:tr2bl w:val="nil"/>
                  </w:tcBorders>
                  <w:shd w:val="clear" w:color="auto" w:fill="FFFFFF"/>
                  <w:vAlign w:val="center"/>
                </w:tcPr>
                <w:p w14:paraId="74684689">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6.7</w:t>
                  </w:r>
                </w:p>
              </w:tc>
              <w:tc>
                <w:tcPr>
                  <w:tcW w:w="968" w:type="dxa"/>
                  <w:tcBorders>
                    <w:tl2br w:val="nil"/>
                    <w:tr2bl w:val="nil"/>
                  </w:tcBorders>
                  <w:shd w:val="clear" w:color="auto" w:fill="FFFFFF"/>
                  <w:vAlign w:val="center"/>
                </w:tcPr>
                <w:p w14:paraId="5F66E603">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16.5</w:t>
                  </w:r>
                </w:p>
              </w:tc>
              <w:tc>
                <w:tcPr>
                  <w:tcW w:w="859" w:type="dxa"/>
                  <w:tcBorders>
                    <w:tl2br w:val="nil"/>
                    <w:tr2bl w:val="nil"/>
                  </w:tcBorders>
                  <w:shd w:val="clear" w:color="auto" w:fill="FFFFFF"/>
                  <w:vAlign w:val="center"/>
                </w:tcPr>
                <w:p w14:paraId="0992DED4">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1.2</w:t>
                  </w:r>
                </w:p>
              </w:tc>
              <w:tc>
                <w:tcPr>
                  <w:tcW w:w="996" w:type="dxa"/>
                  <w:tcBorders>
                    <w:tl2br w:val="nil"/>
                    <w:tr2bl w:val="nil"/>
                  </w:tcBorders>
                  <w:shd w:val="clear" w:color="auto" w:fill="FFFFFF"/>
                  <w:vAlign w:val="center"/>
                </w:tcPr>
                <w:p w14:paraId="627B2768">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昼间</w:t>
                  </w:r>
                </w:p>
              </w:tc>
              <w:tc>
                <w:tcPr>
                  <w:tcW w:w="1213" w:type="dxa"/>
                  <w:tcBorders>
                    <w:tl2br w:val="nil"/>
                    <w:tr2bl w:val="nil"/>
                  </w:tcBorders>
                  <w:shd w:val="clear" w:color="auto" w:fill="FFFFFF"/>
                  <w:vAlign w:val="center"/>
                </w:tcPr>
                <w:p w14:paraId="29A3AA0F">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51</w:t>
                  </w:r>
                </w:p>
              </w:tc>
              <w:tc>
                <w:tcPr>
                  <w:tcW w:w="1091" w:type="dxa"/>
                  <w:tcBorders>
                    <w:tl2br w:val="nil"/>
                    <w:tr2bl w:val="nil"/>
                  </w:tcBorders>
                  <w:shd w:val="clear" w:color="auto" w:fill="FFFFFF"/>
                  <w:vAlign w:val="center"/>
                </w:tcPr>
                <w:p w14:paraId="06BFBCCC">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65</w:t>
                  </w:r>
                </w:p>
              </w:tc>
              <w:tc>
                <w:tcPr>
                  <w:tcW w:w="1309" w:type="dxa"/>
                  <w:tcBorders>
                    <w:tl2br w:val="nil"/>
                    <w:tr2bl w:val="nil"/>
                  </w:tcBorders>
                  <w:shd w:val="clear" w:color="auto" w:fill="FFFFFF"/>
                  <w:vAlign w:val="center"/>
                </w:tcPr>
                <w:p w14:paraId="04BA8C32">
                  <w:pPr>
                    <w:jc w:val="center"/>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bCs/>
                      <w:color w:val="000000" w:themeColor="text1"/>
                      <w:szCs w:val="21"/>
                      <w:highlight w:val="none"/>
                      <w14:textFill>
                        <w14:solidFill>
                          <w14:schemeClr w14:val="tx1"/>
                        </w14:solidFill>
                      </w14:textFill>
                    </w:rPr>
                    <w:t>达标</w:t>
                  </w:r>
                </w:p>
              </w:tc>
            </w:tr>
          </w:tbl>
          <w:p w14:paraId="52E8D185">
            <w:pPr>
              <w:pStyle w:val="43"/>
              <w:ind w:firstLine="0" w:firstLineChars="0"/>
              <w:rPr>
                <w:color w:val="000000" w:themeColor="text1"/>
                <w:sz w:val="18"/>
                <w:szCs w:val="18"/>
                <w:highlight w:val="none"/>
                <w14:textFill>
                  <w14:solidFill>
                    <w14:schemeClr w14:val="tx1"/>
                  </w14:solidFill>
                </w14:textFill>
              </w:rPr>
            </w:pPr>
            <w:r>
              <w:rPr>
                <w:rFonts w:ascii="Times New Roman" w:hAnsi="Times New Roman" w:cs="Times New Roman"/>
                <w:bCs/>
                <w:color w:val="000000" w:themeColor="text1"/>
                <w:sz w:val="18"/>
                <w:szCs w:val="18"/>
                <w:highlight w:val="none"/>
                <w14:textFill>
                  <w14:solidFill>
                    <w14:schemeClr w14:val="tx1"/>
                  </w14:solidFill>
                </w14:textFill>
              </w:rPr>
              <w:t>表中坐标以厂界中心（106.318382</w:t>
            </w:r>
            <w:r>
              <w:rPr>
                <w:rFonts w:hint="eastAsia" w:ascii="Times New Roman" w:hAnsi="Times New Roman" w:cs="Times New Roman"/>
                <w:bCs/>
                <w:color w:val="000000" w:themeColor="text1"/>
                <w:sz w:val="18"/>
                <w:szCs w:val="18"/>
                <w:highlight w:val="none"/>
                <w14:textFill>
                  <w14:solidFill>
                    <w14:schemeClr w14:val="tx1"/>
                  </w14:solidFill>
                </w14:textFill>
              </w:rPr>
              <w:t>，</w:t>
            </w:r>
            <w:r>
              <w:rPr>
                <w:rFonts w:ascii="Times New Roman" w:hAnsi="Times New Roman" w:cs="Times New Roman"/>
                <w:bCs/>
                <w:color w:val="000000" w:themeColor="text1"/>
                <w:sz w:val="18"/>
                <w:szCs w:val="18"/>
                <w:highlight w:val="none"/>
                <w14:textFill>
                  <w14:solidFill>
                    <w14:schemeClr w14:val="tx1"/>
                  </w14:solidFill>
                </w14:textFill>
              </w:rPr>
              <w:t>29.324661）为坐标原点，正东向为X轴正方向，正北向为Y轴正方向</w:t>
            </w:r>
          </w:p>
          <w:p w14:paraId="48BAB4EE">
            <w:pPr>
              <w:pStyle w:val="43"/>
              <w:spacing w:line="360" w:lineRule="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t>由预测结果可</w:t>
            </w:r>
            <w:r>
              <w:rPr>
                <w:rFonts w:hint="eastAsia" w:ascii="Times New Roman" w:hAnsi="Times New Roman" w:cs="Times New Roman"/>
                <w:color w:val="000000" w:themeColor="text1"/>
                <w:sz w:val="24"/>
                <w:highlight w:val="none"/>
                <w14:textFill>
                  <w14:solidFill>
                    <w14:schemeClr w14:val="tx1"/>
                  </w14:solidFill>
                </w14:textFill>
              </w:rPr>
              <w:t>知</w:t>
            </w:r>
            <w:r>
              <w:rPr>
                <w:rFonts w:ascii="Times New Roman" w:hAnsi="Times New Roman" w:cs="Times New Roman"/>
                <w:color w:val="000000" w:themeColor="text1"/>
                <w:sz w:val="24"/>
                <w:highlight w:val="none"/>
                <w14:textFill>
                  <w14:solidFill>
                    <w14:schemeClr w14:val="tx1"/>
                  </w14:solidFill>
                </w14:textFill>
              </w:rPr>
              <w:t>，项目仅昼间运行，项目通过采取有效噪声污染防治措施后，</w:t>
            </w:r>
            <w:r>
              <w:rPr>
                <w:rFonts w:ascii="Times New Roman" w:hAnsi="Times New Roman" w:eastAsia="宋体" w:cs="Times New Roman"/>
                <w:color w:val="000000" w:themeColor="text1"/>
                <w:sz w:val="24"/>
                <w:highlight w:val="none"/>
                <w14:textFill>
                  <w14:solidFill>
                    <w14:schemeClr w14:val="tx1"/>
                  </w14:solidFill>
                </w14:textFill>
              </w:rPr>
              <w:t>各厂界昼间噪声贡献值</w:t>
            </w:r>
            <w:r>
              <w:rPr>
                <w:rFonts w:ascii="Times New Roman" w:hAnsi="Times New Roman" w:cs="Times New Roman"/>
                <w:color w:val="000000" w:themeColor="text1"/>
                <w:sz w:val="24"/>
                <w:highlight w:val="none"/>
                <w14:textFill>
                  <w14:solidFill>
                    <w14:schemeClr w14:val="tx1"/>
                  </w14:solidFill>
                </w14:textFill>
              </w:rPr>
              <w:t>可满足《工业企业厂界环境噪声排放标准》（GB12348-2008）3类标准要求</w:t>
            </w:r>
            <w:r>
              <w:rPr>
                <w:rFonts w:ascii="Times New Roman" w:hAnsi="Times New Roman" w:eastAsia="宋体" w:cs="Times New Roman"/>
                <w:color w:val="000000" w:themeColor="text1"/>
                <w:sz w:val="24"/>
                <w:highlight w:val="none"/>
                <w14:textFill>
                  <w14:solidFill>
                    <w14:schemeClr w14:val="tx1"/>
                  </w14:solidFill>
                </w14:textFill>
              </w:rPr>
              <w:t>。</w:t>
            </w:r>
          </w:p>
          <w:p w14:paraId="3DBBF197">
            <w:pPr>
              <w:pStyle w:val="3"/>
              <w:spacing w:line="360" w:lineRule="auto"/>
              <w:ind w:firstLine="482"/>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3）噪声防治措施</w:t>
            </w:r>
          </w:p>
          <w:p w14:paraId="6E30139B">
            <w:pPr>
              <w:pStyle w:val="43"/>
              <w:spacing w:line="360" w:lineRule="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为了降低营运期噪声对周围环境的影响，项目采取以下噪声污染防治措施：</w:t>
            </w:r>
          </w:p>
          <w:p w14:paraId="456D14C6">
            <w:pPr>
              <w:pStyle w:val="43"/>
              <w:spacing w:line="360" w:lineRule="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①在工艺设备选型时，应选用低噪声、节能型的先进设备，对震动大的设备采取相应的减震措施；</w:t>
            </w:r>
          </w:p>
          <w:p w14:paraId="04C2C653">
            <w:pPr>
              <w:pStyle w:val="43"/>
              <w:spacing w:line="360" w:lineRule="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②定期保养和维护生产设备，减少机械摩擦、磨损和振动，降低噪声强度；合理安排生产时间，减少高噪声设备同时开启数量。</w:t>
            </w:r>
          </w:p>
          <w:p w14:paraId="3F3F2230">
            <w:pPr>
              <w:pStyle w:val="43"/>
              <w:spacing w:line="360" w:lineRule="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③合理布置总平布置，高噪声设备设于生产区中央远离厂界，并利用建筑物来阻隔声波的传播，减少设备噪声对外环境影响。</w:t>
            </w:r>
          </w:p>
          <w:p w14:paraId="740F6294">
            <w:pPr>
              <w:pStyle w:val="43"/>
              <w:spacing w:line="360" w:lineRule="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项目周边均为工业企业，50m范围内无学校、医院、居民区等声环境保护目标，项目采取相应噪声防治措施后，厂界噪声能够满足《工业企业厂界环境噪声排放标准》（GB12348-2008）3类标准，噪声对外环境影响较小。</w:t>
            </w:r>
          </w:p>
          <w:p w14:paraId="0D45AB20">
            <w:pPr>
              <w:pStyle w:val="3"/>
              <w:spacing w:line="360" w:lineRule="auto"/>
              <w:ind w:firstLine="482"/>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4）监测要求</w:t>
            </w:r>
          </w:p>
          <w:p w14:paraId="44C298B5">
            <w:pPr>
              <w:pStyle w:val="43"/>
              <w:spacing w:line="360" w:lineRule="auto"/>
              <w:rPr>
                <w:rFonts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eastAsia="宋体" w:cs="Times New Roman"/>
                <w:color w:val="000000" w:themeColor="text1"/>
                <w:sz w:val="24"/>
                <w:highlight w:val="none"/>
                <w14:textFill>
                  <w14:solidFill>
                    <w14:schemeClr w14:val="tx1"/>
                  </w14:solidFill>
                </w14:textFill>
              </w:rPr>
              <w:t>根据《排污许可证申请与核发技术规范 工业噪声》（HJ1301-2023），制定运营期噪声监测计划，制定运营期噪声监测计划，详见</w:t>
            </w:r>
            <w:r>
              <w:rPr>
                <w:rFonts w:hint="eastAsia" w:ascii="Times New Roman" w:hAnsi="Times New Roman" w:eastAsia="宋体" w:cs="Times New Roman"/>
                <w:color w:val="000000" w:themeColor="text1"/>
                <w:sz w:val="24"/>
                <w:highlight w:val="none"/>
                <w14:textFill>
                  <w14:solidFill>
                    <w14:schemeClr w14:val="tx1"/>
                  </w14:solidFill>
                </w14:textFill>
              </w:rPr>
              <w:t>表4-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19</w:t>
            </w:r>
            <w:r>
              <w:rPr>
                <w:rFonts w:ascii="Times New Roman" w:hAnsi="Times New Roman" w:eastAsia="宋体" w:cs="Times New Roman"/>
                <w:color w:val="000000" w:themeColor="text1"/>
                <w:sz w:val="24"/>
                <w:highlight w:val="none"/>
                <w14:textFill>
                  <w14:solidFill>
                    <w14:schemeClr w14:val="tx1"/>
                  </w14:solidFill>
                </w14:textFill>
              </w:rPr>
              <w:t>。</w:t>
            </w:r>
          </w:p>
          <w:p w14:paraId="7869266D">
            <w:pPr>
              <w:pStyle w:val="44"/>
              <w:spacing w:beforeLines="0" w:line="360" w:lineRule="auto"/>
              <w:rPr>
                <w:rFonts w:ascii="Times New Roman" w:hAnsi="Times New Roman" w:eastAsia="宋体"/>
                <w:color w:val="000000" w:themeColor="text1"/>
                <w:sz w:val="24"/>
                <w:highlight w:val="none"/>
                <w14:textFill>
                  <w14:solidFill>
                    <w14:schemeClr w14:val="tx1"/>
                  </w14:solidFill>
                </w14:textFill>
              </w:rPr>
            </w:pPr>
            <w:bookmarkStart w:id="18" w:name="_Ref21561"/>
            <w:r>
              <w:rPr>
                <w:rFonts w:ascii="Times New Roman" w:hAnsi="Times New Roman" w:eastAsia="宋体"/>
                <w:color w:val="000000" w:themeColor="text1"/>
                <w:sz w:val="24"/>
                <w:highlight w:val="none"/>
                <w14:textFill>
                  <w14:solidFill>
                    <w14:schemeClr w14:val="tx1"/>
                  </w14:solidFill>
                </w14:textFill>
              </w:rPr>
              <w:t>表</w:t>
            </w:r>
            <w:bookmarkEnd w:id="18"/>
            <w:r>
              <w:rPr>
                <w:rFonts w:hint="eastAsia" w:ascii="Times New Roman" w:hAnsi="Times New Roman" w:eastAsia="宋体"/>
                <w:color w:val="000000" w:themeColor="text1"/>
                <w:sz w:val="24"/>
                <w:highlight w:val="none"/>
                <w14:textFill>
                  <w14:solidFill>
                    <w14:schemeClr w14:val="tx1"/>
                  </w14:solidFill>
                </w14:textFill>
              </w:rPr>
              <w:t>4-</w:t>
            </w:r>
            <w:r>
              <w:rPr>
                <w:rFonts w:hint="eastAsia" w:ascii="Times New Roman" w:hAnsi="Times New Roman" w:eastAsia="宋体"/>
                <w:color w:val="000000" w:themeColor="text1"/>
                <w:sz w:val="24"/>
                <w:highlight w:val="none"/>
                <w:lang w:val="en-US" w:eastAsia="zh-CN"/>
                <w14:textFill>
                  <w14:solidFill>
                    <w14:schemeClr w14:val="tx1"/>
                  </w14:solidFill>
                </w14:textFill>
              </w:rPr>
              <w:t>19</w:t>
            </w:r>
            <w:r>
              <w:rPr>
                <w:rFonts w:ascii="Times New Roman" w:hAnsi="Times New Roman" w:eastAsia="宋体"/>
                <w:color w:val="000000" w:themeColor="text1"/>
                <w:sz w:val="24"/>
                <w:highlight w:val="none"/>
                <w14:textFill>
                  <w14:solidFill>
                    <w14:schemeClr w14:val="tx1"/>
                  </w14:solidFill>
                </w14:textFill>
              </w:rPr>
              <w:t xml:space="preserve"> 环境监测计划</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28"/>
              <w:gridCol w:w="1019"/>
              <w:gridCol w:w="1378"/>
              <w:gridCol w:w="871"/>
              <w:gridCol w:w="856"/>
              <w:gridCol w:w="3490"/>
            </w:tblGrid>
            <w:tr w14:paraId="73C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90" w:type="pct"/>
                  <w:vAlign w:val="center"/>
                </w:tcPr>
                <w:p w14:paraId="74F41928">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监测项目</w:t>
                  </w:r>
                </w:p>
              </w:tc>
              <w:tc>
                <w:tcPr>
                  <w:tcW w:w="603" w:type="pct"/>
                  <w:vAlign w:val="center"/>
                </w:tcPr>
                <w:p w14:paraId="53761395">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污染源</w:t>
                  </w:r>
                </w:p>
              </w:tc>
              <w:tc>
                <w:tcPr>
                  <w:tcW w:w="816" w:type="pct"/>
                  <w:vAlign w:val="center"/>
                </w:tcPr>
                <w:p w14:paraId="73DA254D">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监测因子</w:t>
                  </w:r>
                </w:p>
              </w:tc>
              <w:tc>
                <w:tcPr>
                  <w:tcW w:w="516" w:type="pct"/>
                  <w:vAlign w:val="center"/>
                </w:tcPr>
                <w:p w14:paraId="12D5E393">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监测频率</w:t>
                  </w:r>
                </w:p>
              </w:tc>
              <w:tc>
                <w:tcPr>
                  <w:tcW w:w="507" w:type="pct"/>
                  <w:vAlign w:val="center"/>
                </w:tcPr>
                <w:p w14:paraId="328847C2">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监测点位</w:t>
                  </w:r>
                </w:p>
              </w:tc>
              <w:tc>
                <w:tcPr>
                  <w:tcW w:w="2066" w:type="pct"/>
                  <w:vAlign w:val="center"/>
                </w:tcPr>
                <w:p w14:paraId="3135B0A6">
                  <w:pPr>
                    <w:pStyle w:val="40"/>
                    <w:spacing w:before="31"/>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执行标准</w:t>
                  </w:r>
                </w:p>
              </w:tc>
            </w:tr>
            <w:tr w14:paraId="03CD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90" w:type="pct"/>
                  <w:vAlign w:val="center"/>
                </w:tcPr>
                <w:p w14:paraId="254C7834">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噪声</w:t>
                  </w:r>
                </w:p>
              </w:tc>
              <w:tc>
                <w:tcPr>
                  <w:tcW w:w="603" w:type="pct"/>
                  <w:vAlign w:val="center"/>
                </w:tcPr>
                <w:p w14:paraId="01AC3624">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生产设备设施</w:t>
                  </w:r>
                </w:p>
              </w:tc>
              <w:tc>
                <w:tcPr>
                  <w:tcW w:w="816" w:type="pct"/>
                  <w:vAlign w:val="center"/>
                </w:tcPr>
                <w:p w14:paraId="46A5AEFC">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昼夜连续等效A声级</w:t>
                  </w:r>
                </w:p>
              </w:tc>
              <w:tc>
                <w:tcPr>
                  <w:tcW w:w="516" w:type="pct"/>
                  <w:vAlign w:val="center"/>
                </w:tcPr>
                <w:p w14:paraId="5D36E452">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每季一次</w:t>
                  </w:r>
                </w:p>
              </w:tc>
              <w:tc>
                <w:tcPr>
                  <w:tcW w:w="507" w:type="pct"/>
                  <w:vAlign w:val="center"/>
                </w:tcPr>
                <w:p w14:paraId="1DE2086A">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厂界外1m</w:t>
                  </w:r>
                </w:p>
              </w:tc>
              <w:tc>
                <w:tcPr>
                  <w:tcW w:w="2066" w:type="pct"/>
                  <w:vAlign w:val="center"/>
                </w:tcPr>
                <w:p w14:paraId="03699032">
                  <w:pPr>
                    <w:pStyle w:val="40"/>
                    <w:spacing w:before="31"/>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《工业企业厂界环境噪声排放标准》（GB12348-2008）3类标准</w:t>
                  </w:r>
                </w:p>
              </w:tc>
            </w:tr>
          </w:tbl>
          <w:p w14:paraId="7D860729">
            <w:pPr>
              <w:pStyle w:val="21"/>
              <w:widowControl w:val="0"/>
              <w:spacing w:before="31" w:beforeLines="10" w:beforeAutospacing="0" w:after="31" w:afterLines="10" w:afterAutospacing="0" w:line="360" w:lineRule="auto"/>
              <w:jc w:val="both"/>
              <w:rPr>
                <w:rFonts w:ascii="Times New Roman" w:hAnsi="Times New Roman" w:eastAsia="宋体" w:cs="宋体"/>
                <w:b/>
                <w:bCs/>
                <w:color w:val="000000" w:themeColor="text1"/>
                <w:szCs w:val="24"/>
                <w:highlight w:val="none"/>
                <w:lang w:bidi="ar"/>
                <w14:textFill>
                  <w14:solidFill>
                    <w14:schemeClr w14:val="tx1"/>
                  </w14:solidFill>
                </w14:textFill>
              </w:rPr>
            </w:pPr>
            <w:r>
              <w:rPr>
                <w:rFonts w:hint="eastAsia" w:ascii="Times New Roman" w:hAnsi="Times New Roman" w:eastAsia="宋体" w:cs="宋体"/>
                <w:b/>
                <w:bCs/>
                <w:color w:val="000000" w:themeColor="text1"/>
                <w:szCs w:val="24"/>
                <w:highlight w:val="none"/>
                <w:lang w:bidi="ar"/>
                <w14:textFill>
                  <w14:solidFill>
                    <w14:schemeClr w14:val="tx1"/>
                  </w14:solidFill>
                </w14:textFill>
              </w:rPr>
              <w:t>4、运营期固废环境影响及环保措施：</w:t>
            </w:r>
          </w:p>
          <w:p w14:paraId="19CDB2CC">
            <w:pPr>
              <w:spacing w:before="31" w:beforeLines="10" w:after="31" w:afterLines="10" w:line="360" w:lineRule="auto"/>
              <w:ind w:firstLine="482" w:firstLineChars="200"/>
              <w:rPr>
                <w:rFonts w:ascii="Times New Roman" w:hAnsi="Times New Roman" w:cs="宋体"/>
                <w:b/>
                <w:bCs/>
                <w:color w:val="000000" w:themeColor="text1"/>
                <w:sz w:val="24"/>
                <w:highlight w:val="none"/>
                <w14:textFill>
                  <w14:solidFill>
                    <w14:schemeClr w14:val="tx1"/>
                  </w14:solidFill>
                </w14:textFill>
              </w:rPr>
            </w:pPr>
            <w:r>
              <w:rPr>
                <w:rFonts w:hint="eastAsia" w:ascii="Times New Roman" w:hAnsi="Times New Roman" w:cs="宋体"/>
                <w:b/>
                <w:bCs/>
                <w:color w:val="000000" w:themeColor="text1"/>
                <w:sz w:val="24"/>
                <w:highlight w:val="none"/>
                <w14:textFill>
                  <w14:solidFill>
                    <w14:schemeClr w14:val="tx1"/>
                  </w14:solidFill>
                </w14:textFill>
              </w:rPr>
              <w:t>（1）固体废物产生环节、产生量及处置方式</w:t>
            </w:r>
          </w:p>
          <w:p w14:paraId="0350FC2D">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依据《国家危险废物名录（2025版）》和《固体废物鉴别标准通则》（GB 34330-2017）等相关文件进行判定，项目营运期产生的固体废物主要分为一般工业固废物、危险废物、生活垃圾三大类。</w:t>
            </w:r>
          </w:p>
          <w:p w14:paraId="54E70970">
            <w:pPr>
              <w:numPr>
                <w:ilvl w:val="0"/>
                <w:numId w:val="8"/>
              </w:numPr>
              <w:spacing w:before="31" w:beforeLines="10" w:after="31" w:afterLines="10" w:line="377" w:lineRule="auto"/>
              <w:ind w:left="0" w:firstLine="482"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u w:val="single"/>
                <w14:textFill>
                  <w14:solidFill>
                    <w14:schemeClr w14:val="tx1"/>
                  </w14:solidFill>
                </w14:textFill>
              </w:rPr>
              <w:t>一般固废</w:t>
            </w:r>
            <w:r>
              <w:rPr>
                <w:rFonts w:hint="eastAsia" w:ascii="Times New Roman" w:hAnsi="Times New Roman" w:eastAsia="宋体"/>
                <w:color w:val="000000" w:themeColor="text1"/>
                <w:sz w:val="24"/>
                <w:highlight w:val="none"/>
                <w14:textFill>
                  <w14:solidFill>
                    <w14:schemeClr w14:val="tx1"/>
                  </w14:solidFill>
                </w14:textFill>
              </w:rPr>
              <w:t>：主要为废边角料、不合格品、除尘灰等。</w:t>
            </w:r>
          </w:p>
          <w:p w14:paraId="3E61E548">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s="Arial"/>
                <w:color w:val="000000" w:themeColor="text1"/>
                <w:sz w:val="24"/>
                <w:highlight w:val="none"/>
                <w:shd w:val="clear" w:color="auto" w:fill="FFFFFF"/>
                <w14:textFill>
                  <w14:solidFill>
                    <w14:schemeClr w14:val="tx1"/>
                  </w14:solidFill>
                </w14:textFill>
              </w:rPr>
              <w:t>①</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 xml:space="preserve"> </w:t>
            </w:r>
            <w:r>
              <w:rPr>
                <w:rFonts w:hint="eastAsia" w:ascii="Times New Roman" w:hAnsi="Times New Roman" w:eastAsia="宋体"/>
                <w:color w:val="000000" w:themeColor="text1"/>
                <w:sz w:val="24"/>
                <w:highlight w:val="none"/>
                <w14:textFill>
                  <w14:solidFill>
                    <w14:schemeClr w14:val="tx1"/>
                  </w14:solidFill>
                </w14:textFill>
              </w:rPr>
              <w:t>废钢丸：抛丸工序</w:t>
            </w:r>
            <w:r>
              <w:rPr>
                <w:rFonts w:hint="eastAsia" w:ascii="Times New Roman" w:hAnsi="Times New Roman" w:eastAsia="宋体"/>
                <w:color w:val="000000" w:themeColor="text1"/>
                <w:sz w:val="24"/>
                <w:highlight w:val="none"/>
                <w:lang w:eastAsia="zh-CN"/>
                <w14:textFill>
                  <w14:solidFill>
                    <w14:schemeClr w14:val="tx1"/>
                  </w14:solidFill>
                </w14:textFill>
              </w:rPr>
              <w:t>破损更换的</w:t>
            </w:r>
            <w:r>
              <w:rPr>
                <w:rFonts w:hint="eastAsia" w:ascii="Times New Roman" w:hAnsi="Times New Roman" w:eastAsia="宋体"/>
                <w:color w:val="000000" w:themeColor="text1"/>
                <w:sz w:val="24"/>
                <w:highlight w:val="none"/>
                <w14:textFill>
                  <w14:solidFill>
                    <w14:schemeClr w14:val="tx1"/>
                  </w14:solidFill>
                </w14:textFill>
              </w:rPr>
              <w:t>钢丸产生量约0.2t/a；</w:t>
            </w:r>
          </w:p>
          <w:p w14:paraId="4CA5D299">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s="Arial"/>
                <w:color w:val="000000" w:themeColor="text1"/>
                <w:sz w:val="24"/>
                <w:highlight w:val="none"/>
                <w:shd w:val="clear" w:color="auto" w:fill="FFFFFF"/>
                <w14:textFill>
                  <w14:solidFill>
                    <w14:schemeClr w14:val="tx1"/>
                  </w14:solidFill>
                </w14:textFill>
              </w:rPr>
              <w:t>②</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 xml:space="preserve"> </w:t>
            </w:r>
            <w:r>
              <w:rPr>
                <w:rFonts w:hint="eastAsia" w:ascii="Times New Roman" w:hAnsi="Times New Roman" w:eastAsia="宋体"/>
                <w:color w:val="000000" w:themeColor="text1"/>
                <w:sz w:val="24"/>
                <w:highlight w:val="none"/>
                <w14:textFill>
                  <w14:solidFill>
                    <w14:schemeClr w14:val="tx1"/>
                  </w14:solidFill>
                </w14:textFill>
              </w:rPr>
              <w:t>次品：按原料用量5</w:t>
            </w:r>
            <w:r>
              <w:rPr>
                <w:rFonts w:ascii="Times New Roman" w:hAnsi="Times New Roman" w:eastAsia="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计，次品件产生量约</w:t>
            </w:r>
            <w:r>
              <w:rPr>
                <w:rFonts w:hint="eastAsia" w:ascii="Times New Roman" w:hAnsi="Times New Roman" w:eastAsia="宋体"/>
                <w:color w:val="000000" w:themeColor="text1"/>
                <w:sz w:val="24"/>
                <w:highlight w:val="none"/>
                <w:lang w:val="en-US" w:eastAsia="zh-CN"/>
                <w14:textFill>
                  <w14:solidFill>
                    <w14:schemeClr w14:val="tx1"/>
                  </w14:solidFill>
                </w14:textFill>
              </w:rPr>
              <w:t>3</w:t>
            </w:r>
            <w:r>
              <w:rPr>
                <w:rFonts w:hint="eastAsia" w:ascii="Times New Roman" w:hAnsi="Times New Roman" w:eastAsia="宋体"/>
                <w:color w:val="000000" w:themeColor="text1"/>
                <w:sz w:val="24"/>
                <w:highlight w:val="none"/>
                <w14:textFill>
                  <w14:solidFill>
                    <w14:schemeClr w14:val="tx1"/>
                  </w14:solidFill>
                </w14:textFill>
              </w:rPr>
              <w:t>0t/a；</w:t>
            </w:r>
          </w:p>
          <w:p w14:paraId="108D1073">
            <w:pPr>
              <w:spacing w:line="372" w:lineRule="auto"/>
              <w:ind w:firstLine="480" w:firstLineChars="200"/>
              <w:rPr>
                <w:rFonts w:ascii="Times New Roman" w:hAnsi="Times New Roman" w:eastAsia="宋体" w:cs="Arial"/>
                <w:color w:val="000000" w:themeColor="text1"/>
                <w:sz w:val="24"/>
                <w:highlight w:val="none"/>
                <w:shd w:val="clear" w:color="auto" w:fill="FFFFFF"/>
                <w14:textFill>
                  <w14:solidFill>
                    <w14:schemeClr w14:val="tx1"/>
                  </w14:solidFill>
                </w14:textFill>
              </w:rPr>
            </w:pPr>
            <w:r>
              <w:rPr>
                <w:rFonts w:ascii="Times New Roman" w:hAnsi="Times New Roman" w:eastAsia="宋体" w:cs="Arial"/>
                <w:color w:val="000000" w:themeColor="text1"/>
                <w:sz w:val="24"/>
                <w:highlight w:val="none"/>
                <w:shd w:val="clear" w:color="auto" w:fill="FFFFFF"/>
                <w14:textFill>
                  <w14:solidFill>
                    <w14:schemeClr w14:val="tx1"/>
                  </w14:solidFill>
                </w14:textFill>
              </w:rPr>
              <w:t>③</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 xml:space="preserve"> 除尘灰：抛丸工序废气处理设施会产生除尘灰，根据物料衡算，除尘灰产生量约</w:t>
            </w:r>
            <w:r>
              <w:rPr>
                <w:rFonts w:hint="eastAsia" w:ascii="Times New Roman" w:hAnsi="Times New Roman" w:eastAsia="宋体" w:cs="Arial"/>
                <w:color w:val="000000" w:themeColor="text1"/>
                <w:sz w:val="24"/>
                <w:highlight w:val="none"/>
                <w:shd w:val="clear" w:color="auto" w:fill="FFFFFF"/>
                <w:lang w:val="en-US" w:eastAsia="zh-CN"/>
                <w14:textFill>
                  <w14:solidFill>
                    <w14:schemeClr w14:val="tx1"/>
                  </w14:solidFill>
                </w14:textFill>
              </w:rPr>
              <w:t>1.248</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t/a</w:t>
            </w:r>
          </w:p>
          <w:p w14:paraId="0EBCCF97">
            <w:pPr>
              <w:spacing w:line="372" w:lineRule="auto"/>
              <w:ind w:firstLine="480" w:firstLineChars="200"/>
              <w:rPr>
                <w:rFonts w:ascii="Times New Roman" w:hAnsi="Times New Roman" w:eastAsia="宋体" w:cs="Arial"/>
                <w:color w:val="000000" w:themeColor="text1"/>
                <w:sz w:val="24"/>
                <w:highlight w:val="none"/>
                <w:shd w:val="clear" w:color="auto" w:fill="FFFFFF"/>
                <w14:textFill>
                  <w14:solidFill>
                    <w14:schemeClr w14:val="tx1"/>
                  </w14:solidFill>
                </w14:textFill>
              </w:rPr>
            </w:pPr>
            <w:r>
              <w:rPr>
                <w:rFonts w:ascii="Times New Roman" w:hAnsi="Times New Roman" w:eastAsia="宋体" w:cs="Arial"/>
                <w:color w:val="000000" w:themeColor="text1"/>
                <w:sz w:val="24"/>
                <w:highlight w:val="none"/>
                <w:shd w:val="clear" w:color="auto" w:fill="FFFFFF"/>
                <w14:textFill>
                  <w14:solidFill>
                    <w14:schemeClr w14:val="tx1"/>
                  </w14:solidFill>
                </w14:textFill>
              </w:rPr>
              <w:t>④</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 xml:space="preserve"> 废包装材料：主要为塑粉包装袋，产生量约0.1t/a。</w:t>
            </w:r>
          </w:p>
          <w:p w14:paraId="7C749617">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项目运营期一般固废经收集后分类</w:t>
            </w:r>
            <w:r>
              <w:rPr>
                <w:rFonts w:hint="eastAsia" w:ascii="Times New Roman" w:hAnsi="Times New Roman" w:eastAsia="宋体"/>
                <w:color w:val="000000" w:themeColor="text1"/>
                <w:sz w:val="24"/>
                <w:highlight w:val="none"/>
                <w:lang w:eastAsia="zh-CN"/>
                <w14:textFill>
                  <w14:solidFill>
                    <w14:schemeClr w14:val="tx1"/>
                  </w14:solidFill>
                </w14:textFill>
              </w:rPr>
              <w:t>暂存于厂区</w:t>
            </w:r>
            <w:r>
              <w:rPr>
                <w:rFonts w:hint="eastAsia" w:ascii="Times New Roman" w:hAnsi="Times New Roman" w:eastAsia="宋体"/>
                <w:color w:val="000000" w:themeColor="text1"/>
                <w:sz w:val="24"/>
                <w:highlight w:val="none"/>
                <w14:textFill>
                  <w14:solidFill>
                    <w14:schemeClr w14:val="tx1"/>
                  </w14:solidFill>
                </w14:textFill>
              </w:rPr>
              <w:t>设置的一般固废暂存区（面积约20m</w:t>
            </w:r>
            <w:r>
              <w:rPr>
                <w:rFonts w:hint="eastAsia" w:ascii="Times New Roman" w:hAnsi="Times New Roman" w:eastAsia="宋体"/>
                <w:color w:val="000000" w:themeColor="text1"/>
                <w:sz w:val="24"/>
                <w:highlight w:val="none"/>
                <w:vertAlign w:val="superscript"/>
                <w14:textFill>
                  <w14:solidFill>
                    <w14:schemeClr w14:val="tx1"/>
                  </w14:solidFill>
                </w14:textFill>
              </w:rPr>
              <w:t>2</w:t>
            </w:r>
            <w:r>
              <w:rPr>
                <w:rFonts w:hint="eastAsia" w:ascii="Times New Roman" w:hAnsi="Times New Roman" w:eastAsia="宋体"/>
                <w:color w:val="000000" w:themeColor="text1"/>
                <w:sz w:val="24"/>
                <w:highlight w:val="none"/>
                <w14:textFill>
                  <w14:solidFill>
                    <w14:schemeClr w14:val="tx1"/>
                  </w14:solidFill>
                </w14:textFill>
              </w:rPr>
              <w:t>），定期外售废旧资源回收单位回收综合利用。</w:t>
            </w:r>
          </w:p>
          <w:p w14:paraId="1FAEE013">
            <w:pPr>
              <w:numPr>
                <w:ilvl w:val="0"/>
                <w:numId w:val="8"/>
              </w:numPr>
              <w:spacing w:before="31" w:beforeLines="10" w:after="31" w:afterLines="10" w:line="377" w:lineRule="auto"/>
              <w:ind w:left="0" w:firstLine="482"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u w:val="single"/>
                <w14:textFill>
                  <w14:solidFill>
                    <w14:schemeClr w14:val="tx1"/>
                  </w14:solidFill>
                </w14:textFill>
              </w:rPr>
              <w:t>危险废物</w:t>
            </w:r>
            <w:r>
              <w:rPr>
                <w:rFonts w:hint="eastAsia" w:ascii="Times New Roman" w:hAnsi="Times New Roman" w:eastAsia="宋体"/>
                <w:color w:val="000000" w:themeColor="text1"/>
                <w:sz w:val="24"/>
                <w:highlight w:val="none"/>
                <w14:textFill>
                  <w14:solidFill>
                    <w14:schemeClr w14:val="tx1"/>
                  </w14:solidFill>
                </w14:textFill>
              </w:rPr>
              <w:t>：项目危险废物主要为废机油、废油桶、含油废棉纱手套、废活性炭、空压机废油液等。</w:t>
            </w:r>
          </w:p>
          <w:p w14:paraId="12D70C27">
            <w:pPr>
              <w:spacing w:line="372"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s="Arial"/>
                <w:b/>
                <w:bCs/>
                <w:color w:val="000000" w:themeColor="text1"/>
                <w:sz w:val="24"/>
                <w:highlight w:val="none"/>
                <w:shd w:val="clear" w:color="auto" w:fill="FFFFFF"/>
                <w14:textFill>
                  <w14:solidFill>
                    <w14:schemeClr w14:val="tx1"/>
                  </w14:solidFill>
                </w14:textFill>
              </w:rPr>
              <w:t>①</w:t>
            </w:r>
            <w:r>
              <w:rPr>
                <w:rFonts w:hint="eastAsia" w:ascii="Times New Roman" w:hAnsi="Times New Roman" w:eastAsia="宋体" w:cs="Arial"/>
                <w:b/>
                <w:bCs/>
                <w:color w:val="000000" w:themeColor="text1"/>
                <w:sz w:val="24"/>
                <w:highlight w:val="none"/>
                <w:shd w:val="clear" w:color="auto" w:fill="FFFFFF"/>
                <w14:textFill>
                  <w14:solidFill>
                    <w14:schemeClr w14:val="tx1"/>
                  </w14:solidFill>
                </w14:textFill>
              </w:rPr>
              <w:t xml:space="preserve"> </w:t>
            </w:r>
            <w:r>
              <w:rPr>
                <w:rFonts w:hint="eastAsia" w:ascii="Times New Roman" w:hAnsi="Times New Roman" w:eastAsia="宋体"/>
                <w:color w:val="000000" w:themeColor="text1"/>
                <w:sz w:val="24"/>
                <w:highlight w:val="none"/>
                <w14:textFill>
                  <w14:solidFill>
                    <w14:schemeClr w14:val="tx1"/>
                  </w14:solidFill>
                </w14:textFill>
              </w:rPr>
              <w:t>废机油：设备维修维护过程将产生废机油，产生量约0.1</w:t>
            </w:r>
            <w:r>
              <w:rPr>
                <w:rFonts w:ascii="Times New Roman" w:hAnsi="Times New Roman" w:eastAsia="宋体"/>
                <w:color w:val="000000" w:themeColor="text1"/>
                <w:sz w:val="24"/>
                <w:highlight w:val="none"/>
                <w14:textFill>
                  <w14:solidFill>
                    <w14:schemeClr w14:val="tx1"/>
                  </w14:solidFill>
                </w14:textFill>
              </w:rPr>
              <w:t>t/a</w:t>
            </w:r>
            <w:r>
              <w:rPr>
                <w:rFonts w:hint="eastAsia" w:ascii="Times New Roman" w:hAnsi="Times New Roman" w:eastAsia="宋体"/>
                <w:color w:val="000000" w:themeColor="text1"/>
                <w:sz w:val="24"/>
                <w:highlight w:val="none"/>
                <w14:textFill>
                  <w14:solidFill>
                    <w14:schemeClr w14:val="tx1"/>
                  </w14:solidFill>
                </w14:textFill>
              </w:rPr>
              <w:t>，根据《国家危险废物名录》（2025年），废机油属于“HW08 900-214-08车辆、轮船及其它机械维修过程中产生的废发动机油、制动器油、自动变速器油、齿轮油等废机油”，在危废贮存点暂存，定期由资质单位收运处置。</w:t>
            </w:r>
          </w:p>
          <w:p w14:paraId="5EF9E013">
            <w:pPr>
              <w:spacing w:line="368"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s="Arial"/>
                <w:b/>
                <w:bCs/>
                <w:color w:val="000000" w:themeColor="text1"/>
                <w:sz w:val="24"/>
                <w:highlight w:val="none"/>
                <w:shd w:val="clear" w:color="auto" w:fill="FFFFFF"/>
                <w14:textFill>
                  <w14:solidFill>
                    <w14:schemeClr w14:val="tx1"/>
                  </w14:solidFill>
                </w14:textFill>
              </w:rPr>
              <w:t>②</w:t>
            </w:r>
            <w:r>
              <w:rPr>
                <w:rFonts w:hint="eastAsia" w:ascii="Times New Roman" w:hAnsi="Times New Roman" w:eastAsia="宋体" w:cs="Arial"/>
                <w:b/>
                <w:bCs/>
                <w:color w:val="000000" w:themeColor="text1"/>
                <w:sz w:val="24"/>
                <w:highlight w:val="none"/>
                <w:shd w:val="clear" w:color="auto" w:fill="FFFFFF"/>
                <w14:textFill>
                  <w14:solidFill>
                    <w14:schemeClr w14:val="tx1"/>
                  </w14:solidFill>
                </w14:textFill>
              </w:rPr>
              <w:t xml:space="preserve"> </w:t>
            </w:r>
            <w:r>
              <w:rPr>
                <w:rFonts w:hint="eastAsia" w:ascii="Times New Roman" w:hAnsi="Times New Roman" w:eastAsia="宋体"/>
                <w:color w:val="000000" w:themeColor="text1"/>
                <w:sz w:val="24"/>
                <w:highlight w:val="none"/>
                <w14:textFill>
                  <w14:solidFill>
                    <w14:schemeClr w14:val="tx1"/>
                  </w14:solidFill>
                </w14:textFill>
              </w:rPr>
              <w:t>废油桶：项目机油等总用量0.2 t/a，废油桶产生量约0.02t/a，根据《国家危险废物名录》（2025年），废油桶属于“HW08 900-249-08 含有或沾染毒性、感染性危险废物的废弃包装物、容器、过滤吸附介质”在危废贮存点暂存，定期由资质单位收运处置。</w:t>
            </w:r>
          </w:p>
          <w:p w14:paraId="331623AD">
            <w:pPr>
              <w:spacing w:line="368" w:lineRule="auto"/>
              <w:ind w:firstLine="482" w:firstLineChars="200"/>
              <w:rPr>
                <w:rFonts w:ascii="Times New Roman" w:hAnsi="Times New Roman" w:eastAsia="宋体"/>
                <w:b/>
                <w:bCs/>
                <w:color w:val="000000" w:themeColor="text1"/>
                <w:sz w:val="24"/>
                <w:highlight w:val="none"/>
                <w14:textFill>
                  <w14:solidFill>
                    <w14:schemeClr w14:val="tx1"/>
                  </w14:solidFill>
                </w14:textFill>
              </w:rPr>
            </w:pPr>
            <w:r>
              <w:rPr>
                <w:rFonts w:ascii="Times New Roman" w:hAnsi="Times New Roman" w:eastAsia="宋体" w:cs="Arial"/>
                <w:b/>
                <w:bCs/>
                <w:color w:val="000000" w:themeColor="text1"/>
                <w:sz w:val="24"/>
                <w:highlight w:val="none"/>
                <w:shd w:val="clear" w:color="auto" w:fill="FFFFFF"/>
                <w14:textFill>
                  <w14:solidFill>
                    <w14:schemeClr w14:val="tx1"/>
                  </w14:solidFill>
                </w14:textFill>
              </w:rPr>
              <w:t>③</w:t>
            </w:r>
            <w:r>
              <w:rPr>
                <w:rFonts w:hint="eastAsia" w:ascii="Times New Roman" w:hAnsi="Times New Roman" w:eastAsia="宋体" w:cs="Arial"/>
                <w:b/>
                <w:bCs/>
                <w:color w:val="000000" w:themeColor="text1"/>
                <w:sz w:val="24"/>
                <w:highlight w:val="none"/>
                <w:shd w:val="clear" w:color="auto" w:fill="FFFFFF"/>
                <w14:textFill>
                  <w14:solidFill>
                    <w14:schemeClr w14:val="tx1"/>
                  </w14:solidFill>
                </w14:textFill>
              </w:rPr>
              <w:t xml:space="preserve"> </w:t>
            </w:r>
            <w:r>
              <w:rPr>
                <w:rFonts w:hint="eastAsia" w:ascii="Times New Roman" w:hAnsi="Times New Roman" w:eastAsia="宋体"/>
                <w:color w:val="000000" w:themeColor="text1"/>
                <w:sz w:val="24"/>
                <w:highlight w:val="none"/>
                <w14:textFill>
                  <w14:solidFill>
                    <w14:schemeClr w14:val="tx1"/>
                  </w14:solidFill>
                </w14:textFill>
              </w:rPr>
              <w:t>含油废棉纱手套：项目含油废棉纱手套产生量为0.05t/a，根据《国家危险废物名录》（2025版），废棉纱手套属于“HW49 900-041-49含有或沾染毒性、感染性危险废物的废弃包装物、容器、过滤吸附介质”，收集后暂存于危废贮存点，定期交有相应危险废物处理资质的单位进行收运处置。</w:t>
            </w:r>
          </w:p>
          <w:p w14:paraId="5411C1F1">
            <w:pPr>
              <w:spacing w:line="368"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s="Arial"/>
                <w:b/>
                <w:bCs/>
                <w:color w:val="000000" w:themeColor="text1"/>
                <w:sz w:val="24"/>
                <w:highlight w:val="none"/>
                <w:shd w:val="clear" w:color="auto" w:fill="FFFFFF"/>
                <w14:textFill>
                  <w14:solidFill>
                    <w14:schemeClr w14:val="tx1"/>
                  </w14:solidFill>
                </w14:textFill>
              </w:rPr>
              <w:t>④</w:t>
            </w:r>
            <w:r>
              <w:rPr>
                <w:rFonts w:hint="eastAsia" w:ascii="Times New Roman" w:hAnsi="Times New Roman" w:eastAsia="宋体" w:cs="Arial"/>
                <w:b/>
                <w:bCs/>
                <w:color w:val="000000" w:themeColor="text1"/>
                <w:sz w:val="24"/>
                <w:highlight w:val="none"/>
                <w:shd w:val="clear" w:color="auto" w:fill="FFFFFF"/>
                <w14:textFill>
                  <w14:solidFill>
                    <w14:schemeClr w14:val="tx1"/>
                  </w14:solidFill>
                </w14:textFill>
              </w:rPr>
              <w:t xml:space="preserve"> </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废活性炭、废过滤棉：项目固化废气采取“干式过滤+活性炭”工艺处置，定期产生废活性炭、废过滤棉。</w:t>
            </w:r>
            <w:r>
              <w:rPr>
                <w:rFonts w:hint="eastAsia" w:ascii="Times New Roman" w:hAnsi="Times New Roman" w:eastAsia="宋体"/>
                <w:color w:val="000000" w:themeColor="text1"/>
                <w:sz w:val="24"/>
                <w:highlight w:val="none"/>
                <w14:textFill>
                  <w14:solidFill>
                    <w14:schemeClr w14:val="tx1"/>
                  </w14:solidFill>
                </w14:textFill>
              </w:rPr>
              <w:t>根据《国家危险废物名录》（2025年），废气处理设</w:t>
            </w:r>
            <w:r>
              <w:rPr>
                <w:rFonts w:hint="eastAsia" w:ascii="Times New Roman" w:hAnsi="Times New Roman" w:eastAsia="宋体"/>
                <w:color w:val="000000" w:themeColor="text1"/>
                <w:sz w:val="24"/>
                <w:highlight w:val="none"/>
                <w14:textFill>
                  <w14:solidFill>
                    <w14:schemeClr w14:val="tx1"/>
                  </w14:solidFill>
                </w14:textFill>
              </w:rPr>
              <w:t>施产生的废活性炭、废过滤棉</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危废类别为“HW49其他废物”，代码900-039-49。项目喷粉固化活性炭吸附装置年吸附有机废气为</w:t>
            </w:r>
            <w:r>
              <w:rPr>
                <w:rFonts w:hint="eastAsia" w:ascii="Times New Roman" w:hAnsi="Times New Roman" w:eastAsia="宋体" w:cs="Arial"/>
                <w:color w:val="000000" w:themeColor="text1"/>
                <w:sz w:val="24"/>
                <w:highlight w:val="none"/>
                <w:shd w:val="clear" w:color="auto" w:fill="FFFFFF"/>
                <w:lang w:val="en-US" w:eastAsia="zh-CN"/>
                <w14:textFill>
                  <w14:solidFill>
                    <w14:schemeClr w14:val="tx1"/>
                  </w14:solidFill>
                </w14:textFill>
              </w:rPr>
              <w:t>0.006</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t/a</w:t>
            </w:r>
            <w:r>
              <w:rPr>
                <w:rFonts w:hint="eastAsia" w:ascii="Times New Roman" w:hAnsi="Times New Roman" w:eastAsia="宋体" w:cs="Arial"/>
                <w:color w:val="000000" w:themeColor="text1"/>
                <w:sz w:val="24"/>
                <w:highlight w:val="none"/>
                <w:shd w:val="clear" w:color="auto" w:fill="FFFFFF"/>
                <w:lang w:eastAsia="zh-CN"/>
                <w14:textFill>
                  <w14:solidFill>
                    <w14:schemeClr w14:val="tx1"/>
                  </w14:solidFill>
                </w14:textFill>
              </w:rPr>
              <w:t>。</w:t>
            </w:r>
            <w:r>
              <w:rPr>
                <w:rFonts w:hint="default" w:ascii="Times New Roman" w:hAnsi="Times New Roman" w:cs="Times New Roman"/>
                <w:bCs/>
                <w:color w:val="000000" w:themeColor="text1"/>
                <w:sz w:val="24"/>
                <w:highlight w:val="none"/>
                <w:lang w:eastAsia="zh-CN"/>
                <w14:textFill>
                  <w14:solidFill>
                    <w14:schemeClr w14:val="tx1"/>
                  </w14:solidFill>
                </w14:textFill>
              </w:rPr>
              <w:t>根据</w:t>
            </w:r>
            <w:r>
              <w:rPr>
                <w:rFonts w:hint="default" w:ascii="Times New Roman" w:hAnsi="Times New Roman" w:cs="Times New Roman"/>
                <w:bCs/>
                <w:color w:val="000000" w:themeColor="text1"/>
                <w:sz w:val="24"/>
                <w:highlight w:val="none"/>
                <w14:textFill>
                  <w14:solidFill>
                    <w14:schemeClr w14:val="tx1"/>
                  </w14:solidFill>
                </w14:textFill>
              </w:rPr>
              <w:t>《吸附法工业有机废气治理工程技术规范》（HJ2026-2013）</w:t>
            </w:r>
            <w:r>
              <w:rPr>
                <w:rFonts w:hint="eastAsia"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采用蜂窝活性炭时，气体流速宜低于1.20m/s的要求。活性炭的更换频率不多于3个月一次或不应超过累计运行500小时。</w:t>
            </w:r>
            <w:r>
              <w:rPr>
                <w:rFonts w:hint="default" w:ascii="Times New Roman" w:hAnsi="Times New Roman" w:cs="Times New Roman"/>
                <w:bCs/>
                <w:color w:val="000000" w:themeColor="text1"/>
                <w:sz w:val="24"/>
                <w:highlight w:val="none"/>
                <w:lang w:eastAsia="zh-CN"/>
                <w14:textFill>
                  <w14:solidFill>
                    <w14:schemeClr w14:val="tx1"/>
                  </w14:solidFill>
                </w14:textFill>
              </w:rPr>
              <w:t>项目废气收集风量为</w:t>
            </w:r>
            <w:r>
              <w:rPr>
                <w:rFonts w:hint="eastAsia" w:ascii="Times New Roman" w:hAnsi="Times New Roman" w:cs="Times New Roman"/>
                <w:bCs/>
                <w:color w:val="000000" w:themeColor="text1"/>
                <w:sz w:val="24"/>
                <w:highlight w:val="none"/>
                <w:lang w:val="en-US" w:eastAsia="zh-CN"/>
                <w14:textFill>
                  <w14:solidFill>
                    <w14:schemeClr w14:val="tx1"/>
                  </w14:solidFill>
                </w14:textFill>
              </w:rPr>
              <w:t>5000</w:t>
            </w:r>
            <w:r>
              <w:rPr>
                <w:rFonts w:hint="default" w:ascii="Times New Roman" w:hAnsi="Times New Roman" w:cs="Times New Roman"/>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lang w:val="en-US" w:eastAsia="zh-CN"/>
                <w14:textFill>
                  <w14:solidFill>
                    <w14:schemeClr w14:val="tx1"/>
                  </w14:solidFill>
                </w14:textFill>
              </w:rPr>
              <w:t>/h，</w:t>
            </w:r>
            <w:r>
              <w:rPr>
                <w:rFonts w:hint="default" w:ascii="Times New Roman" w:hAnsi="Times New Roman" w:cs="Times New Roman"/>
                <w:bCs/>
                <w:color w:val="000000" w:themeColor="text1"/>
                <w:sz w:val="24"/>
                <w:highlight w:val="none"/>
                <w14:textFill>
                  <w14:solidFill>
                    <w14:schemeClr w14:val="tx1"/>
                  </w14:solidFill>
                </w14:textFill>
              </w:rPr>
              <w:t>气体流速</w:t>
            </w:r>
            <w:r>
              <w:rPr>
                <w:rFonts w:hint="default" w:ascii="Times New Roman" w:hAnsi="Times New Roman" w:cs="Times New Roman"/>
                <w:bCs/>
                <w:color w:val="000000" w:themeColor="text1"/>
                <w:sz w:val="24"/>
                <w:highlight w:val="none"/>
                <w:lang w:eastAsia="zh-CN"/>
                <w14:textFill>
                  <w14:solidFill>
                    <w14:schemeClr w14:val="tx1"/>
                  </w14:solidFill>
                </w14:textFill>
              </w:rPr>
              <w:t>取</w:t>
            </w:r>
            <w:r>
              <w:rPr>
                <w:rFonts w:hint="default" w:ascii="Times New Roman" w:hAnsi="Times New Roman" w:cs="Times New Roman"/>
                <w:bCs/>
                <w:color w:val="000000" w:themeColor="text1"/>
                <w:sz w:val="24"/>
                <w:highlight w:val="none"/>
                <w14:textFill>
                  <w14:solidFill>
                    <w14:schemeClr w14:val="tx1"/>
                  </w14:solidFill>
                </w14:textFill>
              </w:rPr>
              <w:t>1.20m/s</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活性炭厚度约0.6m，则本项目活性炭装填量不应小于</w:t>
            </w:r>
            <w:r>
              <w:rPr>
                <w:rFonts w:hint="eastAsia" w:ascii="Times New Roman" w:hAnsi="Times New Roman" w:cs="Times New Roman"/>
                <w:bCs/>
                <w:color w:val="000000" w:themeColor="text1"/>
                <w:sz w:val="24"/>
                <w:highlight w:val="none"/>
                <w:lang w:val="en-US" w:eastAsia="zh-CN"/>
                <w14:textFill>
                  <w14:solidFill>
                    <w14:schemeClr w14:val="tx1"/>
                  </w14:solidFill>
                </w14:textFill>
              </w:rPr>
              <w:t>0.69</w:t>
            </w:r>
            <w:r>
              <w:rPr>
                <w:rFonts w:hint="default" w:ascii="Times New Roman" w:hAnsi="Times New Roman" w:cs="Times New Roman"/>
                <w:bCs/>
                <w:color w:val="000000" w:themeColor="text1"/>
                <w:sz w:val="24"/>
                <w:highlight w:val="none"/>
                <w:lang w:val="en-US" w:eastAsia="zh-CN"/>
                <w14:textFill>
                  <w14:solidFill>
                    <w14:schemeClr w14:val="tx1"/>
                  </w14:solidFill>
                </w14:textFill>
              </w:rPr>
              <w:t>m</w:t>
            </w:r>
            <w:r>
              <w:rPr>
                <w:rFonts w:hint="default" w:ascii="Times New Roman" w:hAnsi="Times New Roman" w:cs="Times New Roman"/>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lang w:val="en-US" w:eastAsia="zh-CN"/>
                <w14:textFill>
                  <w14:solidFill>
                    <w14:schemeClr w14:val="tx1"/>
                  </w14:solidFill>
                </w14:textFill>
              </w:rPr>
              <w:t>，约</w:t>
            </w:r>
            <w:r>
              <w:rPr>
                <w:rFonts w:hint="eastAsia" w:ascii="Times New Roman" w:hAnsi="Times New Roman" w:cs="Times New Roman"/>
                <w:bCs/>
                <w:color w:val="000000" w:themeColor="text1"/>
                <w:sz w:val="24"/>
                <w:highlight w:val="none"/>
                <w:lang w:val="en-US" w:eastAsia="zh-CN"/>
                <w14:textFill>
                  <w14:solidFill>
                    <w14:schemeClr w14:val="tx1"/>
                  </w14:solidFill>
                </w14:textFill>
              </w:rPr>
              <w:t>0.24</w:t>
            </w:r>
            <w:r>
              <w:rPr>
                <w:rFonts w:hint="default" w:ascii="Times New Roman" w:hAnsi="Times New Roman" w:cs="Times New Roman"/>
                <w:bCs/>
                <w:color w:val="000000" w:themeColor="text1"/>
                <w:sz w:val="24"/>
                <w:highlight w:val="none"/>
                <w:lang w:val="en-US" w:eastAsia="zh-CN"/>
                <w14:textFill>
                  <w14:solidFill>
                    <w14:schemeClr w14:val="tx1"/>
                  </w14:solidFill>
                </w14:textFill>
              </w:rPr>
              <w:t>t</w:t>
            </w:r>
            <w:r>
              <w:rPr>
                <w:rFonts w:hint="eastAsia" w:ascii="Times New Roman" w:hAnsi="Times New Roman" w:cs="Times New Roman"/>
                <w:bCs/>
                <w:color w:val="000000" w:themeColor="text1"/>
                <w:sz w:val="24"/>
                <w:highlight w:val="none"/>
                <w:lang w:val="en-US" w:eastAsia="zh-CN"/>
                <w14:textFill>
                  <w14:solidFill>
                    <w14:schemeClr w14:val="tx1"/>
                  </w14:solidFill>
                </w14:textFill>
              </w:rPr>
              <w:t>，按每3个月换1次，</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则废活性炭产生量约</w:t>
            </w:r>
            <w:r>
              <w:rPr>
                <w:rFonts w:hint="eastAsia" w:ascii="Times New Roman" w:hAnsi="Times New Roman" w:eastAsia="宋体" w:cs="Arial"/>
                <w:color w:val="000000" w:themeColor="text1"/>
                <w:sz w:val="24"/>
                <w:highlight w:val="none"/>
                <w:shd w:val="clear" w:color="auto" w:fill="FFFFFF"/>
                <w:lang w:val="en-US" w:eastAsia="zh-CN"/>
                <w14:textFill>
                  <w14:solidFill>
                    <w14:schemeClr w14:val="tx1"/>
                  </w14:solidFill>
                </w14:textFill>
              </w:rPr>
              <w:t>0.966</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t/a。过滤棉的产生量约为0.05t/a。产生的危废</w:t>
            </w:r>
            <w:r>
              <w:rPr>
                <w:rFonts w:hint="eastAsia" w:ascii="Times New Roman" w:hAnsi="Times New Roman" w:eastAsia="宋体"/>
                <w:color w:val="000000" w:themeColor="text1"/>
                <w:sz w:val="24"/>
                <w:highlight w:val="none"/>
                <w14:textFill>
                  <w14:solidFill>
                    <w14:schemeClr w14:val="tx1"/>
                  </w14:solidFill>
                </w14:textFill>
              </w:rPr>
              <w:t>定期由资质单位收运处置。</w:t>
            </w:r>
          </w:p>
          <w:p w14:paraId="49EB0558">
            <w:pPr>
              <w:spacing w:line="368" w:lineRule="auto"/>
              <w:ind w:firstLine="482" w:firstLineChars="200"/>
              <w:rPr>
                <w:rFonts w:ascii="Times New Roman" w:hAnsi="Times New Roman" w:eastAsia="宋体" w:cs="Arial"/>
                <w:color w:val="000000" w:themeColor="text1"/>
                <w:sz w:val="24"/>
                <w:highlight w:val="none"/>
                <w:shd w:val="clear" w:color="auto" w:fill="FFFFFF"/>
                <w14:textFill>
                  <w14:solidFill>
                    <w14:schemeClr w14:val="tx1"/>
                  </w14:solidFill>
                </w14:textFill>
              </w:rPr>
            </w:pPr>
            <w:r>
              <w:rPr>
                <w:rFonts w:hint="eastAsia" w:ascii="Times New Roman" w:hAnsi="Times New Roman" w:eastAsia="宋体" w:cs="Arial"/>
                <w:b/>
                <w:bCs/>
                <w:color w:val="000000" w:themeColor="text1"/>
                <w:sz w:val="24"/>
                <w:highlight w:val="none"/>
                <w:shd w:val="clear" w:color="auto" w:fill="FFFFFF"/>
                <w14:textFill>
                  <w14:solidFill>
                    <w14:schemeClr w14:val="tx1"/>
                  </w14:solidFill>
                </w14:textFill>
              </w:rPr>
              <w:fldChar w:fldCharType="begin"/>
            </w:r>
            <w:r>
              <w:rPr>
                <w:rFonts w:hint="eastAsia" w:ascii="Times New Roman" w:hAnsi="Times New Roman" w:eastAsia="宋体" w:cs="Arial"/>
                <w:b/>
                <w:bCs/>
                <w:color w:val="000000" w:themeColor="text1"/>
                <w:sz w:val="24"/>
                <w:highlight w:val="none"/>
                <w:shd w:val="clear" w:color="auto" w:fill="FFFFFF"/>
                <w14:textFill>
                  <w14:solidFill>
                    <w14:schemeClr w14:val="tx1"/>
                  </w14:solidFill>
                </w14:textFill>
              </w:rPr>
              <w:instrText xml:space="preserve"> = 5 \* GB3 \* MERGEFORMAT </w:instrText>
            </w:r>
            <w:r>
              <w:rPr>
                <w:rFonts w:hint="eastAsia" w:ascii="Times New Roman" w:hAnsi="Times New Roman" w:eastAsia="宋体" w:cs="Arial"/>
                <w:b/>
                <w:bCs/>
                <w:color w:val="000000" w:themeColor="text1"/>
                <w:sz w:val="24"/>
                <w:highlight w:val="none"/>
                <w:shd w:val="clear" w:color="auto" w:fill="FFFFFF"/>
                <w14:textFill>
                  <w14:solidFill>
                    <w14:schemeClr w14:val="tx1"/>
                  </w14:solidFill>
                </w14:textFill>
              </w:rPr>
              <w:fldChar w:fldCharType="separate"/>
            </w:r>
            <w:r>
              <w:rPr>
                <w:rFonts w:ascii="Times New Roman" w:hAnsi="Times New Roman" w:eastAsia="宋体" w:cs="Arial"/>
                <w:b/>
                <w:bCs/>
                <w:color w:val="000000" w:themeColor="text1"/>
                <w:sz w:val="24"/>
                <w:highlight w:val="none"/>
                <w:shd w:val="clear" w:color="auto" w:fill="FFFFFF"/>
                <w14:textFill>
                  <w14:solidFill>
                    <w14:schemeClr w14:val="tx1"/>
                  </w14:solidFill>
                </w14:textFill>
              </w:rPr>
              <w:t>⑤</w:t>
            </w:r>
            <w:r>
              <w:rPr>
                <w:rFonts w:hint="eastAsia" w:ascii="Times New Roman" w:hAnsi="Times New Roman" w:eastAsia="宋体" w:cs="Arial"/>
                <w:b/>
                <w:bCs/>
                <w:color w:val="000000" w:themeColor="text1"/>
                <w:sz w:val="24"/>
                <w:highlight w:val="none"/>
                <w:shd w:val="clear" w:color="auto" w:fill="FFFFFF"/>
                <w14:textFill>
                  <w14:solidFill>
                    <w14:schemeClr w14:val="tx1"/>
                  </w14:solidFill>
                </w14:textFill>
              </w:rPr>
              <w:fldChar w:fldCharType="end"/>
            </w:r>
            <w:r>
              <w:rPr>
                <w:rFonts w:hint="eastAsia" w:ascii="Times New Roman" w:hAnsi="Times New Roman" w:eastAsia="宋体" w:cs="Arial"/>
                <w:b/>
                <w:bCs/>
                <w:color w:val="000000" w:themeColor="text1"/>
                <w:sz w:val="24"/>
                <w:highlight w:val="none"/>
                <w:shd w:val="clear" w:color="auto" w:fill="FFFFFF"/>
                <w14:textFill>
                  <w14:solidFill>
                    <w14:schemeClr w14:val="tx1"/>
                  </w14:solidFill>
                </w14:textFill>
              </w:rPr>
              <w:t xml:space="preserve"> </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空压机含油废水：空压机运行过程中会产生含油废水，项目空压机产生量约0.02 t/a。根据《国家危险废物名录》（202</w:t>
            </w:r>
            <w:r>
              <w:rPr>
                <w:rFonts w:hint="eastAsia" w:ascii="Times New Roman" w:hAnsi="Times New Roman" w:eastAsia="宋体" w:cs="Arial"/>
                <w:color w:val="000000" w:themeColor="text1"/>
                <w:sz w:val="24"/>
                <w:highlight w:val="none"/>
                <w:shd w:val="clear" w:color="auto" w:fill="FFFFFF"/>
                <w:lang w:val="en-US" w:eastAsia="zh-CN"/>
                <w14:textFill>
                  <w14:solidFill>
                    <w14:schemeClr w14:val="tx1"/>
                  </w14:solidFill>
                </w14:textFill>
              </w:rPr>
              <w:t>5</w:t>
            </w:r>
            <w:r>
              <w:rPr>
                <w:rFonts w:hint="eastAsia" w:ascii="Times New Roman" w:hAnsi="Times New Roman" w:eastAsia="宋体" w:cs="Arial"/>
                <w:color w:val="000000" w:themeColor="text1"/>
                <w:sz w:val="24"/>
                <w:highlight w:val="none"/>
                <w:shd w:val="clear" w:color="auto" w:fill="FFFFFF"/>
                <w14:textFill>
                  <w14:solidFill>
                    <w14:schemeClr w14:val="tx1"/>
                  </w14:solidFill>
                </w14:textFill>
              </w:rPr>
              <w:t>版），空压机含油废水属“HW09 900-007-09油/水、烃/水混合物或乳化液”，收集后暂存于危废贮存点，定期交有相应危险废物处理资质的单位进行收运处置。</w:t>
            </w:r>
          </w:p>
          <w:p w14:paraId="5838D736">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项目厂区1F建设的1个危废贮存点（面积约5m</w:t>
            </w:r>
            <w:r>
              <w:rPr>
                <w:rFonts w:hint="eastAsia" w:ascii="Times New Roman" w:hAnsi="Times New Roman" w:eastAsia="宋体"/>
                <w:color w:val="000000" w:themeColor="text1"/>
                <w:sz w:val="24"/>
                <w:highlight w:val="none"/>
                <w:vertAlign w:val="superscript"/>
                <w14:textFill>
                  <w14:solidFill>
                    <w14:schemeClr w14:val="tx1"/>
                  </w14:solidFill>
                </w14:textFill>
              </w:rPr>
              <w:t>2</w:t>
            </w:r>
            <w:r>
              <w:rPr>
                <w:rFonts w:hint="eastAsia" w:ascii="Times New Roman" w:hAnsi="Times New Roman" w:eastAsia="宋体"/>
                <w:color w:val="000000" w:themeColor="text1"/>
                <w:sz w:val="24"/>
                <w:highlight w:val="none"/>
                <w14:textFill>
                  <w14:solidFill>
                    <w14:schemeClr w14:val="tx1"/>
                  </w14:solidFill>
                </w14:textFill>
              </w:rPr>
              <w:t>）分类暂存运营期项目产生危险废物，定期交由有相应危险废物处理资质的单位转运处置。</w:t>
            </w:r>
          </w:p>
          <w:p w14:paraId="17A50F15">
            <w:pPr>
              <w:numPr>
                <w:ilvl w:val="0"/>
                <w:numId w:val="8"/>
              </w:numPr>
              <w:spacing w:before="31" w:beforeLines="10" w:after="31" w:afterLines="10" w:line="377" w:lineRule="auto"/>
              <w:ind w:left="0" w:firstLine="482"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u w:val="single"/>
                <w14:textFill>
                  <w14:solidFill>
                    <w14:schemeClr w14:val="tx1"/>
                  </w14:solidFill>
                </w14:textFill>
              </w:rPr>
              <w:t>生活垃圾</w:t>
            </w:r>
            <w:r>
              <w:rPr>
                <w:rFonts w:hint="eastAsia" w:ascii="Times New Roman" w:hAnsi="Times New Roman" w:eastAsia="宋体"/>
                <w:color w:val="000000" w:themeColor="text1"/>
                <w:sz w:val="24"/>
                <w:highlight w:val="none"/>
                <w14:textFill>
                  <w14:solidFill>
                    <w14:schemeClr w14:val="tx1"/>
                  </w14:solidFill>
                </w14:textFill>
              </w:rPr>
              <w:t>：按人均产生量0.5kg/d计，本项目劳动定员10人，预计生活垃圾年产生量1.25 t/a，收集后统一交环卫部门清运。</w:t>
            </w:r>
          </w:p>
          <w:p w14:paraId="324051A7">
            <w:pPr>
              <w:spacing w:before="31" w:beforeLines="10" w:after="31" w:afterLines="10" w:line="360" w:lineRule="auto"/>
              <w:ind w:firstLine="482" w:firstLineChars="200"/>
              <w:rPr>
                <w:rFonts w:ascii="Times New Roman" w:hAnsi="Times New Roman" w:cs="宋体"/>
                <w:b/>
                <w:bCs/>
                <w:color w:val="000000" w:themeColor="text1"/>
                <w:sz w:val="24"/>
                <w:highlight w:val="none"/>
                <w14:textFill>
                  <w14:solidFill>
                    <w14:schemeClr w14:val="tx1"/>
                  </w14:solidFill>
                </w14:textFill>
              </w:rPr>
            </w:pPr>
            <w:r>
              <w:rPr>
                <w:rFonts w:hint="eastAsia" w:ascii="Times New Roman" w:hAnsi="Times New Roman" w:cs="宋体"/>
                <w:b/>
                <w:bCs/>
                <w:color w:val="000000" w:themeColor="text1"/>
                <w:sz w:val="24"/>
                <w:highlight w:val="none"/>
                <w14:textFill>
                  <w14:solidFill>
                    <w14:schemeClr w14:val="tx1"/>
                  </w14:solidFill>
                </w14:textFill>
              </w:rPr>
              <w:t>① 固体废物产生环节</w:t>
            </w:r>
          </w:p>
          <w:p w14:paraId="68892FE8">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评价根据《固体废物鉴别标准通则》（</w:t>
            </w:r>
            <w:r>
              <w:rPr>
                <w:rFonts w:ascii="Times New Roman" w:hAnsi="Times New Roman" w:eastAsia="宋体"/>
                <w:color w:val="000000" w:themeColor="text1"/>
                <w:sz w:val="24"/>
                <w:highlight w:val="none"/>
                <w14:textFill>
                  <w14:solidFill>
                    <w14:schemeClr w14:val="tx1"/>
                  </w14:solidFill>
                </w14:textFill>
              </w:rPr>
              <w:t>GB34330-2017</w:t>
            </w:r>
            <w:r>
              <w:rPr>
                <w:rFonts w:hint="eastAsia" w:ascii="Times New Roman" w:hAnsi="Times New Roman" w:eastAsia="宋体"/>
                <w:color w:val="000000" w:themeColor="text1"/>
                <w:sz w:val="24"/>
                <w:highlight w:val="none"/>
                <w14:textFill>
                  <w14:solidFill>
                    <w14:schemeClr w14:val="tx1"/>
                  </w14:solidFill>
                </w14:textFill>
              </w:rPr>
              <w:t>）和《国家危险废物名录（</w:t>
            </w:r>
            <w:r>
              <w:rPr>
                <w:rFonts w:ascii="Times New Roman" w:hAnsi="Times New Roman" w:eastAsia="宋体"/>
                <w:color w:val="000000" w:themeColor="text1"/>
                <w:sz w:val="24"/>
                <w:highlight w:val="none"/>
                <w14:textFill>
                  <w14:solidFill>
                    <w14:schemeClr w14:val="tx1"/>
                  </w14:solidFill>
                </w14:textFill>
              </w:rPr>
              <w:t>202</w:t>
            </w:r>
            <w:r>
              <w:rPr>
                <w:rFonts w:hint="eastAsia" w:ascii="Times New Roman" w:hAnsi="Times New Roman" w:eastAsia="宋体"/>
                <w:color w:val="000000" w:themeColor="text1"/>
                <w:sz w:val="24"/>
                <w:highlight w:val="none"/>
                <w14:textFill>
                  <w14:solidFill>
                    <w14:schemeClr w14:val="tx1"/>
                  </w14:solidFill>
                </w14:textFill>
              </w:rPr>
              <w:t>5版）》等相关文件判定，项目固体废物产生情况见下表：</w:t>
            </w:r>
          </w:p>
          <w:p w14:paraId="71FFD8FB">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表4-</w:t>
            </w:r>
            <w:r>
              <w:rPr>
                <w:rFonts w:hint="eastAsia" w:ascii="Times New Roman" w:hAnsi="Times New Roman" w:eastAsia="宋体" w:cs="Times New Roman"/>
                <w:color w:val="000000" w:themeColor="text1"/>
                <w:szCs w:val="24"/>
                <w:highlight w:val="none"/>
                <w14:textFill>
                  <w14:solidFill>
                    <w14:schemeClr w14:val="tx1"/>
                  </w14:solidFill>
                </w14:textFill>
              </w:rPr>
              <w:t>2</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0</w:t>
            </w:r>
            <w:r>
              <w:rPr>
                <w:rFonts w:ascii="Times New Roman" w:hAnsi="Times New Roman" w:eastAsia="宋体" w:cs="Times New Roman"/>
                <w:color w:val="000000" w:themeColor="text1"/>
                <w:szCs w:val="24"/>
                <w:highlight w:val="none"/>
                <w14:textFill>
                  <w14:solidFill>
                    <w14:schemeClr w14:val="tx1"/>
                  </w14:solidFill>
                </w14:textFill>
              </w:rPr>
              <w:t xml:space="preserve">  固体废物产生环节、产生量核算一览表</w:t>
            </w:r>
          </w:p>
          <w:tbl>
            <w:tblPr>
              <w:tblStyle w:val="27"/>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0"/>
              <w:gridCol w:w="1694"/>
              <w:gridCol w:w="1127"/>
              <w:gridCol w:w="774"/>
              <w:gridCol w:w="1371"/>
              <w:gridCol w:w="863"/>
              <w:gridCol w:w="863"/>
              <w:gridCol w:w="1054"/>
            </w:tblGrid>
            <w:tr w14:paraId="19B03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7F33FF21">
                  <w:pPr>
                    <w:widowControl/>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序号</w:t>
                  </w:r>
                </w:p>
              </w:tc>
              <w:tc>
                <w:tcPr>
                  <w:tcW w:w="1002" w:type="pct"/>
                  <w:tcBorders>
                    <w:tl2br w:val="nil"/>
                    <w:tr2bl w:val="nil"/>
                  </w:tcBorders>
                  <w:vAlign w:val="center"/>
                </w:tcPr>
                <w:p w14:paraId="08CF8F33">
                  <w:pPr>
                    <w:widowControl/>
                    <w:spacing w:before="78" w:beforeLines="25" w:after="78" w:afterLines="25" w:line="300"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固废名称</w:t>
                  </w:r>
                </w:p>
              </w:tc>
              <w:tc>
                <w:tcPr>
                  <w:tcW w:w="667" w:type="pct"/>
                  <w:tcBorders>
                    <w:tl2br w:val="nil"/>
                    <w:tr2bl w:val="nil"/>
                  </w:tcBorders>
                  <w:vAlign w:val="center"/>
                </w:tcPr>
                <w:p w14:paraId="1DB554E5">
                  <w:pPr>
                    <w:widowControl/>
                    <w:spacing w:before="78" w:beforeLines="25" w:after="78" w:afterLines="25" w:line="300"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产生环节</w:t>
                  </w:r>
                </w:p>
              </w:tc>
              <w:tc>
                <w:tcPr>
                  <w:tcW w:w="458" w:type="pct"/>
                  <w:tcBorders>
                    <w:tl2br w:val="nil"/>
                    <w:tr2bl w:val="nil"/>
                  </w:tcBorders>
                  <w:vAlign w:val="center"/>
                </w:tcPr>
                <w:p w14:paraId="5086A5F7">
                  <w:pPr>
                    <w:widowControl/>
                    <w:spacing w:before="78" w:beforeLines="25" w:after="78" w:afterLines="25" w:line="300"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形态</w:t>
                  </w:r>
                </w:p>
              </w:tc>
              <w:tc>
                <w:tcPr>
                  <w:tcW w:w="811" w:type="pct"/>
                  <w:tcBorders>
                    <w:tl2br w:val="nil"/>
                    <w:tr2bl w:val="nil"/>
                  </w:tcBorders>
                  <w:vAlign w:val="center"/>
                </w:tcPr>
                <w:p w14:paraId="5899C73A">
                  <w:pPr>
                    <w:widowControl/>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主要成分</w:t>
                  </w:r>
                </w:p>
              </w:tc>
              <w:tc>
                <w:tcPr>
                  <w:tcW w:w="510" w:type="pct"/>
                  <w:tcBorders>
                    <w:tl2br w:val="nil"/>
                    <w:tr2bl w:val="nil"/>
                  </w:tcBorders>
                  <w:vAlign w:val="center"/>
                </w:tcPr>
                <w:p w14:paraId="1E7CD563">
                  <w:pPr>
                    <w:widowControl/>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产生量</w:t>
                  </w:r>
                </w:p>
              </w:tc>
              <w:tc>
                <w:tcPr>
                  <w:tcW w:w="510" w:type="pct"/>
                  <w:tcBorders>
                    <w:tl2br w:val="nil"/>
                    <w:tr2bl w:val="nil"/>
                  </w:tcBorders>
                  <w:vAlign w:val="center"/>
                </w:tcPr>
                <w:p w14:paraId="3612FE39">
                  <w:pPr>
                    <w:widowControl/>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处置量</w:t>
                  </w:r>
                </w:p>
              </w:tc>
              <w:tc>
                <w:tcPr>
                  <w:tcW w:w="623" w:type="pct"/>
                  <w:tcBorders>
                    <w:tl2br w:val="nil"/>
                    <w:tr2bl w:val="nil"/>
                  </w:tcBorders>
                  <w:vAlign w:val="center"/>
                </w:tcPr>
                <w:p w14:paraId="11AFA095">
                  <w:pPr>
                    <w:widowControl/>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去向</w:t>
                  </w:r>
                </w:p>
              </w:tc>
            </w:tr>
            <w:tr w14:paraId="5605E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1989CD5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w:t>
                  </w:r>
                </w:p>
              </w:tc>
              <w:tc>
                <w:tcPr>
                  <w:tcW w:w="1002" w:type="pct"/>
                  <w:tcBorders>
                    <w:tl2br w:val="nil"/>
                    <w:tr2bl w:val="nil"/>
                  </w:tcBorders>
                  <w:vAlign w:val="center"/>
                </w:tcPr>
                <w:p w14:paraId="5697455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废钢丸</w:t>
                  </w:r>
                </w:p>
              </w:tc>
              <w:tc>
                <w:tcPr>
                  <w:tcW w:w="667" w:type="pct"/>
                  <w:tcBorders>
                    <w:tl2br w:val="nil"/>
                    <w:tr2bl w:val="nil"/>
                  </w:tcBorders>
                  <w:vAlign w:val="center"/>
                </w:tcPr>
                <w:p w14:paraId="044CFAE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下料</w:t>
                  </w:r>
                </w:p>
              </w:tc>
              <w:tc>
                <w:tcPr>
                  <w:tcW w:w="458" w:type="pct"/>
                  <w:tcBorders>
                    <w:tl2br w:val="nil"/>
                    <w:tr2bl w:val="nil"/>
                  </w:tcBorders>
                  <w:vAlign w:val="center"/>
                </w:tcPr>
                <w:p w14:paraId="1842E60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固态</w:t>
                  </w:r>
                </w:p>
              </w:tc>
              <w:tc>
                <w:tcPr>
                  <w:tcW w:w="811" w:type="pct"/>
                  <w:tcBorders>
                    <w:tl2br w:val="nil"/>
                    <w:tr2bl w:val="nil"/>
                  </w:tcBorders>
                  <w:vAlign w:val="center"/>
                </w:tcPr>
                <w:p w14:paraId="59809B6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钢  铁</w:t>
                  </w:r>
                </w:p>
              </w:tc>
              <w:tc>
                <w:tcPr>
                  <w:tcW w:w="510" w:type="pct"/>
                  <w:tcBorders>
                    <w:tl2br w:val="nil"/>
                    <w:tr2bl w:val="nil"/>
                  </w:tcBorders>
                  <w:vAlign w:val="center"/>
                </w:tcPr>
                <w:p w14:paraId="35D5881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0.2t/a</w:t>
                  </w:r>
                </w:p>
              </w:tc>
              <w:tc>
                <w:tcPr>
                  <w:tcW w:w="510" w:type="pct"/>
                  <w:tcBorders>
                    <w:tl2br w:val="nil"/>
                    <w:tr2bl w:val="nil"/>
                  </w:tcBorders>
                  <w:vAlign w:val="center"/>
                </w:tcPr>
                <w:p w14:paraId="5BD3C35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0.2t/a</w:t>
                  </w:r>
                </w:p>
              </w:tc>
              <w:tc>
                <w:tcPr>
                  <w:tcW w:w="623" w:type="pct"/>
                  <w:vMerge w:val="restart"/>
                  <w:tcBorders>
                    <w:tl2br w:val="nil"/>
                    <w:tr2bl w:val="nil"/>
                  </w:tcBorders>
                  <w:vAlign w:val="center"/>
                </w:tcPr>
                <w:p w14:paraId="65FA7FC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外售综合利用</w:t>
                  </w:r>
                </w:p>
              </w:tc>
            </w:tr>
            <w:tr w14:paraId="440CC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3B199E64">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2</w:t>
                  </w:r>
                </w:p>
              </w:tc>
              <w:tc>
                <w:tcPr>
                  <w:tcW w:w="1002" w:type="pct"/>
                  <w:tcBorders>
                    <w:tl2br w:val="nil"/>
                    <w:tr2bl w:val="nil"/>
                  </w:tcBorders>
                  <w:vAlign w:val="center"/>
                </w:tcPr>
                <w:p w14:paraId="60DE25E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次品</w:t>
                  </w:r>
                </w:p>
              </w:tc>
              <w:tc>
                <w:tcPr>
                  <w:tcW w:w="667" w:type="pct"/>
                  <w:tcBorders>
                    <w:tl2br w:val="nil"/>
                    <w:tr2bl w:val="nil"/>
                  </w:tcBorders>
                  <w:vAlign w:val="center"/>
                </w:tcPr>
                <w:p w14:paraId="456155B4">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焊接</w:t>
                  </w:r>
                </w:p>
              </w:tc>
              <w:tc>
                <w:tcPr>
                  <w:tcW w:w="458" w:type="pct"/>
                  <w:tcBorders>
                    <w:tl2br w:val="nil"/>
                    <w:tr2bl w:val="nil"/>
                  </w:tcBorders>
                  <w:vAlign w:val="center"/>
                </w:tcPr>
                <w:p w14:paraId="4221B01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固态</w:t>
                  </w:r>
                </w:p>
              </w:tc>
              <w:tc>
                <w:tcPr>
                  <w:tcW w:w="811" w:type="pct"/>
                  <w:tcBorders>
                    <w:tl2br w:val="nil"/>
                    <w:tr2bl w:val="nil"/>
                  </w:tcBorders>
                  <w:vAlign w:val="center"/>
                </w:tcPr>
                <w:p w14:paraId="216DF438">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eastAsia="zh-CN" w:bidi="ar"/>
                      <w14:textFill>
                        <w14:solidFill>
                          <w14:schemeClr w14:val="tx1"/>
                        </w14:solidFill>
                      </w14:textFill>
                    </w:rPr>
                    <w:t>废</w:t>
                  </w: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 xml:space="preserve">  </w:t>
                  </w:r>
                  <w:r>
                    <w:rPr>
                      <w:rFonts w:hint="eastAsia" w:ascii="Times New Roman" w:hAnsi="Times New Roman" w:eastAsia="宋体" w:cs="宋体"/>
                      <w:color w:val="000000" w:themeColor="text1"/>
                      <w:kern w:val="0"/>
                      <w:szCs w:val="21"/>
                      <w:highlight w:val="none"/>
                      <w:lang w:eastAsia="zh-CN" w:bidi="ar"/>
                      <w14:textFill>
                        <w14:solidFill>
                          <w14:schemeClr w14:val="tx1"/>
                        </w14:solidFill>
                      </w14:textFill>
                    </w:rPr>
                    <w:t>铁</w:t>
                  </w:r>
                </w:p>
              </w:tc>
              <w:tc>
                <w:tcPr>
                  <w:tcW w:w="510" w:type="pct"/>
                  <w:tcBorders>
                    <w:tl2br w:val="nil"/>
                    <w:tr2bl w:val="nil"/>
                  </w:tcBorders>
                  <w:vAlign w:val="center"/>
                </w:tcPr>
                <w:p w14:paraId="123EDE3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3</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0</w:t>
                  </w:r>
                  <w:r>
                    <w:rPr>
                      <w:rFonts w:ascii="Times New Roman" w:hAnsi="Times New Roman" w:eastAsia="宋体"/>
                      <w:color w:val="000000" w:themeColor="text1"/>
                      <w:szCs w:val="21"/>
                      <w:highlight w:val="none"/>
                      <w14:textFill>
                        <w14:solidFill>
                          <w14:schemeClr w14:val="tx1"/>
                        </w14:solidFill>
                      </w14:textFill>
                    </w:rPr>
                    <w:t>t/a</w:t>
                  </w:r>
                </w:p>
              </w:tc>
              <w:tc>
                <w:tcPr>
                  <w:tcW w:w="510" w:type="pct"/>
                  <w:tcBorders>
                    <w:tl2br w:val="nil"/>
                    <w:tr2bl w:val="nil"/>
                  </w:tcBorders>
                  <w:vAlign w:val="center"/>
                </w:tcPr>
                <w:p w14:paraId="10DF9D9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3</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0</w:t>
                  </w:r>
                  <w:r>
                    <w:rPr>
                      <w:rFonts w:ascii="Times New Roman" w:hAnsi="Times New Roman" w:eastAsia="宋体"/>
                      <w:color w:val="000000" w:themeColor="text1"/>
                      <w:szCs w:val="21"/>
                      <w:highlight w:val="none"/>
                      <w14:textFill>
                        <w14:solidFill>
                          <w14:schemeClr w14:val="tx1"/>
                        </w14:solidFill>
                      </w14:textFill>
                    </w:rPr>
                    <w:t>t/a</w:t>
                  </w:r>
                </w:p>
              </w:tc>
              <w:tc>
                <w:tcPr>
                  <w:tcW w:w="623" w:type="pct"/>
                  <w:vMerge w:val="continue"/>
                  <w:tcBorders>
                    <w:tl2br w:val="nil"/>
                    <w:tr2bl w:val="nil"/>
                  </w:tcBorders>
                  <w:vAlign w:val="center"/>
                </w:tcPr>
                <w:p w14:paraId="6DADEA92">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r>
            <w:tr w14:paraId="53418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38BF499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3</w:t>
                  </w:r>
                </w:p>
              </w:tc>
              <w:tc>
                <w:tcPr>
                  <w:tcW w:w="1002" w:type="pct"/>
                  <w:tcBorders>
                    <w:tl2br w:val="nil"/>
                    <w:tr2bl w:val="nil"/>
                  </w:tcBorders>
                  <w:vAlign w:val="center"/>
                </w:tcPr>
                <w:p w14:paraId="1D76E45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除尘灰</w:t>
                  </w:r>
                </w:p>
              </w:tc>
              <w:tc>
                <w:tcPr>
                  <w:tcW w:w="667" w:type="pct"/>
                  <w:tcBorders>
                    <w:tl2br w:val="nil"/>
                    <w:tr2bl w:val="nil"/>
                  </w:tcBorders>
                  <w:vAlign w:val="center"/>
                </w:tcPr>
                <w:p w14:paraId="7522F08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打磨</w:t>
                  </w:r>
                </w:p>
              </w:tc>
              <w:tc>
                <w:tcPr>
                  <w:tcW w:w="458" w:type="pct"/>
                  <w:tcBorders>
                    <w:tl2br w:val="nil"/>
                    <w:tr2bl w:val="nil"/>
                  </w:tcBorders>
                  <w:vAlign w:val="center"/>
                </w:tcPr>
                <w:p w14:paraId="5872BF8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固态</w:t>
                  </w:r>
                </w:p>
              </w:tc>
              <w:tc>
                <w:tcPr>
                  <w:tcW w:w="811" w:type="pct"/>
                  <w:tcBorders>
                    <w:tl2br w:val="nil"/>
                    <w:tr2bl w:val="nil"/>
                  </w:tcBorders>
                  <w:vAlign w:val="center"/>
                </w:tcPr>
                <w:p w14:paraId="452AF011">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铁  渣</w:t>
                  </w:r>
                </w:p>
              </w:tc>
              <w:tc>
                <w:tcPr>
                  <w:tcW w:w="510" w:type="pct"/>
                  <w:tcBorders>
                    <w:tl2br w:val="nil"/>
                    <w:tr2bl w:val="nil"/>
                  </w:tcBorders>
                  <w:vAlign w:val="center"/>
                </w:tcPr>
                <w:p w14:paraId="1B489B5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1.248</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t/a</w:t>
                  </w:r>
                </w:p>
              </w:tc>
              <w:tc>
                <w:tcPr>
                  <w:tcW w:w="510" w:type="pct"/>
                  <w:tcBorders>
                    <w:tl2br w:val="nil"/>
                    <w:tr2bl w:val="nil"/>
                  </w:tcBorders>
                  <w:vAlign w:val="center"/>
                </w:tcPr>
                <w:p w14:paraId="4B7BFFF1">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1.248</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t/a</w:t>
                  </w:r>
                </w:p>
              </w:tc>
              <w:tc>
                <w:tcPr>
                  <w:tcW w:w="623" w:type="pct"/>
                  <w:vMerge w:val="continue"/>
                  <w:tcBorders>
                    <w:tl2br w:val="nil"/>
                    <w:tr2bl w:val="nil"/>
                  </w:tcBorders>
                  <w:vAlign w:val="center"/>
                </w:tcPr>
                <w:p w14:paraId="6F16A84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r>
            <w:tr w14:paraId="399C4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140E1F3D">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4</w:t>
                  </w:r>
                </w:p>
              </w:tc>
              <w:tc>
                <w:tcPr>
                  <w:tcW w:w="1002" w:type="pct"/>
                  <w:tcBorders>
                    <w:tl2br w:val="nil"/>
                    <w:tr2bl w:val="nil"/>
                  </w:tcBorders>
                  <w:vAlign w:val="center"/>
                </w:tcPr>
                <w:p w14:paraId="7CD134E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废包装</w:t>
                  </w:r>
                </w:p>
              </w:tc>
              <w:tc>
                <w:tcPr>
                  <w:tcW w:w="667" w:type="pct"/>
                  <w:tcBorders>
                    <w:tl2br w:val="nil"/>
                    <w:tr2bl w:val="nil"/>
                  </w:tcBorders>
                  <w:vAlign w:val="center"/>
                </w:tcPr>
                <w:p w14:paraId="00E8A37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开袋</w:t>
                  </w:r>
                </w:p>
              </w:tc>
              <w:tc>
                <w:tcPr>
                  <w:tcW w:w="458" w:type="pct"/>
                  <w:tcBorders>
                    <w:tl2br w:val="nil"/>
                    <w:tr2bl w:val="nil"/>
                  </w:tcBorders>
                  <w:vAlign w:val="center"/>
                </w:tcPr>
                <w:p w14:paraId="77D4FD8D">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固态</w:t>
                  </w:r>
                </w:p>
              </w:tc>
              <w:tc>
                <w:tcPr>
                  <w:tcW w:w="811" w:type="pct"/>
                  <w:tcBorders>
                    <w:tl2br w:val="nil"/>
                    <w:tr2bl w:val="nil"/>
                  </w:tcBorders>
                  <w:vAlign w:val="center"/>
                </w:tcPr>
                <w:p w14:paraId="410FEFD4">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塑  料</w:t>
                  </w:r>
                </w:p>
              </w:tc>
              <w:tc>
                <w:tcPr>
                  <w:tcW w:w="510" w:type="pct"/>
                  <w:tcBorders>
                    <w:tl2br w:val="nil"/>
                    <w:tr2bl w:val="nil"/>
                  </w:tcBorders>
                  <w:vAlign w:val="center"/>
                </w:tcPr>
                <w:p w14:paraId="1B7062B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0.1t/a</w:t>
                  </w:r>
                </w:p>
              </w:tc>
              <w:tc>
                <w:tcPr>
                  <w:tcW w:w="510" w:type="pct"/>
                  <w:tcBorders>
                    <w:tl2br w:val="nil"/>
                    <w:tr2bl w:val="nil"/>
                  </w:tcBorders>
                  <w:vAlign w:val="center"/>
                </w:tcPr>
                <w:p w14:paraId="41880A5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0.1t/a</w:t>
                  </w:r>
                </w:p>
              </w:tc>
              <w:tc>
                <w:tcPr>
                  <w:tcW w:w="623" w:type="pct"/>
                  <w:vMerge w:val="continue"/>
                  <w:tcBorders>
                    <w:tl2br w:val="nil"/>
                    <w:tr2bl w:val="nil"/>
                  </w:tcBorders>
                  <w:vAlign w:val="center"/>
                </w:tcPr>
                <w:p w14:paraId="1B0212E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r>
            <w:tr w14:paraId="364EA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3AE66EF4">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5</w:t>
                  </w:r>
                </w:p>
              </w:tc>
              <w:tc>
                <w:tcPr>
                  <w:tcW w:w="1002" w:type="pct"/>
                  <w:tcBorders>
                    <w:tl2br w:val="nil"/>
                    <w:tr2bl w:val="nil"/>
                  </w:tcBorders>
                  <w:vAlign w:val="center"/>
                </w:tcPr>
                <w:p w14:paraId="353B65A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 机 油</w:t>
                  </w:r>
                </w:p>
              </w:tc>
              <w:tc>
                <w:tcPr>
                  <w:tcW w:w="667" w:type="pct"/>
                  <w:tcBorders>
                    <w:tl2br w:val="nil"/>
                    <w:tr2bl w:val="nil"/>
                  </w:tcBorders>
                  <w:vAlign w:val="center"/>
                </w:tcPr>
                <w:p w14:paraId="42B7776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设备维护</w:t>
                  </w:r>
                </w:p>
              </w:tc>
              <w:tc>
                <w:tcPr>
                  <w:tcW w:w="458" w:type="pct"/>
                  <w:tcBorders>
                    <w:tl2br w:val="nil"/>
                    <w:tr2bl w:val="nil"/>
                  </w:tcBorders>
                  <w:vAlign w:val="center"/>
                </w:tcPr>
                <w:p w14:paraId="136DA6E8">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液态</w:t>
                  </w:r>
                </w:p>
              </w:tc>
              <w:tc>
                <w:tcPr>
                  <w:tcW w:w="811" w:type="pct"/>
                  <w:tcBorders>
                    <w:tl2br w:val="nil"/>
                    <w:tr2bl w:val="nil"/>
                  </w:tcBorders>
                  <w:vAlign w:val="center"/>
                </w:tcPr>
                <w:p w14:paraId="70A8D3F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矿物油</w:t>
                  </w:r>
                </w:p>
              </w:tc>
              <w:tc>
                <w:tcPr>
                  <w:tcW w:w="510" w:type="pct"/>
                  <w:tcBorders>
                    <w:tl2br w:val="nil"/>
                    <w:tr2bl w:val="nil"/>
                  </w:tcBorders>
                  <w:vAlign w:val="center"/>
                </w:tcPr>
                <w:p w14:paraId="17D99C94">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0.1t/a</w:t>
                  </w:r>
                </w:p>
              </w:tc>
              <w:tc>
                <w:tcPr>
                  <w:tcW w:w="510" w:type="pct"/>
                  <w:tcBorders>
                    <w:tl2br w:val="nil"/>
                    <w:tr2bl w:val="nil"/>
                  </w:tcBorders>
                  <w:vAlign w:val="center"/>
                </w:tcPr>
                <w:p w14:paraId="1258A36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0.1t/a</w:t>
                  </w:r>
                </w:p>
              </w:tc>
              <w:tc>
                <w:tcPr>
                  <w:tcW w:w="623" w:type="pct"/>
                  <w:vMerge w:val="restart"/>
                  <w:tcBorders>
                    <w:tl2br w:val="nil"/>
                    <w:tr2bl w:val="nil"/>
                  </w:tcBorders>
                  <w:vAlign w:val="center"/>
                </w:tcPr>
                <w:p w14:paraId="6D822EE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交有危废处置资质的单位转运处置</w:t>
                  </w:r>
                </w:p>
              </w:tc>
            </w:tr>
            <w:tr w14:paraId="643FD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029729E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6</w:t>
                  </w:r>
                </w:p>
              </w:tc>
              <w:tc>
                <w:tcPr>
                  <w:tcW w:w="1002" w:type="pct"/>
                  <w:tcBorders>
                    <w:tl2br w:val="nil"/>
                    <w:tr2bl w:val="nil"/>
                  </w:tcBorders>
                  <w:vAlign w:val="center"/>
                </w:tcPr>
                <w:p w14:paraId="7C2F7568">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 油 桶</w:t>
                  </w:r>
                </w:p>
              </w:tc>
              <w:tc>
                <w:tcPr>
                  <w:tcW w:w="667" w:type="pct"/>
                  <w:tcBorders>
                    <w:tl2br w:val="nil"/>
                    <w:tr2bl w:val="nil"/>
                  </w:tcBorders>
                  <w:vAlign w:val="center"/>
                </w:tcPr>
                <w:p w14:paraId="43B8059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设备维护</w:t>
                  </w:r>
                </w:p>
              </w:tc>
              <w:tc>
                <w:tcPr>
                  <w:tcW w:w="458" w:type="pct"/>
                  <w:tcBorders>
                    <w:tl2br w:val="nil"/>
                    <w:tr2bl w:val="nil"/>
                  </w:tcBorders>
                  <w:vAlign w:val="center"/>
                </w:tcPr>
                <w:p w14:paraId="05BBC83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固态</w:t>
                  </w:r>
                </w:p>
              </w:tc>
              <w:tc>
                <w:tcPr>
                  <w:tcW w:w="811" w:type="pct"/>
                  <w:tcBorders>
                    <w:tl2br w:val="nil"/>
                    <w:tr2bl w:val="nil"/>
                  </w:tcBorders>
                  <w:vAlign w:val="center"/>
                </w:tcPr>
                <w:p w14:paraId="0FFD266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矿物油</w:t>
                  </w:r>
                </w:p>
              </w:tc>
              <w:tc>
                <w:tcPr>
                  <w:tcW w:w="510" w:type="pct"/>
                  <w:tcBorders>
                    <w:tl2br w:val="nil"/>
                    <w:tr2bl w:val="nil"/>
                  </w:tcBorders>
                  <w:vAlign w:val="center"/>
                </w:tcPr>
                <w:p w14:paraId="7DB6DBE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0.02t/a</w:t>
                  </w:r>
                </w:p>
              </w:tc>
              <w:tc>
                <w:tcPr>
                  <w:tcW w:w="510" w:type="pct"/>
                  <w:tcBorders>
                    <w:tl2br w:val="nil"/>
                    <w:tr2bl w:val="nil"/>
                  </w:tcBorders>
                  <w:vAlign w:val="center"/>
                </w:tcPr>
                <w:p w14:paraId="6B1F7712">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0.02t/a</w:t>
                  </w:r>
                </w:p>
              </w:tc>
              <w:tc>
                <w:tcPr>
                  <w:tcW w:w="623" w:type="pct"/>
                  <w:vMerge w:val="continue"/>
                  <w:tcBorders>
                    <w:tl2br w:val="nil"/>
                    <w:tr2bl w:val="nil"/>
                  </w:tcBorders>
                  <w:vAlign w:val="center"/>
                </w:tcPr>
                <w:p w14:paraId="3127F071">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r>
            <w:tr w14:paraId="30412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015F40F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7</w:t>
                  </w:r>
                </w:p>
              </w:tc>
              <w:tc>
                <w:tcPr>
                  <w:tcW w:w="1002" w:type="pct"/>
                  <w:tcBorders>
                    <w:tl2br w:val="nil"/>
                    <w:tr2bl w:val="nil"/>
                  </w:tcBorders>
                  <w:vAlign w:val="center"/>
                </w:tcPr>
                <w:p w14:paraId="3E4D018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含油废棉纱手套</w:t>
                  </w:r>
                </w:p>
              </w:tc>
              <w:tc>
                <w:tcPr>
                  <w:tcW w:w="667" w:type="pct"/>
                  <w:tcBorders>
                    <w:tl2br w:val="nil"/>
                    <w:tr2bl w:val="nil"/>
                  </w:tcBorders>
                  <w:vAlign w:val="center"/>
                </w:tcPr>
                <w:p w14:paraId="2B3F724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设备维护</w:t>
                  </w:r>
                </w:p>
              </w:tc>
              <w:tc>
                <w:tcPr>
                  <w:tcW w:w="458" w:type="pct"/>
                  <w:tcBorders>
                    <w:tl2br w:val="nil"/>
                    <w:tr2bl w:val="nil"/>
                  </w:tcBorders>
                  <w:vAlign w:val="center"/>
                </w:tcPr>
                <w:p w14:paraId="3C10E15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固态</w:t>
                  </w:r>
                </w:p>
              </w:tc>
              <w:tc>
                <w:tcPr>
                  <w:tcW w:w="811" w:type="pct"/>
                  <w:tcBorders>
                    <w:tl2br w:val="nil"/>
                    <w:tr2bl w:val="nil"/>
                  </w:tcBorders>
                  <w:vAlign w:val="center"/>
                </w:tcPr>
                <w:p w14:paraId="6EA2B47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矿物油</w:t>
                  </w:r>
                </w:p>
              </w:tc>
              <w:tc>
                <w:tcPr>
                  <w:tcW w:w="510" w:type="pct"/>
                  <w:tcBorders>
                    <w:tl2br w:val="nil"/>
                    <w:tr2bl w:val="nil"/>
                  </w:tcBorders>
                  <w:vAlign w:val="center"/>
                </w:tcPr>
                <w:p w14:paraId="72F2AAA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0.05t/a</w:t>
                  </w:r>
                </w:p>
              </w:tc>
              <w:tc>
                <w:tcPr>
                  <w:tcW w:w="510" w:type="pct"/>
                  <w:tcBorders>
                    <w:tl2br w:val="nil"/>
                    <w:tr2bl w:val="nil"/>
                  </w:tcBorders>
                  <w:vAlign w:val="center"/>
                </w:tcPr>
                <w:p w14:paraId="628985B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0.05t/a</w:t>
                  </w:r>
                </w:p>
              </w:tc>
              <w:tc>
                <w:tcPr>
                  <w:tcW w:w="623" w:type="pct"/>
                  <w:vMerge w:val="continue"/>
                  <w:tcBorders>
                    <w:tl2br w:val="nil"/>
                    <w:tr2bl w:val="nil"/>
                  </w:tcBorders>
                  <w:vAlign w:val="center"/>
                </w:tcPr>
                <w:p w14:paraId="50DC58A2">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r>
            <w:tr w14:paraId="7F843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4EC7142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8</w:t>
                  </w:r>
                </w:p>
              </w:tc>
              <w:tc>
                <w:tcPr>
                  <w:tcW w:w="1002" w:type="pct"/>
                  <w:tcBorders>
                    <w:tl2br w:val="nil"/>
                    <w:tr2bl w:val="nil"/>
                  </w:tcBorders>
                  <w:vAlign w:val="center"/>
                </w:tcPr>
                <w:p w14:paraId="465D8B5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空压机废油液</w:t>
                  </w:r>
                </w:p>
              </w:tc>
              <w:tc>
                <w:tcPr>
                  <w:tcW w:w="667" w:type="pct"/>
                  <w:tcBorders>
                    <w:tl2br w:val="nil"/>
                    <w:tr2bl w:val="nil"/>
                  </w:tcBorders>
                  <w:vAlign w:val="center"/>
                </w:tcPr>
                <w:p w14:paraId="0DB75AA8">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压缩空气</w:t>
                  </w:r>
                </w:p>
              </w:tc>
              <w:tc>
                <w:tcPr>
                  <w:tcW w:w="458" w:type="pct"/>
                  <w:tcBorders>
                    <w:tl2br w:val="nil"/>
                    <w:tr2bl w:val="nil"/>
                  </w:tcBorders>
                  <w:vAlign w:val="center"/>
                </w:tcPr>
                <w:p w14:paraId="4E1D8E8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液态</w:t>
                  </w:r>
                </w:p>
              </w:tc>
              <w:tc>
                <w:tcPr>
                  <w:tcW w:w="811" w:type="pct"/>
                  <w:tcBorders>
                    <w:tl2br w:val="nil"/>
                    <w:tr2bl w:val="nil"/>
                  </w:tcBorders>
                  <w:vAlign w:val="center"/>
                </w:tcPr>
                <w:p w14:paraId="5EF1FDC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矿物油</w:t>
                  </w:r>
                </w:p>
              </w:tc>
              <w:tc>
                <w:tcPr>
                  <w:tcW w:w="510" w:type="pct"/>
                  <w:tcBorders>
                    <w:tl2br w:val="nil"/>
                    <w:tr2bl w:val="nil"/>
                  </w:tcBorders>
                  <w:vAlign w:val="center"/>
                </w:tcPr>
                <w:p w14:paraId="04A0A2B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0.02t/a</w:t>
                  </w:r>
                </w:p>
              </w:tc>
              <w:tc>
                <w:tcPr>
                  <w:tcW w:w="510" w:type="pct"/>
                  <w:tcBorders>
                    <w:tl2br w:val="nil"/>
                    <w:tr2bl w:val="nil"/>
                  </w:tcBorders>
                  <w:vAlign w:val="center"/>
                </w:tcPr>
                <w:p w14:paraId="21900D65">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0.02t/a</w:t>
                  </w:r>
                </w:p>
              </w:tc>
              <w:tc>
                <w:tcPr>
                  <w:tcW w:w="623" w:type="pct"/>
                  <w:vMerge w:val="continue"/>
                  <w:tcBorders>
                    <w:tl2br w:val="nil"/>
                    <w:tr2bl w:val="nil"/>
                  </w:tcBorders>
                  <w:vAlign w:val="center"/>
                </w:tcPr>
                <w:p w14:paraId="2E5EA24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r>
            <w:tr w14:paraId="7ECC0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0DFE2EC2">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9</w:t>
                  </w:r>
                </w:p>
              </w:tc>
              <w:tc>
                <w:tcPr>
                  <w:tcW w:w="1002" w:type="pct"/>
                  <w:tcBorders>
                    <w:tl2br w:val="nil"/>
                    <w:tr2bl w:val="nil"/>
                  </w:tcBorders>
                  <w:vAlign w:val="center"/>
                </w:tcPr>
                <w:p w14:paraId="6B548325">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废活性炭</w:t>
                  </w:r>
                </w:p>
              </w:tc>
              <w:tc>
                <w:tcPr>
                  <w:tcW w:w="667" w:type="pct"/>
                  <w:tcBorders>
                    <w:tl2br w:val="nil"/>
                    <w:tr2bl w:val="nil"/>
                  </w:tcBorders>
                  <w:vAlign w:val="center"/>
                </w:tcPr>
                <w:p w14:paraId="243804E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废气治理</w:t>
                  </w:r>
                </w:p>
              </w:tc>
              <w:tc>
                <w:tcPr>
                  <w:tcW w:w="458" w:type="pct"/>
                  <w:tcBorders>
                    <w:tl2br w:val="nil"/>
                    <w:tr2bl w:val="nil"/>
                  </w:tcBorders>
                  <w:vAlign w:val="center"/>
                </w:tcPr>
                <w:p w14:paraId="1420B91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固态</w:t>
                  </w:r>
                </w:p>
              </w:tc>
              <w:tc>
                <w:tcPr>
                  <w:tcW w:w="811" w:type="pct"/>
                  <w:tcBorders>
                    <w:tl2br w:val="nil"/>
                    <w:tr2bl w:val="nil"/>
                  </w:tcBorders>
                  <w:vAlign w:val="center"/>
                </w:tcPr>
                <w:p w14:paraId="466A1A93">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废活性炭</w:t>
                  </w:r>
                </w:p>
              </w:tc>
              <w:tc>
                <w:tcPr>
                  <w:tcW w:w="510" w:type="pct"/>
                  <w:tcBorders>
                    <w:tl2br w:val="nil"/>
                    <w:tr2bl w:val="nil"/>
                  </w:tcBorders>
                  <w:vAlign w:val="center"/>
                </w:tcPr>
                <w:p w14:paraId="6F8A441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0.966</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t/a</w:t>
                  </w:r>
                </w:p>
              </w:tc>
              <w:tc>
                <w:tcPr>
                  <w:tcW w:w="510" w:type="pct"/>
                  <w:tcBorders>
                    <w:tl2br w:val="nil"/>
                    <w:tr2bl w:val="nil"/>
                  </w:tcBorders>
                  <w:vAlign w:val="center"/>
                </w:tcPr>
                <w:p w14:paraId="26639D52">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0.966</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t/a</w:t>
                  </w:r>
                </w:p>
              </w:tc>
              <w:tc>
                <w:tcPr>
                  <w:tcW w:w="623" w:type="pct"/>
                  <w:vMerge w:val="continue"/>
                  <w:tcBorders>
                    <w:tl2br w:val="nil"/>
                    <w:tr2bl w:val="nil"/>
                  </w:tcBorders>
                  <w:vAlign w:val="center"/>
                </w:tcPr>
                <w:p w14:paraId="569720A3">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r>
            <w:tr w14:paraId="2E38F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739645C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10</w:t>
                  </w:r>
                </w:p>
              </w:tc>
              <w:tc>
                <w:tcPr>
                  <w:tcW w:w="1002" w:type="pct"/>
                  <w:tcBorders>
                    <w:tl2br w:val="nil"/>
                    <w:tr2bl w:val="nil"/>
                  </w:tcBorders>
                  <w:vAlign w:val="center"/>
                </w:tcPr>
                <w:p w14:paraId="66FFC26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废过滤棉</w:t>
                  </w:r>
                </w:p>
              </w:tc>
              <w:tc>
                <w:tcPr>
                  <w:tcW w:w="667" w:type="pct"/>
                  <w:tcBorders>
                    <w:tl2br w:val="nil"/>
                    <w:tr2bl w:val="nil"/>
                  </w:tcBorders>
                  <w:vAlign w:val="center"/>
                </w:tcPr>
                <w:p w14:paraId="7CD0CA0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废气治理</w:t>
                  </w:r>
                </w:p>
              </w:tc>
              <w:tc>
                <w:tcPr>
                  <w:tcW w:w="458" w:type="pct"/>
                  <w:tcBorders>
                    <w:tl2br w:val="nil"/>
                    <w:tr2bl w:val="nil"/>
                  </w:tcBorders>
                  <w:vAlign w:val="center"/>
                </w:tcPr>
                <w:p w14:paraId="70E3FAC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固态</w:t>
                  </w:r>
                </w:p>
              </w:tc>
              <w:tc>
                <w:tcPr>
                  <w:tcW w:w="811" w:type="pct"/>
                  <w:tcBorders>
                    <w:tl2br w:val="nil"/>
                    <w:tr2bl w:val="nil"/>
                  </w:tcBorders>
                  <w:vAlign w:val="center"/>
                </w:tcPr>
                <w:p w14:paraId="7518D558">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废过滤棉</w:t>
                  </w:r>
                </w:p>
              </w:tc>
              <w:tc>
                <w:tcPr>
                  <w:tcW w:w="510" w:type="pct"/>
                  <w:tcBorders>
                    <w:tl2br w:val="nil"/>
                    <w:tr2bl w:val="nil"/>
                  </w:tcBorders>
                  <w:vAlign w:val="center"/>
                </w:tcPr>
                <w:p w14:paraId="54BD999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0.05t/a</w:t>
                  </w:r>
                </w:p>
              </w:tc>
              <w:tc>
                <w:tcPr>
                  <w:tcW w:w="510" w:type="pct"/>
                  <w:tcBorders>
                    <w:tl2br w:val="nil"/>
                    <w:tr2bl w:val="nil"/>
                  </w:tcBorders>
                  <w:vAlign w:val="center"/>
                </w:tcPr>
                <w:p w14:paraId="08B9084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0.05t/a</w:t>
                  </w:r>
                </w:p>
              </w:tc>
              <w:tc>
                <w:tcPr>
                  <w:tcW w:w="623" w:type="pct"/>
                  <w:vMerge w:val="continue"/>
                  <w:tcBorders>
                    <w:tl2br w:val="nil"/>
                    <w:tr2bl w:val="nil"/>
                  </w:tcBorders>
                  <w:vAlign w:val="center"/>
                </w:tcPr>
                <w:p w14:paraId="3D7E380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r>
            <w:tr w14:paraId="4180C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14" w:type="pct"/>
                  <w:tcBorders>
                    <w:tl2br w:val="nil"/>
                    <w:tr2bl w:val="nil"/>
                  </w:tcBorders>
                  <w:vAlign w:val="center"/>
                </w:tcPr>
                <w:p w14:paraId="59AB112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11</w:t>
                  </w:r>
                </w:p>
              </w:tc>
              <w:tc>
                <w:tcPr>
                  <w:tcW w:w="1002" w:type="pct"/>
                  <w:tcBorders>
                    <w:tl2br w:val="nil"/>
                    <w:tr2bl w:val="nil"/>
                  </w:tcBorders>
                  <w:vAlign w:val="center"/>
                </w:tcPr>
                <w:p w14:paraId="12BDC7A2">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生活垃圾</w:t>
                  </w:r>
                </w:p>
              </w:tc>
              <w:tc>
                <w:tcPr>
                  <w:tcW w:w="667" w:type="pct"/>
                  <w:tcBorders>
                    <w:tl2br w:val="nil"/>
                    <w:tr2bl w:val="nil"/>
                  </w:tcBorders>
                  <w:vAlign w:val="center"/>
                </w:tcPr>
                <w:p w14:paraId="15A049C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办公生活</w:t>
                  </w:r>
                </w:p>
              </w:tc>
              <w:tc>
                <w:tcPr>
                  <w:tcW w:w="458" w:type="pct"/>
                  <w:tcBorders>
                    <w:tl2br w:val="nil"/>
                    <w:tr2bl w:val="nil"/>
                  </w:tcBorders>
                  <w:vAlign w:val="center"/>
                </w:tcPr>
                <w:p w14:paraId="413A118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固态</w:t>
                  </w:r>
                </w:p>
              </w:tc>
              <w:tc>
                <w:tcPr>
                  <w:tcW w:w="811" w:type="pct"/>
                  <w:tcBorders>
                    <w:tl2br w:val="nil"/>
                    <w:tr2bl w:val="nil"/>
                  </w:tcBorders>
                  <w:vAlign w:val="center"/>
                </w:tcPr>
                <w:p w14:paraId="6BC0676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生活垃圾</w:t>
                  </w:r>
                </w:p>
              </w:tc>
              <w:tc>
                <w:tcPr>
                  <w:tcW w:w="510" w:type="pct"/>
                  <w:tcBorders>
                    <w:tl2br w:val="nil"/>
                    <w:tr2bl w:val="nil"/>
                  </w:tcBorders>
                  <w:vAlign w:val="center"/>
                </w:tcPr>
                <w:p w14:paraId="4F4AB234">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1.25t/a</w:t>
                  </w:r>
                </w:p>
              </w:tc>
              <w:tc>
                <w:tcPr>
                  <w:tcW w:w="510" w:type="pct"/>
                  <w:tcBorders>
                    <w:tl2br w:val="nil"/>
                    <w:tr2bl w:val="nil"/>
                  </w:tcBorders>
                  <w:vAlign w:val="center"/>
                </w:tcPr>
                <w:p w14:paraId="7FA3571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1.25t/a</w:t>
                  </w:r>
                </w:p>
              </w:tc>
              <w:tc>
                <w:tcPr>
                  <w:tcW w:w="623" w:type="pct"/>
                  <w:tcBorders>
                    <w:tl2br w:val="nil"/>
                    <w:tr2bl w:val="nil"/>
                  </w:tcBorders>
                  <w:vAlign w:val="center"/>
                </w:tcPr>
                <w:p w14:paraId="38521F1F">
                  <w:pPr>
                    <w:widowControl/>
                    <w:spacing w:before="78" w:beforeLines="25" w:after="78" w:afterLines="25"/>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环卫部门统一清运</w:t>
                  </w:r>
                </w:p>
              </w:tc>
            </w:tr>
          </w:tbl>
          <w:p w14:paraId="0369B3B5">
            <w:pPr>
              <w:spacing w:before="31" w:beforeLines="10" w:after="31" w:afterLines="10" w:line="360" w:lineRule="auto"/>
              <w:ind w:firstLine="482" w:firstLineChars="200"/>
              <w:rPr>
                <w:rFonts w:ascii="Times New Roman" w:hAnsi="Times New Roman" w:cs="宋体"/>
                <w:b/>
                <w:bCs/>
                <w:color w:val="000000" w:themeColor="text1"/>
                <w:sz w:val="24"/>
                <w:highlight w:val="none"/>
                <w14:textFill>
                  <w14:solidFill>
                    <w14:schemeClr w14:val="tx1"/>
                  </w14:solidFill>
                </w14:textFill>
              </w:rPr>
            </w:pPr>
            <w:r>
              <w:rPr>
                <w:rFonts w:hint="eastAsia" w:ascii="Times New Roman" w:hAnsi="Times New Roman" w:cs="宋体"/>
                <w:b/>
                <w:bCs/>
                <w:color w:val="000000" w:themeColor="text1"/>
                <w:sz w:val="24"/>
                <w:highlight w:val="none"/>
                <w14:textFill>
                  <w14:solidFill>
                    <w14:schemeClr w14:val="tx1"/>
                  </w14:solidFill>
                </w14:textFill>
              </w:rPr>
              <w:t>② 固体废物属性</w:t>
            </w:r>
          </w:p>
          <w:p w14:paraId="091FDF7A">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根据《一般固体废物分类与代码》（GB/T 39198-2020）、《国家危险废物名录》（</w:t>
            </w:r>
            <w:r>
              <w:rPr>
                <w:rFonts w:ascii="Times New Roman" w:hAnsi="Times New Roman" w:eastAsia="宋体"/>
                <w:color w:val="000000" w:themeColor="text1"/>
                <w:sz w:val="24"/>
                <w:highlight w:val="none"/>
                <w14:textFill>
                  <w14:solidFill>
                    <w14:schemeClr w14:val="tx1"/>
                  </w14:solidFill>
                </w14:textFill>
              </w:rPr>
              <w:t>202</w:t>
            </w:r>
            <w:r>
              <w:rPr>
                <w:rFonts w:hint="eastAsia" w:ascii="Times New Roman" w:hAnsi="Times New Roman" w:eastAsia="宋体"/>
                <w:color w:val="000000" w:themeColor="text1"/>
                <w:sz w:val="24"/>
                <w:highlight w:val="none"/>
                <w14:textFill>
                  <w14:solidFill>
                    <w14:schemeClr w14:val="tx1"/>
                  </w14:solidFill>
                </w14:textFill>
              </w:rPr>
              <w:t>5版）以及《危险废物鉴别标准通则》（</w:t>
            </w:r>
            <w:r>
              <w:rPr>
                <w:rFonts w:ascii="Times New Roman" w:hAnsi="Times New Roman" w:eastAsia="宋体"/>
                <w:color w:val="000000" w:themeColor="text1"/>
                <w:sz w:val="24"/>
                <w:highlight w:val="none"/>
                <w14:textFill>
                  <w14:solidFill>
                    <w14:schemeClr w14:val="tx1"/>
                  </w14:solidFill>
                </w14:textFill>
              </w:rPr>
              <w:t>GB</w:t>
            </w:r>
            <w:r>
              <w:rPr>
                <w:rFonts w:hint="eastAsia" w:ascii="Times New Roman" w:hAnsi="Times New Roman" w:eastAsia="宋体"/>
                <w:color w:val="000000" w:themeColor="text1"/>
                <w:sz w:val="24"/>
                <w:highlight w:val="none"/>
                <w14:textFill>
                  <w14:solidFill>
                    <w14:schemeClr w14:val="tx1"/>
                  </w14:solidFill>
                </w14:textFill>
              </w:rPr>
              <w:t xml:space="preserve"> </w:t>
            </w:r>
            <w:r>
              <w:rPr>
                <w:rFonts w:ascii="Times New Roman" w:hAnsi="Times New Roman" w:eastAsia="宋体"/>
                <w:color w:val="000000" w:themeColor="text1"/>
                <w:sz w:val="24"/>
                <w:highlight w:val="none"/>
                <w14:textFill>
                  <w14:solidFill>
                    <w14:schemeClr w14:val="tx1"/>
                  </w14:solidFill>
                </w14:textFill>
              </w:rPr>
              <w:t>5085.7-2019</w:t>
            </w:r>
            <w:r>
              <w:rPr>
                <w:rFonts w:hint="eastAsia" w:ascii="Times New Roman" w:hAnsi="Times New Roman" w:eastAsia="宋体"/>
                <w:color w:val="000000" w:themeColor="text1"/>
                <w:sz w:val="24"/>
                <w:highlight w:val="none"/>
                <w14:textFill>
                  <w14:solidFill>
                    <w14:schemeClr w14:val="tx1"/>
                  </w14:solidFill>
                </w14:textFill>
              </w:rPr>
              <w:t>），项目固体废物属性一览表详见下表：</w:t>
            </w:r>
          </w:p>
          <w:p w14:paraId="26CD120E">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表4-</w:t>
            </w:r>
            <w:r>
              <w:rPr>
                <w:rFonts w:hint="eastAsia" w:ascii="Times New Roman" w:hAnsi="Times New Roman" w:eastAsia="宋体" w:cs="Times New Roman"/>
                <w:color w:val="000000" w:themeColor="text1"/>
                <w:szCs w:val="24"/>
                <w:highlight w:val="none"/>
                <w14:textFill>
                  <w14:solidFill>
                    <w14:schemeClr w14:val="tx1"/>
                  </w14:solidFill>
                </w14:textFill>
              </w:rPr>
              <w:t>2</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1</w:t>
            </w:r>
            <w:r>
              <w:rPr>
                <w:rFonts w:ascii="Times New Roman" w:hAnsi="Times New Roman" w:eastAsia="宋体" w:cs="Times New Roman"/>
                <w:color w:val="000000" w:themeColor="text1"/>
                <w:szCs w:val="24"/>
                <w:highlight w:val="none"/>
                <w14:textFill>
                  <w14:solidFill>
                    <w14:schemeClr w14:val="tx1"/>
                  </w14:solidFill>
                </w14:textFill>
              </w:rPr>
              <w:t xml:space="preserve">  项目固体废物属性一览表</w:t>
            </w:r>
          </w:p>
          <w:tbl>
            <w:tblPr>
              <w:tblStyle w:val="27"/>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25"/>
              <w:gridCol w:w="1636"/>
              <w:gridCol w:w="1433"/>
              <w:gridCol w:w="2172"/>
              <w:gridCol w:w="1370"/>
              <w:gridCol w:w="1106"/>
            </w:tblGrid>
            <w:tr w14:paraId="10C58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243A688C">
                  <w:pPr>
                    <w:widowControl/>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序号</w:t>
                  </w:r>
                </w:p>
              </w:tc>
              <w:tc>
                <w:tcPr>
                  <w:tcW w:w="968" w:type="pct"/>
                  <w:tcBorders>
                    <w:tl2br w:val="nil"/>
                    <w:tr2bl w:val="nil"/>
                  </w:tcBorders>
                  <w:vAlign w:val="center"/>
                </w:tcPr>
                <w:p w14:paraId="6FC984F2">
                  <w:pPr>
                    <w:widowControl/>
                    <w:spacing w:before="78" w:beforeLines="25" w:after="78" w:afterLines="25" w:line="300"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固废名称</w:t>
                  </w:r>
                </w:p>
              </w:tc>
              <w:tc>
                <w:tcPr>
                  <w:tcW w:w="848" w:type="pct"/>
                  <w:tcBorders>
                    <w:tl2br w:val="nil"/>
                    <w:tr2bl w:val="nil"/>
                  </w:tcBorders>
                  <w:vAlign w:val="center"/>
                </w:tcPr>
                <w:p w14:paraId="20FE19B3">
                  <w:pPr>
                    <w:widowControl/>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是否属于危险废物</w:t>
                  </w:r>
                </w:p>
              </w:tc>
              <w:tc>
                <w:tcPr>
                  <w:tcW w:w="1286" w:type="pct"/>
                  <w:tcBorders>
                    <w:tl2br w:val="nil"/>
                    <w:tr2bl w:val="nil"/>
                  </w:tcBorders>
                  <w:vAlign w:val="center"/>
                </w:tcPr>
                <w:p w14:paraId="4F2C9D27">
                  <w:pPr>
                    <w:widowControl/>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一般固废代码/危险废物编号</w:t>
                  </w:r>
                </w:p>
              </w:tc>
              <w:tc>
                <w:tcPr>
                  <w:tcW w:w="811" w:type="pct"/>
                  <w:tcBorders>
                    <w:tl2br w:val="nil"/>
                    <w:tr2bl w:val="nil"/>
                  </w:tcBorders>
                  <w:vAlign w:val="center"/>
                </w:tcPr>
                <w:p w14:paraId="7D95B2B0">
                  <w:pPr>
                    <w:widowControl/>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主要有毒</w:t>
                  </w:r>
                </w:p>
                <w:p w14:paraId="72F4FBC0">
                  <w:pPr>
                    <w:widowControl/>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有害物质</w:t>
                  </w:r>
                </w:p>
              </w:tc>
              <w:tc>
                <w:tcPr>
                  <w:tcW w:w="655" w:type="pct"/>
                  <w:tcBorders>
                    <w:tl2br w:val="nil"/>
                    <w:tr2bl w:val="nil"/>
                  </w:tcBorders>
                  <w:vAlign w:val="center"/>
                </w:tcPr>
                <w:p w14:paraId="3B6AF1A8">
                  <w:pPr>
                    <w:widowControl/>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环境危险特性</w:t>
                  </w:r>
                </w:p>
              </w:tc>
            </w:tr>
            <w:tr w14:paraId="5AEE9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059BB123">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w:t>
                  </w:r>
                </w:p>
              </w:tc>
              <w:tc>
                <w:tcPr>
                  <w:tcW w:w="968" w:type="pct"/>
                  <w:tcBorders>
                    <w:tl2br w:val="nil"/>
                    <w:tr2bl w:val="nil"/>
                  </w:tcBorders>
                  <w:vAlign w:val="center"/>
                </w:tcPr>
                <w:p w14:paraId="40E7455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废钢丸</w:t>
                  </w:r>
                </w:p>
              </w:tc>
              <w:tc>
                <w:tcPr>
                  <w:tcW w:w="848" w:type="pct"/>
                  <w:tcBorders>
                    <w:tl2br w:val="nil"/>
                    <w:tr2bl w:val="nil"/>
                  </w:tcBorders>
                  <w:vAlign w:val="center"/>
                </w:tcPr>
                <w:p w14:paraId="035BC1D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否</w:t>
                  </w:r>
                </w:p>
              </w:tc>
              <w:tc>
                <w:tcPr>
                  <w:tcW w:w="1286" w:type="pct"/>
                  <w:tcBorders>
                    <w:tl2br w:val="nil"/>
                    <w:tr2bl w:val="nil"/>
                  </w:tcBorders>
                  <w:vAlign w:val="center"/>
                </w:tcPr>
                <w:p w14:paraId="72294261">
                  <w:pPr>
                    <w:widowControl/>
                    <w:spacing w:before="78" w:beforeLines="25" w:after="78" w:afterLines="25" w:line="300" w:lineRule="auto"/>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SW17/900-001-S17</w:t>
                  </w:r>
                </w:p>
              </w:tc>
              <w:tc>
                <w:tcPr>
                  <w:tcW w:w="811" w:type="pct"/>
                  <w:tcBorders>
                    <w:tl2br w:val="nil"/>
                    <w:tr2bl w:val="nil"/>
                  </w:tcBorders>
                  <w:vAlign w:val="center"/>
                </w:tcPr>
                <w:p w14:paraId="33E4702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p>
              </w:tc>
              <w:tc>
                <w:tcPr>
                  <w:tcW w:w="655" w:type="pct"/>
                  <w:tcBorders>
                    <w:tl2br w:val="nil"/>
                    <w:tr2bl w:val="nil"/>
                  </w:tcBorders>
                  <w:vAlign w:val="center"/>
                </w:tcPr>
                <w:p w14:paraId="5DB0991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p>
              </w:tc>
            </w:tr>
            <w:tr w14:paraId="476A2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0F67647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2</w:t>
                  </w:r>
                </w:p>
              </w:tc>
              <w:tc>
                <w:tcPr>
                  <w:tcW w:w="968" w:type="pct"/>
                  <w:tcBorders>
                    <w:tl2br w:val="nil"/>
                    <w:tr2bl w:val="nil"/>
                  </w:tcBorders>
                  <w:vAlign w:val="center"/>
                </w:tcPr>
                <w:p w14:paraId="0C867F8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次</w:t>
                  </w: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 xml:space="preserve">  </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品</w:t>
                  </w:r>
                </w:p>
              </w:tc>
              <w:tc>
                <w:tcPr>
                  <w:tcW w:w="848" w:type="pct"/>
                  <w:tcBorders>
                    <w:tl2br w:val="nil"/>
                    <w:tr2bl w:val="nil"/>
                  </w:tcBorders>
                  <w:vAlign w:val="center"/>
                </w:tcPr>
                <w:p w14:paraId="1ED7246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否</w:t>
                  </w:r>
                </w:p>
              </w:tc>
              <w:tc>
                <w:tcPr>
                  <w:tcW w:w="1286" w:type="pct"/>
                  <w:tcBorders>
                    <w:tl2br w:val="nil"/>
                    <w:tr2bl w:val="nil"/>
                  </w:tcBorders>
                  <w:vAlign w:val="center"/>
                </w:tcPr>
                <w:p w14:paraId="3E9C4C66">
                  <w:pPr>
                    <w:widowControl/>
                    <w:spacing w:before="78" w:beforeLines="25" w:after="78" w:afterLines="25" w:line="300" w:lineRule="auto"/>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SW17/900-001-S17</w:t>
                  </w:r>
                </w:p>
              </w:tc>
              <w:tc>
                <w:tcPr>
                  <w:tcW w:w="811" w:type="pct"/>
                  <w:tcBorders>
                    <w:tl2br w:val="nil"/>
                    <w:tr2bl w:val="nil"/>
                  </w:tcBorders>
                  <w:vAlign w:val="center"/>
                </w:tcPr>
                <w:p w14:paraId="0D2BBBC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p>
              </w:tc>
              <w:tc>
                <w:tcPr>
                  <w:tcW w:w="655" w:type="pct"/>
                  <w:tcBorders>
                    <w:tl2br w:val="nil"/>
                    <w:tr2bl w:val="nil"/>
                  </w:tcBorders>
                  <w:vAlign w:val="center"/>
                </w:tcPr>
                <w:p w14:paraId="61CE6E4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p>
              </w:tc>
            </w:tr>
            <w:tr w14:paraId="105FB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4D64B58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3</w:t>
                  </w:r>
                </w:p>
              </w:tc>
              <w:tc>
                <w:tcPr>
                  <w:tcW w:w="968" w:type="pct"/>
                  <w:tcBorders>
                    <w:tl2br w:val="nil"/>
                    <w:tr2bl w:val="nil"/>
                  </w:tcBorders>
                  <w:vAlign w:val="center"/>
                </w:tcPr>
                <w:p w14:paraId="2B95F52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除尘灰</w:t>
                  </w:r>
                </w:p>
              </w:tc>
              <w:tc>
                <w:tcPr>
                  <w:tcW w:w="848" w:type="pct"/>
                  <w:tcBorders>
                    <w:tl2br w:val="nil"/>
                    <w:tr2bl w:val="nil"/>
                  </w:tcBorders>
                  <w:vAlign w:val="center"/>
                </w:tcPr>
                <w:p w14:paraId="32EAE0F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否</w:t>
                  </w:r>
                </w:p>
              </w:tc>
              <w:tc>
                <w:tcPr>
                  <w:tcW w:w="1286" w:type="pct"/>
                  <w:tcBorders>
                    <w:tl2br w:val="nil"/>
                    <w:tr2bl w:val="nil"/>
                  </w:tcBorders>
                  <w:vAlign w:val="center"/>
                </w:tcPr>
                <w:p w14:paraId="77C4361E">
                  <w:pPr>
                    <w:widowControl/>
                    <w:spacing w:before="78" w:beforeLines="25" w:after="78" w:afterLines="25" w:line="300" w:lineRule="auto"/>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SW17/900-001-S17</w:t>
                  </w:r>
                </w:p>
              </w:tc>
              <w:tc>
                <w:tcPr>
                  <w:tcW w:w="811" w:type="pct"/>
                  <w:tcBorders>
                    <w:tl2br w:val="nil"/>
                    <w:tr2bl w:val="nil"/>
                  </w:tcBorders>
                  <w:vAlign w:val="center"/>
                </w:tcPr>
                <w:p w14:paraId="3D5D226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p>
              </w:tc>
              <w:tc>
                <w:tcPr>
                  <w:tcW w:w="655" w:type="pct"/>
                  <w:tcBorders>
                    <w:tl2br w:val="nil"/>
                    <w:tr2bl w:val="nil"/>
                  </w:tcBorders>
                  <w:vAlign w:val="center"/>
                </w:tcPr>
                <w:p w14:paraId="38FE571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p>
              </w:tc>
            </w:tr>
            <w:tr w14:paraId="6E2A7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42" w:hRule="atLeast"/>
                <w:jc w:val="center"/>
              </w:trPr>
              <w:tc>
                <w:tcPr>
                  <w:tcW w:w="429" w:type="pct"/>
                  <w:tcBorders>
                    <w:tl2br w:val="nil"/>
                    <w:tr2bl w:val="nil"/>
                  </w:tcBorders>
                  <w:vAlign w:val="center"/>
                </w:tcPr>
                <w:p w14:paraId="42E02F4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4</w:t>
                  </w:r>
                </w:p>
              </w:tc>
              <w:tc>
                <w:tcPr>
                  <w:tcW w:w="968" w:type="pct"/>
                  <w:tcBorders>
                    <w:tl2br w:val="nil"/>
                    <w:tr2bl w:val="nil"/>
                  </w:tcBorders>
                  <w:vAlign w:val="center"/>
                </w:tcPr>
                <w:p w14:paraId="2D82E288">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废包装</w:t>
                  </w:r>
                </w:p>
              </w:tc>
              <w:tc>
                <w:tcPr>
                  <w:tcW w:w="848" w:type="pct"/>
                  <w:tcBorders>
                    <w:tl2br w:val="nil"/>
                    <w:tr2bl w:val="nil"/>
                  </w:tcBorders>
                  <w:vAlign w:val="center"/>
                </w:tcPr>
                <w:p w14:paraId="11393B2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否</w:t>
                  </w:r>
                </w:p>
              </w:tc>
              <w:tc>
                <w:tcPr>
                  <w:tcW w:w="1286" w:type="pct"/>
                  <w:tcBorders>
                    <w:tl2br w:val="nil"/>
                    <w:tr2bl w:val="nil"/>
                  </w:tcBorders>
                  <w:vAlign w:val="center"/>
                </w:tcPr>
                <w:p w14:paraId="5B9FD090">
                  <w:pPr>
                    <w:widowControl/>
                    <w:spacing w:before="78" w:beforeLines="25" w:after="78" w:afterLines="25" w:line="300" w:lineRule="auto"/>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SW17/900-001-S17</w:t>
                  </w:r>
                </w:p>
              </w:tc>
              <w:tc>
                <w:tcPr>
                  <w:tcW w:w="811" w:type="pct"/>
                  <w:tcBorders>
                    <w:tl2br w:val="nil"/>
                    <w:tr2bl w:val="nil"/>
                  </w:tcBorders>
                  <w:vAlign w:val="center"/>
                </w:tcPr>
                <w:p w14:paraId="1D110C64">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655" w:type="pct"/>
                  <w:tcBorders>
                    <w:tl2br w:val="nil"/>
                    <w:tr2bl w:val="nil"/>
                  </w:tcBorders>
                  <w:vAlign w:val="center"/>
                </w:tcPr>
                <w:p w14:paraId="32151745">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r>
            <w:tr w14:paraId="62CDB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6ED930E3">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5</w:t>
                  </w:r>
                </w:p>
              </w:tc>
              <w:tc>
                <w:tcPr>
                  <w:tcW w:w="968" w:type="pct"/>
                  <w:tcBorders>
                    <w:tl2br w:val="nil"/>
                    <w:tr2bl w:val="nil"/>
                  </w:tcBorders>
                  <w:vAlign w:val="center"/>
                </w:tcPr>
                <w:p w14:paraId="1D3555CD">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废机油</w:t>
                  </w:r>
                </w:p>
              </w:tc>
              <w:tc>
                <w:tcPr>
                  <w:tcW w:w="848" w:type="pct"/>
                  <w:tcBorders>
                    <w:tl2br w:val="nil"/>
                    <w:tr2bl w:val="nil"/>
                  </w:tcBorders>
                  <w:vAlign w:val="center"/>
                </w:tcPr>
                <w:p w14:paraId="22294B27">
                  <w:pPr>
                    <w:widowControl/>
                    <w:spacing w:before="78" w:beforeLines="25" w:after="78" w:afterLines="25" w:line="30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是</w:t>
                  </w:r>
                </w:p>
              </w:tc>
              <w:tc>
                <w:tcPr>
                  <w:tcW w:w="1286" w:type="pct"/>
                  <w:tcBorders>
                    <w:tl2br w:val="nil"/>
                    <w:tr2bl w:val="nil"/>
                  </w:tcBorders>
                  <w:vAlign w:val="center"/>
                </w:tcPr>
                <w:p w14:paraId="2534DB0E">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HW08</w:t>
                  </w:r>
                  <w:r>
                    <w:rPr>
                      <w:rFonts w:hint="eastAsia" w:ascii="Times New Roman" w:hAnsi="Times New Roman" w:eastAsia="宋体"/>
                      <w:color w:val="000000" w:themeColor="text1"/>
                      <w:szCs w:val="21"/>
                      <w:highlight w:val="none"/>
                      <w:lang w:val="en-US" w:eastAsia="zh-CN"/>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900-214-08</w:t>
                  </w:r>
                </w:p>
              </w:tc>
              <w:tc>
                <w:tcPr>
                  <w:tcW w:w="811" w:type="pct"/>
                  <w:tcBorders>
                    <w:tl2br w:val="nil"/>
                    <w:tr2bl w:val="nil"/>
                  </w:tcBorders>
                  <w:vAlign w:val="center"/>
                </w:tcPr>
                <w:p w14:paraId="77C4714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矿物油</w:t>
                  </w:r>
                </w:p>
              </w:tc>
              <w:tc>
                <w:tcPr>
                  <w:tcW w:w="655" w:type="pct"/>
                  <w:tcBorders>
                    <w:tl2br w:val="nil"/>
                    <w:tr2bl w:val="nil"/>
                  </w:tcBorders>
                  <w:vAlign w:val="center"/>
                </w:tcPr>
                <w:p w14:paraId="463B0F7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T/I</w:t>
                  </w:r>
                </w:p>
              </w:tc>
            </w:tr>
            <w:tr w14:paraId="098A2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08AE6038">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6</w:t>
                  </w:r>
                </w:p>
              </w:tc>
              <w:tc>
                <w:tcPr>
                  <w:tcW w:w="968" w:type="pct"/>
                  <w:tcBorders>
                    <w:tl2br w:val="nil"/>
                    <w:tr2bl w:val="nil"/>
                  </w:tcBorders>
                  <w:vAlign w:val="center"/>
                </w:tcPr>
                <w:p w14:paraId="24ADF845">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废油桶</w:t>
                  </w:r>
                </w:p>
              </w:tc>
              <w:tc>
                <w:tcPr>
                  <w:tcW w:w="848" w:type="pct"/>
                  <w:tcBorders>
                    <w:tl2br w:val="nil"/>
                    <w:tr2bl w:val="nil"/>
                  </w:tcBorders>
                  <w:vAlign w:val="center"/>
                </w:tcPr>
                <w:p w14:paraId="411A442F">
                  <w:pPr>
                    <w:widowControl/>
                    <w:spacing w:before="78" w:beforeLines="25" w:after="78" w:afterLines="25" w:line="30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是</w:t>
                  </w:r>
                </w:p>
              </w:tc>
              <w:tc>
                <w:tcPr>
                  <w:tcW w:w="1286" w:type="pct"/>
                  <w:tcBorders>
                    <w:tl2br w:val="nil"/>
                    <w:tr2bl w:val="nil"/>
                  </w:tcBorders>
                  <w:vAlign w:val="center"/>
                </w:tcPr>
                <w:p w14:paraId="27B6A61A">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HW08</w:t>
                  </w:r>
                  <w:r>
                    <w:rPr>
                      <w:rFonts w:hint="eastAsia" w:ascii="Times New Roman" w:hAnsi="Times New Roman" w:eastAsia="宋体"/>
                      <w:color w:val="000000" w:themeColor="text1"/>
                      <w:szCs w:val="21"/>
                      <w:highlight w:val="none"/>
                      <w:lang w:val="en-US" w:eastAsia="zh-CN"/>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900-249-08</w:t>
                  </w:r>
                </w:p>
              </w:tc>
              <w:tc>
                <w:tcPr>
                  <w:tcW w:w="811" w:type="pct"/>
                  <w:tcBorders>
                    <w:tl2br w:val="nil"/>
                    <w:tr2bl w:val="nil"/>
                  </w:tcBorders>
                  <w:vAlign w:val="center"/>
                </w:tcPr>
                <w:p w14:paraId="250F03E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矿物油</w:t>
                  </w:r>
                </w:p>
              </w:tc>
              <w:tc>
                <w:tcPr>
                  <w:tcW w:w="655" w:type="pct"/>
                  <w:tcBorders>
                    <w:tl2br w:val="nil"/>
                    <w:tr2bl w:val="nil"/>
                  </w:tcBorders>
                  <w:vAlign w:val="center"/>
                </w:tcPr>
                <w:p w14:paraId="4C162B5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T/I</w:t>
                  </w:r>
                </w:p>
              </w:tc>
            </w:tr>
            <w:tr w14:paraId="7DEE3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14C15CA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7</w:t>
                  </w:r>
                </w:p>
              </w:tc>
              <w:tc>
                <w:tcPr>
                  <w:tcW w:w="968" w:type="pct"/>
                  <w:tcBorders>
                    <w:tl2br w:val="nil"/>
                    <w:tr2bl w:val="nil"/>
                  </w:tcBorders>
                  <w:vAlign w:val="center"/>
                </w:tcPr>
                <w:p w14:paraId="590D5D2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含油废棉纱手套</w:t>
                  </w:r>
                </w:p>
              </w:tc>
              <w:tc>
                <w:tcPr>
                  <w:tcW w:w="848" w:type="pct"/>
                  <w:tcBorders>
                    <w:tl2br w:val="nil"/>
                    <w:tr2bl w:val="nil"/>
                  </w:tcBorders>
                  <w:vAlign w:val="center"/>
                </w:tcPr>
                <w:p w14:paraId="70BC324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是</w:t>
                  </w:r>
                </w:p>
              </w:tc>
              <w:tc>
                <w:tcPr>
                  <w:tcW w:w="1286" w:type="pct"/>
                  <w:tcBorders>
                    <w:tl2br w:val="nil"/>
                    <w:tr2bl w:val="nil"/>
                  </w:tcBorders>
                  <w:vAlign w:val="center"/>
                </w:tcPr>
                <w:p w14:paraId="7EE1D110">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HW49</w:t>
                  </w:r>
                  <w:r>
                    <w:rPr>
                      <w:rFonts w:hint="eastAsia" w:ascii="Times New Roman" w:hAnsi="Times New Roman" w:eastAsia="宋体"/>
                      <w:color w:val="000000" w:themeColor="text1"/>
                      <w:szCs w:val="21"/>
                      <w:highlight w:val="none"/>
                      <w:lang w:val="en-US" w:eastAsia="zh-CN"/>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900-041-49</w:t>
                  </w:r>
                </w:p>
              </w:tc>
              <w:tc>
                <w:tcPr>
                  <w:tcW w:w="811" w:type="pct"/>
                  <w:tcBorders>
                    <w:tl2br w:val="nil"/>
                    <w:tr2bl w:val="nil"/>
                  </w:tcBorders>
                  <w:vAlign w:val="center"/>
                </w:tcPr>
                <w:p w14:paraId="381E5C02">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矿物油</w:t>
                  </w:r>
                </w:p>
              </w:tc>
              <w:tc>
                <w:tcPr>
                  <w:tcW w:w="655" w:type="pct"/>
                  <w:tcBorders>
                    <w:tl2br w:val="nil"/>
                    <w:tr2bl w:val="nil"/>
                  </w:tcBorders>
                  <w:vAlign w:val="center"/>
                </w:tcPr>
                <w:p w14:paraId="7FBC82AD">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T/In</w:t>
                  </w:r>
                </w:p>
              </w:tc>
            </w:tr>
            <w:tr w14:paraId="7457B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35F7FD0D">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8</w:t>
                  </w:r>
                </w:p>
              </w:tc>
              <w:tc>
                <w:tcPr>
                  <w:tcW w:w="968" w:type="pct"/>
                  <w:tcBorders>
                    <w:tl2br w:val="nil"/>
                    <w:tr2bl w:val="nil"/>
                  </w:tcBorders>
                  <w:vAlign w:val="center"/>
                </w:tcPr>
                <w:p w14:paraId="05B3B544">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空压机废油液</w:t>
                  </w:r>
                </w:p>
              </w:tc>
              <w:tc>
                <w:tcPr>
                  <w:tcW w:w="848" w:type="pct"/>
                  <w:tcBorders>
                    <w:tl2br w:val="nil"/>
                    <w:tr2bl w:val="nil"/>
                  </w:tcBorders>
                  <w:vAlign w:val="center"/>
                </w:tcPr>
                <w:p w14:paraId="5A3DA780">
                  <w:pPr>
                    <w:widowControl/>
                    <w:spacing w:before="78" w:beforeLines="25" w:after="78" w:afterLines="25" w:line="30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是</w:t>
                  </w:r>
                </w:p>
              </w:tc>
              <w:tc>
                <w:tcPr>
                  <w:tcW w:w="1286" w:type="pct"/>
                  <w:tcBorders>
                    <w:tl2br w:val="nil"/>
                    <w:tr2bl w:val="nil"/>
                  </w:tcBorders>
                  <w:vAlign w:val="center"/>
                </w:tcPr>
                <w:p w14:paraId="0A4FC361">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HW08</w:t>
                  </w:r>
                  <w:r>
                    <w:rPr>
                      <w:rFonts w:hint="eastAsia" w:ascii="Times New Roman" w:hAnsi="Times New Roman" w:eastAsia="宋体"/>
                      <w:color w:val="000000" w:themeColor="text1"/>
                      <w:szCs w:val="21"/>
                      <w:highlight w:val="none"/>
                      <w:lang w:val="en-US" w:eastAsia="zh-CN"/>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900-007-08</w:t>
                  </w:r>
                </w:p>
              </w:tc>
              <w:tc>
                <w:tcPr>
                  <w:tcW w:w="811" w:type="pct"/>
                  <w:tcBorders>
                    <w:tl2br w:val="nil"/>
                    <w:tr2bl w:val="nil"/>
                  </w:tcBorders>
                  <w:vAlign w:val="center"/>
                </w:tcPr>
                <w:p w14:paraId="3107069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矿物油</w:t>
                  </w:r>
                </w:p>
              </w:tc>
              <w:tc>
                <w:tcPr>
                  <w:tcW w:w="655" w:type="pct"/>
                  <w:tcBorders>
                    <w:tl2br w:val="nil"/>
                    <w:tr2bl w:val="nil"/>
                  </w:tcBorders>
                  <w:vAlign w:val="center"/>
                </w:tcPr>
                <w:p w14:paraId="75951BC8">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T/I</w:t>
                  </w:r>
                </w:p>
              </w:tc>
            </w:tr>
            <w:tr w14:paraId="754C3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6561C2D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9</w:t>
                  </w:r>
                </w:p>
              </w:tc>
              <w:tc>
                <w:tcPr>
                  <w:tcW w:w="968" w:type="pct"/>
                  <w:tcBorders>
                    <w:tl2br w:val="nil"/>
                    <w:tr2bl w:val="nil"/>
                  </w:tcBorders>
                  <w:vAlign w:val="center"/>
                </w:tcPr>
                <w:p w14:paraId="727C8E5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废活性炭</w:t>
                  </w:r>
                </w:p>
              </w:tc>
              <w:tc>
                <w:tcPr>
                  <w:tcW w:w="848" w:type="pct"/>
                  <w:tcBorders>
                    <w:tl2br w:val="nil"/>
                    <w:tr2bl w:val="nil"/>
                  </w:tcBorders>
                  <w:vAlign w:val="center"/>
                </w:tcPr>
                <w:p w14:paraId="2F6D9073">
                  <w:pPr>
                    <w:widowControl/>
                    <w:spacing w:before="78" w:beforeLines="25" w:after="78" w:afterLines="25" w:line="30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是</w:t>
                  </w:r>
                </w:p>
              </w:tc>
              <w:tc>
                <w:tcPr>
                  <w:tcW w:w="1286" w:type="pct"/>
                  <w:tcBorders>
                    <w:tl2br w:val="nil"/>
                    <w:tr2bl w:val="nil"/>
                  </w:tcBorders>
                  <w:vAlign w:val="center"/>
                </w:tcPr>
                <w:p w14:paraId="194B5489">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HW49</w:t>
                  </w:r>
                  <w:r>
                    <w:rPr>
                      <w:rFonts w:hint="eastAsia" w:ascii="Times New Roman" w:hAnsi="Times New Roman" w:eastAsia="宋体"/>
                      <w:color w:val="000000" w:themeColor="text1"/>
                      <w:szCs w:val="21"/>
                      <w:highlight w:val="none"/>
                      <w:lang w:val="en-US" w:eastAsia="zh-CN"/>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900-039-049</w:t>
                  </w:r>
                </w:p>
              </w:tc>
              <w:tc>
                <w:tcPr>
                  <w:tcW w:w="811" w:type="pct"/>
                  <w:tcBorders>
                    <w:tl2br w:val="nil"/>
                    <w:tr2bl w:val="nil"/>
                  </w:tcBorders>
                  <w:vAlign w:val="center"/>
                </w:tcPr>
                <w:p w14:paraId="79F6CD8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有机废物</w:t>
                  </w:r>
                </w:p>
              </w:tc>
              <w:tc>
                <w:tcPr>
                  <w:tcW w:w="655" w:type="pct"/>
                  <w:tcBorders>
                    <w:tl2br w:val="nil"/>
                    <w:tr2bl w:val="nil"/>
                  </w:tcBorders>
                  <w:vAlign w:val="center"/>
                </w:tcPr>
                <w:p w14:paraId="0C38ACD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T</w:t>
                  </w:r>
                </w:p>
              </w:tc>
            </w:tr>
            <w:tr w14:paraId="6572A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0847E66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10</w:t>
                  </w:r>
                </w:p>
              </w:tc>
              <w:tc>
                <w:tcPr>
                  <w:tcW w:w="968" w:type="pct"/>
                  <w:tcBorders>
                    <w:tl2br w:val="nil"/>
                    <w:tr2bl w:val="nil"/>
                  </w:tcBorders>
                  <w:vAlign w:val="center"/>
                </w:tcPr>
                <w:p w14:paraId="495FE38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废过滤棉</w:t>
                  </w:r>
                </w:p>
              </w:tc>
              <w:tc>
                <w:tcPr>
                  <w:tcW w:w="848" w:type="pct"/>
                  <w:tcBorders>
                    <w:tl2br w:val="nil"/>
                    <w:tr2bl w:val="nil"/>
                  </w:tcBorders>
                  <w:vAlign w:val="center"/>
                </w:tcPr>
                <w:p w14:paraId="7EA781A9">
                  <w:pPr>
                    <w:widowControl/>
                    <w:spacing w:before="78" w:beforeLines="25" w:after="78" w:afterLines="25" w:line="30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是</w:t>
                  </w:r>
                </w:p>
              </w:tc>
              <w:tc>
                <w:tcPr>
                  <w:tcW w:w="1286" w:type="pct"/>
                  <w:tcBorders>
                    <w:tl2br w:val="nil"/>
                    <w:tr2bl w:val="nil"/>
                  </w:tcBorders>
                  <w:vAlign w:val="center"/>
                </w:tcPr>
                <w:p w14:paraId="7B261A44">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HW49</w:t>
                  </w:r>
                  <w:r>
                    <w:rPr>
                      <w:rFonts w:hint="eastAsia" w:ascii="Times New Roman" w:hAnsi="Times New Roman" w:eastAsia="宋体"/>
                      <w:color w:val="000000" w:themeColor="text1"/>
                      <w:szCs w:val="21"/>
                      <w:highlight w:val="none"/>
                      <w:lang w:val="en-US" w:eastAsia="zh-CN"/>
                      <w14:textFill>
                        <w14:solidFill>
                          <w14:schemeClr w14:val="tx1"/>
                        </w14:solidFill>
                      </w14:textFill>
                    </w:rPr>
                    <w:t>/</w:t>
                  </w:r>
                  <w:r>
                    <w:rPr>
                      <w:rFonts w:hint="eastAsia" w:ascii="Times New Roman" w:hAnsi="Times New Roman" w:eastAsia="宋体"/>
                      <w:color w:val="000000" w:themeColor="text1"/>
                      <w:szCs w:val="21"/>
                      <w:highlight w:val="none"/>
                      <w14:textFill>
                        <w14:solidFill>
                          <w14:schemeClr w14:val="tx1"/>
                        </w14:solidFill>
                      </w14:textFill>
                    </w:rPr>
                    <w:t>900-039-049</w:t>
                  </w:r>
                </w:p>
              </w:tc>
              <w:tc>
                <w:tcPr>
                  <w:tcW w:w="811" w:type="pct"/>
                  <w:tcBorders>
                    <w:tl2br w:val="nil"/>
                    <w:tr2bl w:val="nil"/>
                  </w:tcBorders>
                  <w:vAlign w:val="center"/>
                </w:tcPr>
                <w:p w14:paraId="7FCA95DD">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有机废物</w:t>
                  </w:r>
                </w:p>
              </w:tc>
              <w:tc>
                <w:tcPr>
                  <w:tcW w:w="655" w:type="pct"/>
                  <w:tcBorders>
                    <w:tl2br w:val="nil"/>
                    <w:tr2bl w:val="nil"/>
                  </w:tcBorders>
                  <w:vAlign w:val="center"/>
                </w:tcPr>
                <w:p w14:paraId="19E4468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T</w:t>
                  </w:r>
                </w:p>
              </w:tc>
            </w:tr>
            <w:tr w14:paraId="36FFA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29" w:type="pct"/>
                  <w:tcBorders>
                    <w:tl2br w:val="nil"/>
                    <w:tr2bl w:val="nil"/>
                  </w:tcBorders>
                  <w:vAlign w:val="center"/>
                </w:tcPr>
                <w:p w14:paraId="7A0A709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11</w:t>
                  </w:r>
                </w:p>
              </w:tc>
              <w:tc>
                <w:tcPr>
                  <w:tcW w:w="968" w:type="pct"/>
                  <w:tcBorders>
                    <w:tl2br w:val="nil"/>
                    <w:tr2bl w:val="nil"/>
                  </w:tcBorders>
                  <w:vAlign w:val="center"/>
                </w:tcPr>
                <w:p w14:paraId="7D8EFDFD">
                  <w:pPr>
                    <w:widowControl/>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生活垃圾</w:t>
                  </w:r>
                </w:p>
              </w:tc>
              <w:tc>
                <w:tcPr>
                  <w:tcW w:w="848" w:type="pct"/>
                  <w:tcBorders>
                    <w:tl2br w:val="nil"/>
                    <w:tr2bl w:val="nil"/>
                  </w:tcBorders>
                  <w:vAlign w:val="center"/>
                </w:tcPr>
                <w:p w14:paraId="71B2D3B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否</w:t>
                  </w:r>
                </w:p>
              </w:tc>
              <w:tc>
                <w:tcPr>
                  <w:tcW w:w="1286" w:type="pct"/>
                  <w:tcBorders>
                    <w:tl2br w:val="nil"/>
                    <w:tr2bl w:val="nil"/>
                  </w:tcBorders>
                  <w:vAlign w:val="center"/>
                </w:tcPr>
                <w:p w14:paraId="7470D03F">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cs="Times New Roman"/>
                      <w:color w:val="000000" w:themeColor="text1"/>
                      <w:sz w:val="21"/>
                      <w:szCs w:val="21"/>
                      <w:highlight w:val="none"/>
                      <w14:textFill>
                        <w14:solidFill>
                          <w14:schemeClr w14:val="tx1"/>
                        </w14:solidFill>
                      </w14:textFill>
                    </w:rPr>
                    <w:t>SW64/900-099-S64</w:t>
                  </w:r>
                </w:p>
              </w:tc>
              <w:tc>
                <w:tcPr>
                  <w:tcW w:w="811" w:type="pct"/>
                  <w:tcBorders>
                    <w:tl2br w:val="nil"/>
                    <w:tr2bl w:val="nil"/>
                  </w:tcBorders>
                  <w:vAlign w:val="center"/>
                </w:tcPr>
                <w:p w14:paraId="26F1E6B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p>
              </w:tc>
              <w:tc>
                <w:tcPr>
                  <w:tcW w:w="655" w:type="pct"/>
                  <w:tcBorders>
                    <w:tl2br w:val="nil"/>
                    <w:tr2bl w:val="nil"/>
                  </w:tcBorders>
                  <w:vAlign w:val="center"/>
                </w:tcPr>
                <w:p w14:paraId="292CCEA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p>
              </w:tc>
            </w:tr>
            <w:tr w14:paraId="06DBA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6"/>
                  <w:tcBorders>
                    <w:tl2br w:val="nil"/>
                    <w:tr2bl w:val="nil"/>
                  </w:tcBorders>
                  <w:vAlign w:val="center"/>
                </w:tcPr>
                <w:p w14:paraId="090E5B92">
                  <w:pPr>
                    <w:widowControl/>
                    <w:spacing w:before="78" w:beforeLines="25" w:after="78" w:afterLines="25" w:line="300" w:lineRule="auto"/>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注：</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“*”表示的危险特性，毒性（T）、易燃性（I）和感染性（In）。</w:t>
                  </w:r>
                </w:p>
              </w:tc>
            </w:tr>
          </w:tbl>
          <w:p w14:paraId="32DAB39A">
            <w:pPr>
              <w:spacing w:before="31" w:beforeLines="10" w:after="31" w:afterLines="10" w:line="372" w:lineRule="auto"/>
              <w:ind w:firstLine="482" w:firstLineChars="200"/>
              <w:rPr>
                <w:rFonts w:ascii="Times New Roman" w:hAnsi="Times New Roman" w:cs="宋体"/>
                <w:b/>
                <w:bCs/>
                <w:color w:val="000000" w:themeColor="text1"/>
                <w:sz w:val="24"/>
                <w:highlight w:val="none"/>
                <w14:textFill>
                  <w14:solidFill>
                    <w14:schemeClr w14:val="tx1"/>
                  </w14:solidFill>
                </w14:textFill>
              </w:rPr>
            </w:pPr>
            <w:r>
              <w:rPr>
                <w:rFonts w:hint="eastAsia" w:ascii="Times New Roman" w:hAnsi="Times New Roman" w:cs="宋体"/>
                <w:b/>
                <w:bCs/>
                <w:color w:val="000000" w:themeColor="text1"/>
                <w:sz w:val="24"/>
                <w:highlight w:val="none"/>
                <w14:textFill>
                  <w14:solidFill>
                    <w14:schemeClr w14:val="tx1"/>
                  </w14:solidFill>
                </w14:textFill>
              </w:rPr>
              <w:t>（2）固体废物防治措施及环境管理要求</w:t>
            </w:r>
          </w:p>
          <w:p w14:paraId="0B28E008">
            <w:pPr>
              <w:spacing w:before="31" w:beforeLines="10" w:after="31" w:afterLines="10" w:line="372" w:lineRule="auto"/>
              <w:ind w:firstLine="482" w:firstLineChars="200"/>
              <w:rPr>
                <w:rFonts w:ascii="Times New Roman" w:hAnsi="Times New Roman" w:cs="宋体"/>
                <w:b/>
                <w:bCs/>
                <w:color w:val="000000" w:themeColor="text1"/>
                <w:sz w:val="24"/>
                <w:highlight w:val="none"/>
                <w14:textFill>
                  <w14:solidFill>
                    <w14:schemeClr w14:val="tx1"/>
                  </w14:solidFill>
                </w14:textFill>
              </w:rPr>
            </w:pPr>
            <w:r>
              <w:rPr>
                <w:rFonts w:hint="eastAsia" w:ascii="Times New Roman" w:hAnsi="Times New Roman" w:cs="宋体"/>
                <w:b/>
                <w:bCs/>
                <w:color w:val="000000" w:themeColor="text1"/>
                <w:sz w:val="24"/>
                <w:highlight w:val="none"/>
                <w14:textFill>
                  <w14:solidFill>
                    <w14:schemeClr w14:val="tx1"/>
                  </w14:solidFill>
                </w14:textFill>
              </w:rPr>
              <w:t>① 固体废物防治措施</w:t>
            </w:r>
          </w:p>
          <w:p w14:paraId="75210191">
            <w:pPr>
              <w:numPr>
                <w:ilvl w:val="0"/>
                <w:numId w:val="8"/>
              </w:numPr>
              <w:spacing w:line="377" w:lineRule="auto"/>
              <w:ind w:left="0" w:firstLine="482" w:firstLineChars="200"/>
              <w:rPr>
                <w:rFonts w:hint="eastAsia" w:ascii="Times New Roman" w:hAnsi="Times New Roman"/>
                <w:b/>
                <w:bCs/>
                <w:color w:val="000000" w:themeColor="text1"/>
                <w:sz w:val="24"/>
                <w:highlight w:val="none"/>
                <w:u w:val="single"/>
                <w14:textFill>
                  <w14:solidFill>
                    <w14:schemeClr w14:val="tx1"/>
                  </w14:solidFill>
                </w14:textFill>
              </w:rPr>
            </w:pPr>
            <w:r>
              <w:rPr>
                <w:rFonts w:hint="eastAsia" w:ascii="Times New Roman" w:hAnsi="Times New Roman"/>
                <w:b/>
                <w:bCs/>
                <w:color w:val="000000" w:themeColor="text1"/>
                <w:sz w:val="24"/>
                <w:highlight w:val="none"/>
                <w:u w:val="single"/>
                <w:lang w:eastAsia="zh-CN"/>
                <w14:textFill>
                  <w14:solidFill>
                    <w14:schemeClr w14:val="tx1"/>
                  </w14:solidFill>
                </w14:textFill>
              </w:rPr>
              <w:t>生活垃圾</w:t>
            </w:r>
          </w:p>
          <w:p w14:paraId="7832FCC4">
            <w:pPr>
              <w:numPr>
                <w:ilvl w:val="0"/>
                <w:numId w:val="0"/>
              </w:numPr>
              <w:spacing w:line="377" w:lineRule="auto"/>
              <w:ind w:leftChars="200"/>
              <w:rPr>
                <w:rFonts w:hint="eastAsia" w:ascii="Times New Roman" w:hAnsi="Times New Roman" w:eastAsiaTheme="minorEastAsia"/>
                <w:color w:val="000000" w:themeColor="text1"/>
                <w:sz w:val="24"/>
                <w:highlight w:val="none"/>
                <w:lang w:eastAsia="zh-CN"/>
                <w14:textFill>
                  <w14:solidFill>
                    <w14:schemeClr w14:val="tx1"/>
                  </w14:solidFill>
                </w14:textFill>
              </w:rPr>
            </w:pPr>
            <w:r>
              <w:rPr>
                <w:rFonts w:hint="eastAsia" w:ascii="Times New Roman" w:hAnsi="Times New Roman"/>
                <w:color w:val="000000" w:themeColor="text1"/>
                <w:sz w:val="24"/>
                <w:highlight w:val="none"/>
                <w:lang w:eastAsia="zh-CN"/>
                <w14:textFill>
                  <w14:solidFill>
                    <w14:schemeClr w14:val="tx1"/>
                  </w14:solidFill>
                </w14:textFill>
              </w:rPr>
              <w:t>厂区内集中设置垃圾桶，交由环卫部门统一收运处置。</w:t>
            </w:r>
          </w:p>
          <w:p w14:paraId="3A275884">
            <w:pPr>
              <w:numPr>
                <w:ilvl w:val="0"/>
                <w:numId w:val="8"/>
              </w:numPr>
              <w:spacing w:line="377" w:lineRule="auto"/>
              <w:ind w:left="0" w:firstLine="482"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u w:val="single"/>
                <w14:textFill>
                  <w14:solidFill>
                    <w14:schemeClr w14:val="tx1"/>
                  </w14:solidFill>
                </w14:textFill>
              </w:rPr>
              <w:t>一般固废</w:t>
            </w:r>
            <w:r>
              <w:rPr>
                <w:rFonts w:hint="eastAsia" w:ascii="Times New Roman" w:hAnsi="Times New Roman"/>
                <w:color w:val="000000" w:themeColor="text1"/>
                <w:sz w:val="24"/>
                <w:highlight w:val="none"/>
                <w14:textFill>
                  <w14:solidFill>
                    <w14:schemeClr w14:val="tx1"/>
                  </w14:solidFill>
                </w14:textFill>
              </w:rPr>
              <w:t>：主要为废钢丸、次品除尘灰等，分类暂存于厂房西北侧一般固废区（面积约10m</w:t>
            </w:r>
            <w:r>
              <w:rPr>
                <w:rFonts w:hint="eastAsia" w:ascii="Times New Roman" w:hAnsi="Times New Roman"/>
                <w:color w:val="000000" w:themeColor="text1"/>
                <w:sz w:val="24"/>
                <w:highlight w:val="none"/>
                <w:vertAlign w:val="superscript"/>
                <w14:textFill>
                  <w14:solidFill>
                    <w14:schemeClr w14:val="tx1"/>
                  </w14:solidFill>
                </w14:textFill>
              </w:rPr>
              <w:t>2</w:t>
            </w:r>
            <w:r>
              <w:rPr>
                <w:rFonts w:hint="eastAsia" w:ascii="Times New Roman" w:hAnsi="Times New Roman"/>
                <w:color w:val="000000" w:themeColor="text1"/>
                <w:sz w:val="24"/>
                <w:highlight w:val="none"/>
                <w14:textFill>
                  <w14:solidFill>
                    <w14:schemeClr w14:val="tx1"/>
                  </w14:solidFill>
                </w14:textFill>
              </w:rPr>
              <w:t>），定期外售综合利用。</w:t>
            </w:r>
          </w:p>
          <w:p w14:paraId="127B8FFB">
            <w:pPr>
              <w:spacing w:line="377"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项目一般固废暂存区设置应符合《一般工业固体废物贮存和填埋污染控制标准》（GB 18599-2020）中要求：防渗漏、防雨淋、防扬尘等环境保护要求；同时按《环境保护图形标志固体废物贮存（处置）场》（GB15562.2）设置环保图形的警示、提示标志；暂存区不得混入生活垃圾或危险废物。</w:t>
            </w:r>
          </w:p>
          <w:p w14:paraId="294F435D">
            <w:pPr>
              <w:numPr>
                <w:ilvl w:val="0"/>
                <w:numId w:val="8"/>
              </w:numPr>
              <w:spacing w:line="377" w:lineRule="auto"/>
              <w:ind w:left="0" w:firstLine="482"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u w:val="single"/>
                <w14:textFill>
                  <w14:solidFill>
                    <w14:schemeClr w14:val="tx1"/>
                  </w14:solidFill>
                </w14:textFill>
              </w:rPr>
              <w:t>危险废物</w:t>
            </w:r>
            <w:r>
              <w:rPr>
                <w:rFonts w:hint="eastAsia" w:ascii="Times New Roman" w:hAnsi="Times New Roman"/>
                <w:color w:val="000000" w:themeColor="text1"/>
                <w:sz w:val="24"/>
                <w:highlight w:val="none"/>
                <w14:textFill>
                  <w14:solidFill>
                    <w14:schemeClr w14:val="tx1"/>
                  </w14:solidFill>
                </w14:textFill>
              </w:rPr>
              <w:t>：主要为</w:t>
            </w:r>
            <w:r>
              <w:rPr>
                <w:rFonts w:hint="eastAsia" w:ascii="Times New Roman" w:hAnsi="Times New Roman" w:eastAsia="宋体"/>
                <w:color w:val="000000" w:themeColor="text1"/>
                <w:sz w:val="24"/>
                <w:highlight w:val="none"/>
                <w14:textFill>
                  <w14:solidFill>
                    <w14:schemeClr w14:val="tx1"/>
                  </w14:solidFill>
                </w14:textFill>
              </w:rPr>
              <w:t>废机油、废油桶、含油废棉纱手套、废活性炭、空压机废油液</w:t>
            </w:r>
            <w:r>
              <w:rPr>
                <w:rFonts w:hint="eastAsia" w:ascii="Times New Roman" w:hAnsi="Times New Roman"/>
                <w:color w:val="000000" w:themeColor="text1"/>
                <w:sz w:val="24"/>
                <w:highlight w:val="none"/>
                <w14:textFill>
                  <w14:solidFill>
                    <w14:schemeClr w14:val="tx1"/>
                  </w14:solidFill>
                </w14:textFill>
              </w:rPr>
              <w:t>等，统一收集后，分类暂存于现有工程厂区新建的危废贮存点，定期交由有危险废物处理资质的单位转运处置。</w:t>
            </w:r>
          </w:p>
          <w:p w14:paraId="60D7FC95">
            <w:pPr>
              <w:spacing w:line="372"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危废贮存点面积约5m</w:t>
            </w:r>
            <w:r>
              <w:rPr>
                <w:rFonts w:hint="eastAsia" w:ascii="Times New Roman" w:hAnsi="Times New Roman"/>
                <w:color w:val="000000" w:themeColor="text1"/>
                <w:sz w:val="24"/>
                <w:highlight w:val="none"/>
                <w:vertAlign w:val="superscript"/>
                <w14:textFill>
                  <w14:solidFill>
                    <w14:schemeClr w14:val="tx1"/>
                  </w14:solidFill>
                </w14:textFill>
              </w:rPr>
              <w:t>2</w:t>
            </w:r>
            <w:r>
              <w:rPr>
                <w:rFonts w:hint="eastAsia" w:ascii="Times New Roman" w:hAnsi="Times New Roman"/>
                <w:color w:val="000000" w:themeColor="text1"/>
                <w:sz w:val="24"/>
                <w:highlight w:val="none"/>
                <w14:textFill>
                  <w14:solidFill>
                    <w14:schemeClr w14:val="tx1"/>
                  </w14:solidFill>
                </w14:textFill>
              </w:rPr>
              <w:t>，储存规模约0.5t（＜3t），严格采取“六防”措施，满足《危险废物贮存污染控制标准》（</w:t>
            </w:r>
            <w:r>
              <w:rPr>
                <w:rFonts w:ascii="Times New Roman" w:hAnsi="Times New Roman"/>
                <w:color w:val="000000" w:themeColor="text1"/>
                <w:sz w:val="24"/>
                <w:highlight w:val="none"/>
                <w14:textFill>
                  <w14:solidFill>
                    <w14:schemeClr w14:val="tx1"/>
                  </w14:solidFill>
                </w14:textFill>
              </w:rPr>
              <w:t>GB</w:t>
            </w:r>
            <w:r>
              <w:rPr>
                <w:rFonts w:hint="eastAsia" w:ascii="Times New Roman" w:hAnsi="Times New Roman"/>
                <w:color w:val="000000" w:themeColor="text1"/>
                <w:sz w:val="24"/>
                <w:highlight w:val="none"/>
                <w14:textFill>
                  <w14:solidFill>
                    <w14:schemeClr w14:val="tx1"/>
                  </w14:solidFill>
                </w14:textFill>
              </w:rPr>
              <w:t xml:space="preserve"> </w:t>
            </w:r>
            <w:r>
              <w:rPr>
                <w:rFonts w:ascii="Times New Roman" w:hAnsi="Times New Roman"/>
                <w:color w:val="000000" w:themeColor="text1"/>
                <w:sz w:val="24"/>
                <w:highlight w:val="none"/>
                <w14:textFill>
                  <w14:solidFill>
                    <w14:schemeClr w14:val="tx1"/>
                  </w14:solidFill>
                </w14:textFill>
              </w:rPr>
              <w:t>18597</w:t>
            </w:r>
            <w:r>
              <w:rPr>
                <w:rFonts w:hint="eastAsia" w:ascii="Times New Roman" w:hAnsi="Times New Roman"/>
                <w:color w:val="000000" w:themeColor="text1"/>
                <w:sz w:val="24"/>
                <w:highlight w:val="none"/>
                <w14:textFill>
                  <w14:solidFill>
                    <w14:schemeClr w14:val="tx1"/>
                  </w14:solidFill>
                </w14:textFill>
              </w:rPr>
              <w:t>-2023）的相关要求。危废贮存点由专人看守防遗失，并设置标识标牌、管理台账。</w:t>
            </w:r>
          </w:p>
          <w:p w14:paraId="5901CA00">
            <w:pPr>
              <w:spacing w:line="372"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运营期应严格按《中华人民共和国固体废物污染环境防治法》、《危险废物转移联单管理办法》等的规定，对厂区危险废物进行处置。转运处置前，厂内临时储存和运输也应按照危险废物管理和处置相关要求进行。</w:t>
            </w:r>
          </w:p>
          <w:p w14:paraId="34AF5517">
            <w:pPr>
              <w:spacing w:line="372"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项目危险废物贮存场所（设施）基本情况表见下表：</w:t>
            </w:r>
          </w:p>
          <w:p w14:paraId="45602D32">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表4-</w:t>
            </w:r>
            <w:r>
              <w:rPr>
                <w:rFonts w:hint="eastAsia" w:ascii="Times New Roman" w:hAnsi="Times New Roman" w:eastAsia="宋体" w:cs="Times New Roman"/>
                <w:color w:val="000000" w:themeColor="text1"/>
                <w:szCs w:val="24"/>
                <w:highlight w:val="none"/>
                <w14:textFill>
                  <w14:solidFill>
                    <w14:schemeClr w14:val="tx1"/>
                  </w14:solidFill>
                </w14:textFill>
              </w:rPr>
              <w:t>2</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2</w:t>
            </w:r>
            <w:r>
              <w:rPr>
                <w:rFonts w:ascii="Times New Roman" w:hAnsi="Times New Roman" w:eastAsia="宋体" w:cs="Times New Roman"/>
                <w:color w:val="000000" w:themeColor="text1"/>
                <w:szCs w:val="24"/>
                <w:highlight w:val="none"/>
                <w14:textFill>
                  <w14:solidFill>
                    <w14:schemeClr w14:val="tx1"/>
                  </w14:solidFill>
                </w14:textFill>
              </w:rPr>
              <w:t xml:space="preserve"> 项目危险废物贮存场所（设施）基本情况表</w:t>
            </w:r>
          </w:p>
          <w:tbl>
            <w:tblPr>
              <w:tblStyle w:val="27"/>
              <w:tblW w:w="495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45"/>
              <w:gridCol w:w="1187"/>
              <w:gridCol w:w="1014"/>
              <w:gridCol w:w="1179"/>
              <w:gridCol w:w="803"/>
              <w:gridCol w:w="797"/>
              <w:gridCol w:w="700"/>
              <w:gridCol w:w="700"/>
              <w:gridCol w:w="654"/>
            </w:tblGrid>
            <w:tr w14:paraId="7094F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1" w:type="pct"/>
                  <w:tcBorders>
                    <w:tl2br w:val="nil"/>
                    <w:tr2bl w:val="nil"/>
                  </w:tcBorders>
                  <w:vAlign w:val="center"/>
                </w:tcPr>
                <w:p w14:paraId="15B2A8D7">
                  <w:pPr>
                    <w:widowControl/>
                    <w:spacing w:before="78" w:beforeLines="25" w:after="78" w:afterLines="25"/>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贮存场所（设施）名称</w:t>
                  </w:r>
                </w:p>
              </w:tc>
              <w:tc>
                <w:tcPr>
                  <w:tcW w:w="707" w:type="pct"/>
                  <w:tcBorders>
                    <w:tl2br w:val="nil"/>
                    <w:tr2bl w:val="nil"/>
                  </w:tcBorders>
                  <w:vAlign w:val="center"/>
                </w:tcPr>
                <w:p w14:paraId="0203F323">
                  <w:pPr>
                    <w:widowControl/>
                    <w:spacing w:before="78" w:beforeLines="25" w:after="78" w:afterLines="25"/>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危险废物名称</w:t>
                  </w:r>
                </w:p>
              </w:tc>
              <w:tc>
                <w:tcPr>
                  <w:tcW w:w="605" w:type="pct"/>
                  <w:tcBorders>
                    <w:tl2br w:val="nil"/>
                    <w:tr2bl w:val="nil"/>
                  </w:tcBorders>
                  <w:vAlign w:val="center"/>
                </w:tcPr>
                <w:p w14:paraId="6C932D93">
                  <w:pPr>
                    <w:widowControl/>
                    <w:spacing w:before="78" w:beforeLines="25" w:after="78" w:afterLines="25"/>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危险废物类别</w:t>
                  </w:r>
                </w:p>
              </w:tc>
              <w:tc>
                <w:tcPr>
                  <w:tcW w:w="702" w:type="pct"/>
                  <w:tcBorders>
                    <w:tl2br w:val="nil"/>
                    <w:tr2bl w:val="nil"/>
                  </w:tcBorders>
                  <w:vAlign w:val="center"/>
                </w:tcPr>
                <w:p w14:paraId="65485285">
                  <w:pPr>
                    <w:widowControl/>
                    <w:spacing w:before="78" w:beforeLines="25" w:after="78" w:afterLines="25"/>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危险废物代码</w:t>
                  </w:r>
                </w:p>
              </w:tc>
              <w:tc>
                <w:tcPr>
                  <w:tcW w:w="479" w:type="pct"/>
                  <w:tcBorders>
                    <w:tl2br w:val="nil"/>
                    <w:tr2bl w:val="nil"/>
                  </w:tcBorders>
                  <w:vAlign w:val="center"/>
                </w:tcPr>
                <w:p w14:paraId="22929B4C">
                  <w:pPr>
                    <w:widowControl/>
                    <w:spacing w:before="78" w:beforeLines="25" w:after="78" w:afterLines="25"/>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位置</w:t>
                  </w:r>
                </w:p>
              </w:tc>
              <w:tc>
                <w:tcPr>
                  <w:tcW w:w="476" w:type="pct"/>
                  <w:tcBorders>
                    <w:tl2br w:val="nil"/>
                    <w:tr2bl w:val="nil"/>
                  </w:tcBorders>
                  <w:vAlign w:val="center"/>
                </w:tcPr>
                <w:p w14:paraId="6D5C8A6C">
                  <w:pPr>
                    <w:widowControl/>
                    <w:spacing w:before="78" w:beforeLines="25" w:after="78" w:afterLines="25"/>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占地面积（</w:t>
                  </w:r>
                  <w:r>
                    <w:rPr>
                      <w:rFonts w:ascii="Times New Roman" w:hAnsi="Times New Roman" w:eastAsia="宋体" w:cs="TimesNewRomanPSMT"/>
                      <w:b/>
                      <w:bCs/>
                      <w:color w:val="000000" w:themeColor="text1"/>
                      <w:kern w:val="0"/>
                      <w:szCs w:val="21"/>
                      <w:highlight w:val="none"/>
                      <w:lang w:bidi="ar"/>
                      <w14:textFill>
                        <w14:solidFill>
                          <w14:schemeClr w14:val="tx1"/>
                        </w14:solidFill>
                      </w14:textFill>
                    </w:rPr>
                    <w:t>m</w:t>
                  </w:r>
                  <w:r>
                    <w:rPr>
                      <w:rFonts w:ascii="Times New Roman" w:hAnsi="Times New Roman" w:eastAsia="宋体" w:cs="TimesNewRomanPSMT"/>
                      <w:b/>
                      <w:bCs/>
                      <w:color w:val="000000" w:themeColor="text1"/>
                      <w:kern w:val="0"/>
                      <w:szCs w:val="21"/>
                      <w:highlight w:val="none"/>
                      <w:vertAlign w:val="superscript"/>
                      <w:lang w:bidi="ar"/>
                      <w14:textFill>
                        <w14:solidFill>
                          <w14:schemeClr w14:val="tx1"/>
                        </w14:solidFill>
                      </w14:textFill>
                    </w:rPr>
                    <w:t>2</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w:t>
                  </w:r>
                </w:p>
              </w:tc>
              <w:tc>
                <w:tcPr>
                  <w:tcW w:w="418" w:type="pct"/>
                  <w:tcBorders>
                    <w:tl2br w:val="nil"/>
                    <w:tr2bl w:val="nil"/>
                  </w:tcBorders>
                  <w:vAlign w:val="center"/>
                </w:tcPr>
                <w:p w14:paraId="12374CF2">
                  <w:pPr>
                    <w:widowControl/>
                    <w:spacing w:before="78" w:beforeLines="25" w:after="78" w:afterLines="25"/>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贮存方式</w:t>
                  </w:r>
                </w:p>
              </w:tc>
              <w:tc>
                <w:tcPr>
                  <w:tcW w:w="418" w:type="pct"/>
                  <w:tcBorders>
                    <w:tl2br w:val="nil"/>
                    <w:tr2bl w:val="nil"/>
                  </w:tcBorders>
                  <w:vAlign w:val="center"/>
                </w:tcPr>
                <w:p w14:paraId="6E8F8F31">
                  <w:pPr>
                    <w:widowControl/>
                    <w:spacing w:before="78" w:beforeLines="25" w:after="78" w:afterLines="25"/>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贮存能力</w:t>
                  </w:r>
                </w:p>
              </w:tc>
              <w:tc>
                <w:tcPr>
                  <w:tcW w:w="390" w:type="pct"/>
                  <w:tcBorders>
                    <w:tl2br w:val="nil"/>
                    <w:tr2bl w:val="nil"/>
                  </w:tcBorders>
                  <w:vAlign w:val="center"/>
                </w:tcPr>
                <w:p w14:paraId="14753C3F">
                  <w:pPr>
                    <w:widowControl/>
                    <w:spacing w:before="78" w:beforeLines="25" w:after="78" w:afterLines="25"/>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贮存周期</w:t>
                  </w:r>
                </w:p>
              </w:tc>
            </w:tr>
            <w:tr w14:paraId="69A15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1" w:type="pct"/>
                  <w:vMerge w:val="restart"/>
                  <w:tcBorders>
                    <w:tl2br w:val="nil"/>
                    <w:tr2bl w:val="nil"/>
                  </w:tcBorders>
                  <w:vAlign w:val="center"/>
                </w:tcPr>
                <w:p w14:paraId="1CE170F1">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危废贮存点</w:t>
                  </w:r>
                </w:p>
              </w:tc>
              <w:tc>
                <w:tcPr>
                  <w:tcW w:w="707" w:type="pct"/>
                  <w:tcBorders>
                    <w:tl2br w:val="nil"/>
                    <w:tr2bl w:val="nil"/>
                  </w:tcBorders>
                  <w:vAlign w:val="center"/>
                </w:tcPr>
                <w:p w14:paraId="0FB6969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废机油</w:t>
                  </w:r>
                </w:p>
              </w:tc>
              <w:tc>
                <w:tcPr>
                  <w:tcW w:w="605" w:type="pct"/>
                  <w:tcBorders>
                    <w:tl2br w:val="nil"/>
                    <w:tr2bl w:val="nil"/>
                  </w:tcBorders>
                  <w:vAlign w:val="center"/>
                </w:tcPr>
                <w:p w14:paraId="6ABC95F7">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HW08</w:t>
                  </w:r>
                </w:p>
              </w:tc>
              <w:tc>
                <w:tcPr>
                  <w:tcW w:w="702" w:type="pct"/>
                  <w:tcBorders>
                    <w:tl2br w:val="nil"/>
                    <w:tr2bl w:val="nil"/>
                  </w:tcBorders>
                  <w:vAlign w:val="center"/>
                </w:tcPr>
                <w:p w14:paraId="5FD226E1">
                  <w:pPr>
                    <w:widowControl/>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900-214-08</w:t>
                  </w:r>
                </w:p>
              </w:tc>
              <w:tc>
                <w:tcPr>
                  <w:tcW w:w="479" w:type="pct"/>
                  <w:vMerge w:val="restart"/>
                  <w:tcBorders>
                    <w:tl2br w:val="nil"/>
                    <w:tr2bl w:val="nil"/>
                  </w:tcBorders>
                  <w:vAlign w:val="center"/>
                </w:tcPr>
                <w:p w14:paraId="1C2A7323">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位于厂房1F东侧单独设置</w:t>
                  </w:r>
                </w:p>
              </w:tc>
              <w:tc>
                <w:tcPr>
                  <w:tcW w:w="476" w:type="pct"/>
                  <w:vMerge w:val="restart"/>
                  <w:tcBorders>
                    <w:tl2br w:val="nil"/>
                    <w:tr2bl w:val="nil"/>
                  </w:tcBorders>
                  <w:vAlign w:val="center"/>
                </w:tcPr>
                <w:p w14:paraId="238FC0A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5m</w:t>
                  </w:r>
                  <w:r>
                    <w:rPr>
                      <w:rFonts w:hint="eastAsia" w:ascii="Times New Roman" w:hAnsi="Times New Roman" w:eastAsia="宋体" w:cs="宋体"/>
                      <w:color w:val="000000" w:themeColor="text1"/>
                      <w:kern w:val="0"/>
                      <w:szCs w:val="21"/>
                      <w:highlight w:val="none"/>
                      <w:vertAlign w:val="superscript"/>
                      <w:lang w:bidi="ar"/>
                      <w14:textFill>
                        <w14:solidFill>
                          <w14:schemeClr w14:val="tx1"/>
                        </w14:solidFill>
                      </w14:textFill>
                    </w:rPr>
                    <w:t>2</w:t>
                  </w:r>
                </w:p>
              </w:tc>
              <w:tc>
                <w:tcPr>
                  <w:tcW w:w="418" w:type="pct"/>
                  <w:tcBorders>
                    <w:tl2br w:val="nil"/>
                    <w:tr2bl w:val="nil"/>
                  </w:tcBorders>
                  <w:vAlign w:val="center"/>
                </w:tcPr>
                <w:p w14:paraId="5CDFD18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桶装</w:t>
                  </w:r>
                </w:p>
              </w:tc>
              <w:tc>
                <w:tcPr>
                  <w:tcW w:w="418" w:type="pct"/>
                  <w:tcBorders>
                    <w:tl2br w:val="nil"/>
                    <w:tr2bl w:val="nil"/>
                  </w:tcBorders>
                  <w:vAlign w:val="center"/>
                </w:tcPr>
                <w:p w14:paraId="11767E6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0.1t</w:t>
                  </w:r>
                </w:p>
              </w:tc>
              <w:tc>
                <w:tcPr>
                  <w:tcW w:w="390" w:type="pct"/>
                  <w:tcBorders>
                    <w:tl2br w:val="nil"/>
                    <w:tr2bl w:val="nil"/>
                  </w:tcBorders>
                  <w:vAlign w:val="center"/>
                </w:tcPr>
                <w:p w14:paraId="09DC75D6">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1年</w:t>
                  </w:r>
                </w:p>
              </w:tc>
            </w:tr>
            <w:tr w14:paraId="50489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1" w:type="pct"/>
                  <w:vMerge w:val="continue"/>
                  <w:tcBorders>
                    <w:tl2br w:val="nil"/>
                    <w:tr2bl w:val="nil"/>
                  </w:tcBorders>
                  <w:vAlign w:val="center"/>
                </w:tcPr>
                <w:p w14:paraId="6DAA8602">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707" w:type="pct"/>
                  <w:tcBorders>
                    <w:tl2br w:val="nil"/>
                    <w:tr2bl w:val="nil"/>
                  </w:tcBorders>
                  <w:vAlign w:val="center"/>
                </w:tcPr>
                <w:p w14:paraId="41E3FD7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废油桶</w:t>
                  </w:r>
                </w:p>
              </w:tc>
              <w:tc>
                <w:tcPr>
                  <w:tcW w:w="605" w:type="pct"/>
                  <w:tcBorders>
                    <w:tl2br w:val="nil"/>
                    <w:tr2bl w:val="nil"/>
                  </w:tcBorders>
                  <w:vAlign w:val="center"/>
                </w:tcPr>
                <w:p w14:paraId="628009CF">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HW08</w:t>
                  </w:r>
                </w:p>
              </w:tc>
              <w:tc>
                <w:tcPr>
                  <w:tcW w:w="702" w:type="pct"/>
                  <w:tcBorders>
                    <w:tl2br w:val="nil"/>
                    <w:tr2bl w:val="nil"/>
                  </w:tcBorders>
                  <w:vAlign w:val="center"/>
                </w:tcPr>
                <w:p w14:paraId="650537E4">
                  <w:pPr>
                    <w:widowControl/>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900-249-08</w:t>
                  </w:r>
                </w:p>
              </w:tc>
              <w:tc>
                <w:tcPr>
                  <w:tcW w:w="479" w:type="pct"/>
                  <w:vMerge w:val="continue"/>
                  <w:tcBorders>
                    <w:tl2br w:val="nil"/>
                    <w:tr2bl w:val="nil"/>
                  </w:tcBorders>
                  <w:vAlign w:val="center"/>
                </w:tcPr>
                <w:p w14:paraId="143E230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476" w:type="pct"/>
                  <w:vMerge w:val="continue"/>
                  <w:tcBorders>
                    <w:tl2br w:val="nil"/>
                    <w:tr2bl w:val="nil"/>
                  </w:tcBorders>
                  <w:vAlign w:val="center"/>
                </w:tcPr>
                <w:p w14:paraId="2ED2D7C1">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418" w:type="pct"/>
                  <w:tcBorders>
                    <w:tl2br w:val="nil"/>
                    <w:tr2bl w:val="nil"/>
                  </w:tcBorders>
                  <w:vAlign w:val="center"/>
                </w:tcPr>
                <w:p w14:paraId="69ABC58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堆放</w:t>
                  </w:r>
                </w:p>
              </w:tc>
              <w:tc>
                <w:tcPr>
                  <w:tcW w:w="418" w:type="pct"/>
                  <w:tcBorders>
                    <w:tl2br w:val="nil"/>
                    <w:tr2bl w:val="nil"/>
                  </w:tcBorders>
                  <w:vAlign w:val="center"/>
                </w:tcPr>
                <w:p w14:paraId="7DC5B1A4">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0.02t</w:t>
                  </w:r>
                </w:p>
              </w:tc>
              <w:tc>
                <w:tcPr>
                  <w:tcW w:w="390" w:type="pct"/>
                  <w:tcBorders>
                    <w:tl2br w:val="nil"/>
                    <w:tr2bl w:val="nil"/>
                  </w:tcBorders>
                  <w:vAlign w:val="center"/>
                </w:tcPr>
                <w:p w14:paraId="243CEC7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1年</w:t>
                  </w:r>
                </w:p>
              </w:tc>
            </w:tr>
            <w:tr w14:paraId="7497D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5" w:hRule="atLeast"/>
                <w:jc w:val="center"/>
              </w:trPr>
              <w:tc>
                <w:tcPr>
                  <w:tcW w:w="801" w:type="pct"/>
                  <w:vMerge w:val="continue"/>
                  <w:tcBorders>
                    <w:tl2br w:val="nil"/>
                    <w:tr2bl w:val="nil"/>
                  </w:tcBorders>
                  <w:vAlign w:val="center"/>
                </w:tcPr>
                <w:p w14:paraId="0BB818B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707" w:type="pct"/>
                  <w:tcBorders>
                    <w:tl2br w:val="nil"/>
                    <w:tr2bl w:val="nil"/>
                  </w:tcBorders>
                  <w:vAlign w:val="center"/>
                </w:tcPr>
                <w:p w14:paraId="30992908">
                  <w:pPr>
                    <w:widowControl/>
                    <w:spacing w:before="68" w:beforeLines="22" w:after="68" w:afterLines="22"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含油废棉纱、手套</w:t>
                  </w:r>
                </w:p>
              </w:tc>
              <w:tc>
                <w:tcPr>
                  <w:tcW w:w="605" w:type="pct"/>
                  <w:tcBorders>
                    <w:tl2br w:val="nil"/>
                    <w:tr2bl w:val="nil"/>
                  </w:tcBorders>
                  <w:vAlign w:val="center"/>
                </w:tcPr>
                <w:p w14:paraId="7EC7D7BE">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HW49</w:t>
                  </w:r>
                </w:p>
              </w:tc>
              <w:tc>
                <w:tcPr>
                  <w:tcW w:w="702" w:type="pct"/>
                  <w:tcBorders>
                    <w:tl2br w:val="nil"/>
                    <w:tr2bl w:val="nil"/>
                  </w:tcBorders>
                  <w:vAlign w:val="center"/>
                </w:tcPr>
                <w:p w14:paraId="53AC8AEF">
                  <w:pPr>
                    <w:widowControl/>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900-041-49</w:t>
                  </w:r>
                </w:p>
              </w:tc>
              <w:tc>
                <w:tcPr>
                  <w:tcW w:w="479" w:type="pct"/>
                  <w:vMerge w:val="continue"/>
                  <w:tcBorders>
                    <w:tl2br w:val="nil"/>
                    <w:tr2bl w:val="nil"/>
                  </w:tcBorders>
                  <w:vAlign w:val="center"/>
                </w:tcPr>
                <w:p w14:paraId="1D5AD6D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476" w:type="pct"/>
                  <w:vMerge w:val="continue"/>
                  <w:tcBorders>
                    <w:tl2br w:val="nil"/>
                    <w:tr2bl w:val="nil"/>
                  </w:tcBorders>
                  <w:vAlign w:val="center"/>
                </w:tcPr>
                <w:p w14:paraId="40F155D7">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418" w:type="pct"/>
                  <w:tcBorders>
                    <w:tl2br w:val="nil"/>
                    <w:tr2bl w:val="nil"/>
                  </w:tcBorders>
                  <w:vAlign w:val="center"/>
                </w:tcPr>
                <w:p w14:paraId="0577017C">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袋装</w:t>
                  </w:r>
                </w:p>
              </w:tc>
              <w:tc>
                <w:tcPr>
                  <w:tcW w:w="418" w:type="pct"/>
                  <w:tcBorders>
                    <w:tl2br w:val="nil"/>
                    <w:tr2bl w:val="nil"/>
                  </w:tcBorders>
                  <w:vAlign w:val="center"/>
                </w:tcPr>
                <w:p w14:paraId="4180A67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0.05t</w:t>
                  </w:r>
                </w:p>
              </w:tc>
              <w:tc>
                <w:tcPr>
                  <w:tcW w:w="390" w:type="pct"/>
                  <w:tcBorders>
                    <w:tl2br w:val="nil"/>
                    <w:tr2bl w:val="nil"/>
                  </w:tcBorders>
                  <w:vAlign w:val="center"/>
                </w:tcPr>
                <w:p w14:paraId="7F8035AB">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1年</w:t>
                  </w:r>
                </w:p>
              </w:tc>
            </w:tr>
            <w:tr w14:paraId="22510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1" w:type="pct"/>
                  <w:vMerge w:val="continue"/>
                  <w:tcBorders>
                    <w:tl2br w:val="nil"/>
                    <w:tr2bl w:val="nil"/>
                  </w:tcBorders>
                  <w:vAlign w:val="center"/>
                </w:tcPr>
                <w:p w14:paraId="7F533A00">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707" w:type="pct"/>
                  <w:tcBorders>
                    <w:tl2br w:val="nil"/>
                    <w:tr2bl w:val="nil"/>
                  </w:tcBorders>
                  <w:vAlign w:val="center"/>
                </w:tcPr>
                <w:p w14:paraId="36E50AB6">
                  <w:pPr>
                    <w:widowControl/>
                    <w:spacing w:before="68" w:beforeLines="22" w:after="68" w:afterLines="22"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废活性炭、废过滤棉</w:t>
                  </w:r>
                </w:p>
              </w:tc>
              <w:tc>
                <w:tcPr>
                  <w:tcW w:w="605" w:type="pct"/>
                  <w:tcBorders>
                    <w:tl2br w:val="nil"/>
                    <w:tr2bl w:val="nil"/>
                  </w:tcBorders>
                  <w:vAlign w:val="center"/>
                </w:tcPr>
                <w:p w14:paraId="0BD8B393">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HW49</w:t>
                  </w:r>
                </w:p>
              </w:tc>
              <w:tc>
                <w:tcPr>
                  <w:tcW w:w="702" w:type="pct"/>
                  <w:tcBorders>
                    <w:tl2br w:val="nil"/>
                    <w:tr2bl w:val="nil"/>
                  </w:tcBorders>
                  <w:vAlign w:val="center"/>
                </w:tcPr>
                <w:p w14:paraId="136DBE82">
                  <w:pPr>
                    <w:widowControl/>
                    <w:spacing w:before="78" w:beforeLines="25" w:after="78" w:afterLines="25" w:line="300"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900-039-49</w:t>
                  </w:r>
                </w:p>
              </w:tc>
              <w:tc>
                <w:tcPr>
                  <w:tcW w:w="479" w:type="pct"/>
                  <w:vMerge w:val="continue"/>
                  <w:tcBorders>
                    <w:tl2br w:val="nil"/>
                    <w:tr2bl w:val="nil"/>
                  </w:tcBorders>
                  <w:vAlign w:val="center"/>
                </w:tcPr>
                <w:p w14:paraId="74324C3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476" w:type="pct"/>
                  <w:vMerge w:val="continue"/>
                  <w:tcBorders>
                    <w:tl2br w:val="nil"/>
                    <w:tr2bl w:val="nil"/>
                  </w:tcBorders>
                  <w:vAlign w:val="center"/>
                </w:tcPr>
                <w:p w14:paraId="48A34674">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418" w:type="pct"/>
                  <w:tcBorders>
                    <w:tl2br w:val="nil"/>
                    <w:tr2bl w:val="nil"/>
                  </w:tcBorders>
                  <w:vAlign w:val="center"/>
                </w:tcPr>
                <w:p w14:paraId="3AD2B3DF">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袋装</w:t>
                  </w:r>
                </w:p>
              </w:tc>
              <w:tc>
                <w:tcPr>
                  <w:tcW w:w="418" w:type="pct"/>
                  <w:tcBorders>
                    <w:tl2br w:val="nil"/>
                    <w:tr2bl w:val="nil"/>
                  </w:tcBorders>
                  <w:vAlign w:val="center"/>
                </w:tcPr>
                <w:p w14:paraId="404B42C9">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1.016</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t</w:t>
                  </w:r>
                </w:p>
              </w:tc>
              <w:tc>
                <w:tcPr>
                  <w:tcW w:w="390" w:type="pct"/>
                  <w:tcBorders>
                    <w:tl2br w:val="nil"/>
                    <w:tr2bl w:val="nil"/>
                  </w:tcBorders>
                  <w:vAlign w:val="center"/>
                </w:tcPr>
                <w:p w14:paraId="224DEB85">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1年</w:t>
                  </w:r>
                </w:p>
              </w:tc>
            </w:tr>
            <w:tr w14:paraId="56BDE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01" w:type="pct"/>
                  <w:vMerge w:val="continue"/>
                  <w:tcBorders>
                    <w:tl2br w:val="nil"/>
                    <w:tr2bl w:val="nil"/>
                  </w:tcBorders>
                  <w:vAlign w:val="center"/>
                </w:tcPr>
                <w:p w14:paraId="18841E53">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707" w:type="pct"/>
                  <w:tcBorders>
                    <w:tl2br w:val="nil"/>
                    <w:tr2bl w:val="nil"/>
                  </w:tcBorders>
                  <w:vAlign w:val="center"/>
                </w:tcPr>
                <w:p w14:paraId="1F8C2607">
                  <w:pPr>
                    <w:widowControl/>
                    <w:spacing w:before="68" w:beforeLines="22" w:after="68" w:afterLines="22"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空压机废油液</w:t>
                  </w:r>
                </w:p>
              </w:tc>
              <w:tc>
                <w:tcPr>
                  <w:tcW w:w="605" w:type="pct"/>
                  <w:tcBorders>
                    <w:tl2br w:val="nil"/>
                    <w:tr2bl w:val="nil"/>
                  </w:tcBorders>
                  <w:vAlign w:val="center"/>
                </w:tcPr>
                <w:p w14:paraId="5E9BA625">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HW08</w:t>
                  </w:r>
                </w:p>
              </w:tc>
              <w:tc>
                <w:tcPr>
                  <w:tcW w:w="702" w:type="pct"/>
                  <w:tcBorders>
                    <w:tl2br w:val="nil"/>
                    <w:tr2bl w:val="nil"/>
                  </w:tcBorders>
                  <w:vAlign w:val="center"/>
                </w:tcPr>
                <w:p w14:paraId="1441BDD9">
                  <w:pPr>
                    <w:widowControl/>
                    <w:spacing w:before="78" w:beforeLines="25" w:after="78" w:afterLines="25" w:line="300"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900-007-09</w:t>
                  </w:r>
                </w:p>
              </w:tc>
              <w:tc>
                <w:tcPr>
                  <w:tcW w:w="479" w:type="pct"/>
                  <w:vMerge w:val="continue"/>
                  <w:tcBorders>
                    <w:tl2br w:val="nil"/>
                    <w:tr2bl w:val="nil"/>
                  </w:tcBorders>
                  <w:vAlign w:val="center"/>
                </w:tcPr>
                <w:p w14:paraId="391CF098">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476" w:type="pct"/>
                  <w:vMerge w:val="continue"/>
                  <w:tcBorders>
                    <w:tl2br w:val="nil"/>
                    <w:tr2bl w:val="nil"/>
                  </w:tcBorders>
                  <w:vAlign w:val="center"/>
                </w:tcPr>
                <w:p w14:paraId="2646CAFE">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p>
              </w:tc>
              <w:tc>
                <w:tcPr>
                  <w:tcW w:w="418" w:type="pct"/>
                  <w:tcBorders>
                    <w:tl2br w:val="nil"/>
                    <w:tr2bl w:val="nil"/>
                  </w:tcBorders>
                  <w:vAlign w:val="center"/>
                </w:tcPr>
                <w:p w14:paraId="04E6289A">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桶装</w:t>
                  </w:r>
                </w:p>
              </w:tc>
              <w:tc>
                <w:tcPr>
                  <w:tcW w:w="418" w:type="pct"/>
                  <w:tcBorders>
                    <w:tl2br w:val="nil"/>
                    <w:tr2bl w:val="nil"/>
                  </w:tcBorders>
                  <w:vAlign w:val="center"/>
                </w:tcPr>
                <w:p w14:paraId="0CB04383">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0.1t</w:t>
                  </w:r>
                </w:p>
              </w:tc>
              <w:tc>
                <w:tcPr>
                  <w:tcW w:w="390" w:type="pct"/>
                  <w:tcBorders>
                    <w:tl2br w:val="nil"/>
                    <w:tr2bl w:val="nil"/>
                  </w:tcBorders>
                  <w:vAlign w:val="center"/>
                </w:tcPr>
                <w:p w14:paraId="611AA878">
                  <w:pPr>
                    <w:widowControl/>
                    <w:spacing w:before="78" w:beforeLines="25" w:after="78" w:afterLines="25"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1年</w:t>
                  </w:r>
                </w:p>
              </w:tc>
            </w:tr>
          </w:tbl>
          <w:p w14:paraId="4D495878">
            <w:pPr>
              <w:spacing w:before="31" w:beforeLines="10" w:after="31" w:afterLines="10" w:line="360" w:lineRule="auto"/>
              <w:ind w:firstLine="482" w:firstLineChars="200"/>
              <w:rPr>
                <w:rFonts w:ascii="Times New Roman" w:hAnsi="Times New Roman" w:cs="宋体"/>
                <w:b/>
                <w:bCs/>
                <w:color w:val="000000" w:themeColor="text1"/>
                <w:sz w:val="24"/>
                <w:highlight w:val="none"/>
                <w14:textFill>
                  <w14:solidFill>
                    <w14:schemeClr w14:val="tx1"/>
                  </w14:solidFill>
                </w14:textFill>
              </w:rPr>
            </w:pPr>
            <w:r>
              <w:rPr>
                <w:rFonts w:hint="eastAsia" w:ascii="Times New Roman" w:hAnsi="Times New Roman" w:cs="宋体"/>
                <w:b/>
                <w:bCs/>
                <w:color w:val="000000" w:themeColor="text1"/>
                <w:sz w:val="24"/>
                <w:highlight w:val="none"/>
                <w14:textFill>
                  <w14:solidFill>
                    <w14:schemeClr w14:val="tx1"/>
                  </w14:solidFill>
                </w14:textFill>
              </w:rPr>
              <w:t>② 环境管理要求</w:t>
            </w:r>
          </w:p>
          <w:p w14:paraId="11D3D634">
            <w:pPr>
              <w:spacing w:line="372" w:lineRule="auto"/>
              <w:ind w:firstLine="482"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a、</w:t>
            </w:r>
            <w:r>
              <w:rPr>
                <w:rFonts w:hint="eastAsia" w:ascii="Times New Roman" w:hAnsi="Times New Roman"/>
                <w:color w:val="000000" w:themeColor="text1"/>
                <w:sz w:val="24"/>
                <w:highlight w:val="none"/>
                <w14:textFill>
                  <w14:solidFill>
                    <w14:schemeClr w14:val="tx1"/>
                  </w14:solidFill>
                </w14:textFill>
              </w:rPr>
              <w:t>危险废物收集装于密闭容器内，容器选用与装盛物相容的材料制成，容器表面应粘贴危险废物标识，禁止将一般固废和生活垃圾混合。</w:t>
            </w:r>
          </w:p>
          <w:p w14:paraId="06CD3DDE">
            <w:pPr>
              <w:spacing w:line="372" w:lineRule="auto"/>
              <w:ind w:firstLine="482"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b、</w:t>
            </w:r>
            <w:r>
              <w:rPr>
                <w:rFonts w:hint="eastAsia" w:ascii="Times New Roman" w:hAnsi="Times New Roman"/>
                <w:color w:val="000000" w:themeColor="text1"/>
                <w:sz w:val="24"/>
                <w:highlight w:val="none"/>
                <w14:textFill>
                  <w14:solidFill>
                    <w14:schemeClr w14:val="tx1"/>
                  </w14:solidFill>
                </w14:textFill>
              </w:rPr>
              <w:t>不相容的危险废物必须分开存放，并设有隔离间隔断。</w:t>
            </w:r>
          </w:p>
          <w:p w14:paraId="0ACB313D">
            <w:pPr>
              <w:spacing w:line="372" w:lineRule="auto"/>
              <w:ind w:firstLine="482"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c、</w:t>
            </w:r>
            <w:r>
              <w:rPr>
                <w:rFonts w:hint="eastAsia" w:ascii="Times New Roman" w:hAnsi="Times New Roman"/>
                <w:color w:val="000000" w:themeColor="text1"/>
                <w:sz w:val="24"/>
                <w:highlight w:val="none"/>
                <w14:textFill>
                  <w14:solidFill>
                    <w14:schemeClr w14:val="tx1"/>
                  </w14:solidFill>
                </w14:textFill>
              </w:rPr>
              <w:t>危险废物贮存设施必须按照</w:t>
            </w:r>
            <w:r>
              <w:rPr>
                <w:rFonts w:ascii="Times New Roman" w:hAnsi="Times New Roman"/>
                <w:color w:val="000000" w:themeColor="text1"/>
                <w:sz w:val="24"/>
                <w:highlight w:val="none"/>
                <w14:textFill>
                  <w14:solidFill>
                    <w14:schemeClr w14:val="tx1"/>
                  </w14:solidFill>
                </w14:textFill>
              </w:rPr>
              <w:t>GB15562.2</w:t>
            </w:r>
            <w:r>
              <w:rPr>
                <w:rFonts w:hint="eastAsia" w:ascii="Times New Roman" w:hAnsi="Times New Roman"/>
                <w:color w:val="000000" w:themeColor="text1"/>
                <w:sz w:val="24"/>
                <w:highlight w:val="none"/>
                <w14:textFill>
                  <w14:solidFill>
                    <w14:schemeClr w14:val="tx1"/>
                  </w14:solidFill>
                </w14:textFill>
              </w:rPr>
              <w:t>的规定设置警示标志。</w:t>
            </w:r>
          </w:p>
          <w:p w14:paraId="302C9E7E">
            <w:pPr>
              <w:spacing w:line="372" w:lineRule="auto"/>
              <w:ind w:firstLine="482"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d、</w:t>
            </w:r>
            <w:r>
              <w:rPr>
                <w:rFonts w:hint="eastAsia" w:ascii="Times New Roman" w:hAnsi="Times New Roman"/>
                <w:color w:val="000000" w:themeColor="text1"/>
                <w:sz w:val="24"/>
                <w:highlight w:val="none"/>
                <w14:textFill>
                  <w14:solidFill>
                    <w14:schemeClr w14:val="tx1"/>
                  </w14:solidFill>
                </w14:textFill>
              </w:rPr>
              <w:t>企业内部需建立危废台账管理，危险废物转移应按照转移联单登记制度转移，必须交有危险废物处理资质且具备该类危废收纳资格方位的单位。</w:t>
            </w:r>
          </w:p>
          <w:p w14:paraId="3AC91D7E">
            <w:pPr>
              <w:spacing w:line="372" w:lineRule="auto"/>
              <w:ind w:firstLine="482"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b/>
                <w:bCs/>
                <w:color w:val="000000" w:themeColor="text1"/>
                <w:sz w:val="24"/>
                <w:highlight w:val="none"/>
                <w14:textFill>
                  <w14:solidFill>
                    <w14:schemeClr w14:val="tx1"/>
                  </w14:solidFill>
                </w14:textFill>
              </w:rPr>
              <w:t>e、</w:t>
            </w:r>
            <w:r>
              <w:rPr>
                <w:rFonts w:hint="eastAsia" w:ascii="Times New Roman" w:hAnsi="Times New Roman"/>
                <w:color w:val="000000" w:themeColor="text1"/>
                <w:sz w:val="24"/>
                <w:highlight w:val="none"/>
                <w14:textFill>
                  <w14:solidFill>
                    <w14:schemeClr w14:val="tx1"/>
                  </w14:solidFill>
                </w14:textFill>
              </w:rPr>
              <w:t>根据企业生产情况定期转移危险废物，贮存期限一般不超过</w:t>
            </w:r>
            <w:r>
              <w:rPr>
                <w:rFonts w:ascii="Times New Roman" w:hAnsi="Times New Roman"/>
                <w:color w:val="000000" w:themeColor="text1"/>
                <w:sz w:val="24"/>
                <w:highlight w:val="none"/>
                <w14:textFill>
                  <w14:solidFill>
                    <w14:schemeClr w14:val="tx1"/>
                  </w14:solidFill>
                </w14:textFill>
              </w:rPr>
              <w:t>1</w:t>
            </w:r>
            <w:r>
              <w:rPr>
                <w:rFonts w:hint="eastAsia" w:ascii="Times New Roman" w:hAnsi="Times New Roman"/>
                <w:color w:val="000000" w:themeColor="text1"/>
                <w:sz w:val="24"/>
                <w:highlight w:val="none"/>
                <w14:textFill>
                  <w14:solidFill>
                    <w14:schemeClr w14:val="tx1"/>
                  </w14:solidFill>
                </w14:textFill>
              </w:rPr>
              <w:t>年，超过</w:t>
            </w:r>
            <w:r>
              <w:rPr>
                <w:rFonts w:ascii="Times New Roman" w:hAnsi="Times New Roman"/>
                <w:color w:val="000000" w:themeColor="text1"/>
                <w:sz w:val="24"/>
                <w:highlight w:val="none"/>
                <w14:textFill>
                  <w14:solidFill>
                    <w14:schemeClr w14:val="tx1"/>
                  </w14:solidFill>
                </w14:textFill>
              </w:rPr>
              <w:t>1</w:t>
            </w:r>
            <w:r>
              <w:rPr>
                <w:rFonts w:hint="eastAsia" w:ascii="Times New Roman" w:hAnsi="Times New Roman"/>
                <w:color w:val="000000" w:themeColor="text1"/>
                <w:sz w:val="24"/>
                <w:highlight w:val="none"/>
                <w14:textFill>
                  <w14:solidFill>
                    <w14:schemeClr w14:val="tx1"/>
                  </w14:solidFill>
                </w14:textFill>
              </w:rPr>
              <w:t>年需补办延期转移批复。</w:t>
            </w:r>
          </w:p>
          <w:p w14:paraId="507D3CD2">
            <w:pPr>
              <w:spacing w:line="372" w:lineRule="auto"/>
              <w:ind w:firstLine="480" w:firstLineChars="200"/>
              <w:rPr>
                <w:rFonts w:ascii="Times New Roman" w:hAnsi="Times New Roman"/>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通过上述方法妥善处置后，本项目产生的固废对周围环境影响较小。</w:t>
            </w:r>
          </w:p>
          <w:p w14:paraId="6F931A28">
            <w:pPr>
              <w:pStyle w:val="21"/>
              <w:widowControl w:val="0"/>
              <w:spacing w:before="31" w:beforeLines="10" w:beforeAutospacing="0" w:after="31" w:afterLines="10" w:afterAutospacing="0" w:line="360" w:lineRule="auto"/>
              <w:jc w:val="both"/>
              <w:rPr>
                <w:rFonts w:ascii="Times New Roman" w:hAnsi="Times New Roman" w:eastAsia="宋体" w:cs="宋体"/>
                <w:b/>
                <w:bCs/>
                <w:color w:val="000000" w:themeColor="text1"/>
                <w:szCs w:val="24"/>
                <w:highlight w:val="none"/>
                <w:lang w:bidi="ar"/>
                <w14:textFill>
                  <w14:solidFill>
                    <w14:schemeClr w14:val="tx1"/>
                  </w14:solidFill>
                </w14:textFill>
              </w:rPr>
            </w:pPr>
            <w:r>
              <w:rPr>
                <w:rFonts w:hint="eastAsia" w:ascii="Times New Roman" w:hAnsi="Times New Roman" w:eastAsia="宋体" w:cs="宋体"/>
                <w:b/>
                <w:bCs/>
                <w:color w:val="000000" w:themeColor="text1"/>
                <w:szCs w:val="24"/>
                <w:highlight w:val="none"/>
                <w:lang w:bidi="ar"/>
                <w14:textFill>
                  <w14:solidFill>
                    <w14:schemeClr w14:val="tx1"/>
                  </w14:solidFill>
                </w14:textFill>
              </w:rPr>
              <w:t>5、运营期环境风险及防范措施：</w:t>
            </w:r>
          </w:p>
          <w:p w14:paraId="795F5083">
            <w:pPr>
              <w:spacing w:before="31" w:beforeLines="10" w:after="31" w:afterLines="10" w:line="360" w:lineRule="auto"/>
              <w:ind w:firstLine="482" w:firstLineChars="200"/>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（1）环境风险识别</w:t>
            </w:r>
          </w:p>
          <w:p w14:paraId="58A0A5A7">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按照《建设项目环境风险评价技术导则》（HJ169-2018）附录</w:t>
            </w:r>
            <w:r>
              <w:rPr>
                <w:rFonts w:ascii="Times New Roman" w:hAnsi="Times New Roman" w:eastAsia="宋体"/>
                <w:color w:val="000000" w:themeColor="text1"/>
                <w:sz w:val="24"/>
                <w:highlight w:val="none"/>
                <w14:textFill>
                  <w14:solidFill>
                    <w14:schemeClr w14:val="tx1"/>
                  </w14:solidFill>
                </w14:textFill>
              </w:rPr>
              <w:t>B</w:t>
            </w:r>
            <w:r>
              <w:rPr>
                <w:rFonts w:hint="eastAsia" w:ascii="Times New Roman" w:hAnsi="Times New Roman" w:eastAsia="宋体"/>
                <w:color w:val="000000" w:themeColor="text1"/>
                <w:sz w:val="24"/>
                <w:highlight w:val="none"/>
                <w14:textFill>
                  <w14:solidFill>
                    <w14:schemeClr w14:val="tx1"/>
                  </w14:solidFill>
                </w14:textFill>
              </w:rPr>
              <w:t>及《企业突发环境事件风险分级方法》（</w:t>
            </w:r>
            <w:r>
              <w:rPr>
                <w:rFonts w:ascii="Times New Roman" w:hAnsi="Times New Roman" w:eastAsia="宋体"/>
                <w:color w:val="000000" w:themeColor="text1"/>
                <w:sz w:val="24"/>
                <w:highlight w:val="none"/>
                <w14:textFill>
                  <w14:solidFill>
                    <w14:schemeClr w14:val="tx1"/>
                  </w14:solidFill>
                </w14:textFill>
              </w:rPr>
              <w:t>HJ941-2018</w:t>
            </w:r>
            <w:r>
              <w:rPr>
                <w:rFonts w:hint="eastAsia" w:ascii="Times New Roman" w:hAnsi="Times New Roman" w:eastAsia="宋体"/>
                <w:color w:val="000000" w:themeColor="text1"/>
                <w:sz w:val="24"/>
                <w:highlight w:val="none"/>
                <w14:textFill>
                  <w14:solidFill>
                    <w14:schemeClr w14:val="tx1"/>
                  </w14:solidFill>
                </w14:textFill>
              </w:rPr>
              <w:t>）中“附录</w:t>
            </w:r>
            <w:r>
              <w:rPr>
                <w:rFonts w:ascii="Times New Roman" w:hAnsi="Times New Roman" w:eastAsia="宋体"/>
                <w:color w:val="000000" w:themeColor="text1"/>
                <w:sz w:val="24"/>
                <w:highlight w:val="none"/>
                <w14:textFill>
                  <w14:solidFill>
                    <w14:schemeClr w14:val="tx1"/>
                  </w14:solidFill>
                </w14:textFill>
              </w:rPr>
              <w:t>A</w:t>
            </w:r>
            <w:r>
              <w:rPr>
                <w:rFonts w:hint="eastAsia" w:ascii="Times New Roman" w:hAnsi="Times New Roman" w:eastAsia="宋体"/>
                <w:color w:val="000000" w:themeColor="text1"/>
                <w:sz w:val="24"/>
                <w:highlight w:val="none"/>
                <w14:textFill>
                  <w14:solidFill>
                    <w14:schemeClr w14:val="tx1"/>
                  </w14:solidFill>
                </w14:textFill>
              </w:rPr>
              <w:t>突发环境事件风险物质及临界量清单”，本项目涉及的风险物质为：空压机废油、废机油、</w:t>
            </w:r>
            <w:r>
              <w:rPr>
                <w:rFonts w:hint="eastAsia" w:ascii="Times New Roman" w:hAnsi="Times New Roman" w:eastAsia="宋体"/>
                <w:color w:val="000000" w:themeColor="text1"/>
                <w:sz w:val="24"/>
                <w:highlight w:val="none"/>
                <w:lang w:eastAsia="zh-CN"/>
                <w14:textFill>
                  <w14:solidFill>
                    <w14:schemeClr w14:val="tx1"/>
                  </w14:solidFill>
                </w14:textFill>
              </w:rPr>
              <w:t>液体石蜡</w:t>
            </w:r>
            <w:r>
              <w:rPr>
                <w:rFonts w:hint="eastAsia" w:ascii="Times New Roman" w:hAnsi="Times New Roman" w:eastAsia="宋体"/>
                <w:color w:val="000000" w:themeColor="text1"/>
                <w:sz w:val="24"/>
                <w:highlight w:val="none"/>
                <w14:textFill>
                  <w14:solidFill>
                    <w14:schemeClr w14:val="tx1"/>
                  </w14:solidFill>
                </w14:textFill>
              </w:rPr>
              <w:t>等。</w:t>
            </w:r>
          </w:p>
          <w:p w14:paraId="25FFDF72">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本项目环境风险物质情况详见下表：</w:t>
            </w:r>
          </w:p>
          <w:p w14:paraId="642BE1D8">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表4-2</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3</w:t>
            </w:r>
            <w:r>
              <w:rPr>
                <w:rFonts w:ascii="Times New Roman" w:hAnsi="Times New Roman" w:eastAsia="宋体" w:cs="Times New Roman"/>
                <w:color w:val="000000" w:themeColor="text1"/>
                <w:szCs w:val="24"/>
                <w:highlight w:val="none"/>
                <w14:textFill>
                  <w14:solidFill>
                    <w14:schemeClr w14:val="tx1"/>
                  </w14:solidFill>
                </w14:textFill>
              </w:rPr>
              <w:t xml:space="preserve">  环境风险物质情况表 单位：t</w:t>
            </w:r>
          </w:p>
          <w:tbl>
            <w:tblPr>
              <w:tblStyle w:val="27"/>
              <w:tblW w:w="496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88"/>
              <w:gridCol w:w="1198"/>
              <w:gridCol w:w="971"/>
              <w:gridCol w:w="1065"/>
              <w:gridCol w:w="1045"/>
              <w:gridCol w:w="788"/>
              <w:gridCol w:w="1245"/>
              <w:gridCol w:w="890"/>
            </w:tblGrid>
            <w:tr w14:paraId="6E282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pct"/>
                  <w:tcBorders>
                    <w:tl2br w:val="nil"/>
                    <w:tr2bl w:val="nil"/>
                  </w:tcBorders>
                  <w:vAlign w:val="center"/>
                </w:tcPr>
                <w:p w14:paraId="0283F59D">
                  <w:pPr>
                    <w:widowControl/>
                    <w:spacing w:before="71" w:beforeLines="23" w:after="71" w:afterLines="23"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名称</w:t>
                  </w:r>
                </w:p>
              </w:tc>
              <w:tc>
                <w:tcPr>
                  <w:tcW w:w="713" w:type="pct"/>
                  <w:tcBorders>
                    <w:tl2br w:val="nil"/>
                    <w:tr2bl w:val="nil"/>
                  </w:tcBorders>
                  <w:vAlign w:val="center"/>
                </w:tcPr>
                <w:p w14:paraId="1B7228DB">
                  <w:pPr>
                    <w:widowControl/>
                    <w:spacing w:before="71" w:beforeLines="23" w:after="71" w:afterLines="23" w:line="300" w:lineRule="auto"/>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最大储存量</w:t>
                  </w:r>
                </w:p>
              </w:tc>
              <w:tc>
                <w:tcPr>
                  <w:tcW w:w="578" w:type="pct"/>
                  <w:tcBorders>
                    <w:tl2br w:val="nil"/>
                    <w:tr2bl w:val="nil"/>
                  </w:tcBorders>
                  <w:vAlign w:val="center"/>
                </w:tcPr>
                <w:p w14:paraId="05962278">
                  <w:pPr>
                    <w:widowControl/>
                    <w:spacing w:before="71" w:beforeLines="23" w:after="71" w:afterLines="23"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临界量</w:t>
                  </w:r>
                </w:p>
              </w:tc>
              <w:tc>
                <w:tcPr>
                  <w:tcW w:w="634" w:type="pct"/>
                  <w:tcBorders>
                    <w:tl2br w:val="nil"/>
                    <w:tr2bl w:val="nil"/>
                  </w:tcBorders>
                  <w:vAlign w:val="center"/>
                </w:tcPr>
                <w:p w14:paraId="6BB515F4">
                  <w:pPr>
                    <w:widowControl/>
                    <w:spacing w:before="71" w:beforeLines="23" w:after="71" w:afterLines="23"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包装方式</w:t>
                  </w:r>
                </w:p>
              </w:tc>
              <w:tc>
                <w:tcPr>
                  <w:tcW w:w="623" w:type="pct"/>
                  <w:tcBorders>
                    <w:tl2br w:val="nil"/>
                    <w:tr2bl w:val="nil"/>
                  </w:tcBorders>
                  <w:vAlign w:val="center"/>
                </w:tcPr>
                <w:p w14:paraId="1D1832F8">
                  <w:pPr>
                    <w:widowControl/>
                    <w:spacing w:before="71" w:beforeLines="23" w:after="71" w:afterLines="23"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储存规格</w:t>
                  </w:r>
                </w:p>
              </w:tc>
              <w:tc>
                <w:tcPr>
                  <w:tcW w:w="470" w:type="pct"/>
                  <w:tcBorders>
                    <w:tl2br w:val="nil"/>
                    <w:tr2bl w:val="nil"/>
                  </w:tcBorders>
                  <w:vAlign w:val="center"/>
                </w:tcPr>
                <w:p w14:paraId="44681B5A">
                  <w:pPr>
                    <w:widowControl/>
                    <w:spacing w:before="71" w:beforeLines="23" w:after="71" w:afterLines="23"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相态</w:t>
                  </w:r>
                </w:p>
              </w:tc>
              <w:tc>
                <w:tcPr>
                  <w:tcW w:w="742" w:type="pct"/>
                  <w:tcBorders>
                    <w:tl2br w:val="nil"/>
                    <w:tr2bl w:val="nil"/>
                  </w:tcBorders>
                  <w:vAlign w:val="center"/>
                </w:tcPr>
                <w:p w14:paraId="68EE1B91">
                  <w:pPr>
                    <w:widowControl/>
                    <w:spacing w:before="71" w:beforeLines="23" w:after="71" w:afterLines="23"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储存位置</w:t>
                  </w:r>
                </w:p>
              </w:tc>
              <w:tc>
                <w:tcPr>
                  <w:tcW w:w="530" w:type="pct"/>
                  <w:tcBorders>
                    <w:tl2br w:val="nil"/>
                    <w:tr2bl w:val="nil"/>
                  </w:tcBorders>
                  <w:vAlign w:val="center"/>
                </w:tcPr>
                <w:p w14:paraId="11A47BA5">
                  <w:pPr>
                    <w:widowControl/>
                    <w:spacing w:before="71" w:beforeLines="23" w:after="71" w:afterLines="23"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危险性</w:t>
                  </w:r>
                </w:p>
              </w:tc>
            </w:tr>
            <w:tr w14:paraId="40588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pct"/>
                  <w:tcBorders>
                    <w:tl2br w:val="nil"/>
                    <w:tr2bl w:val="nil"/>
                  </w:tcBorders>
                  <w:vAlign w:val="center"/>
                </w:tcPr>
                <w:p w14:paraId="156C5450">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废机油</w:t>
                  </w:r>
                </w:p>
              </w:tc>
              <w:tc>
                <w:tcPr>
                  <w:tcW w:w="713" w:type="pct"/>
                  <w:tcBorders>
                    <w:tl2br w:val="nil"/>
                    <w:tr2bl w:val="nil"/>
                  </w:tcBorders>
                  <w:vAlign w:val="center"/>
                </w:tcPr>
                <w:p w14:paraId="77EB2E8A">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0.1t</w:t>
                  </w:r>
                </w:p>
              </w:tc>
              <w:tc>
                <w:tcPr>
                  <w:tcW w:w="578" w:type="pct"/>
                  <w:tcBorders>
                    <w:tl2br w:val="nil"/>
                    <w:tr2bl w:val="nil"/>
                  </w:tcBorders>
                  <w:vAlign w:val="center"/>
                </w:tcPr>
                <w:p w14:paraId="14656E27">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50</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t</w:t>
                  </w:r>
                </w:p>
              </w:tc>
              <w:tc>
                <w:tcPr>
                  <w:tcW w:w="634" w:type="pct"/>
                  <w:tcBorders>
                    <w:tl2br w:val="nil"/>
                    <w:tr2bl w:val="nil"/>
                  </w:tcBorders>
                  <w:vAlign w:val="center"/>
                </w:tcPr>
                <w:p w14:paraId="123F9820">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桶装</w:t>
                  </w:r>
                </w:p>
              </w:tc>
              <w:tc>
                <w:tcPr>
                  <w:tcW w:w="623" w:type="pct"/>
                  <w:tcBorders>
                    <w:tl2br w:val="nil"/>
                    <w:tr2bl w:val="nil"/>
                  </w:tcBorders>
                  <w:vAlign w:val="center"/>
                </w:tcPr>
                <w:p w14:paraId="2CBBC1D1">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200L/桶</w:t>
                  </w:r>
                </w:p>
              </w:tc>
              <w:tc>
                <w:tcPr>
                  <w:tcW w:w="470" w:type="pct"/>
                  <w:tcBorders>
                    <w:tl2br w:val="nil"/>
                    <w:tr2bl w:val="nil"/>
                  </w:tcBorders>
                  <w:vAlign w:val="center"/>
                </w:tcPr>
                <w:p w14:paraId="3A073FA0">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液态</w:t>
                  </w:r>
                </w:p>
              </w:tc>
              <w:tc>
                <w:tcPr>
                  <w:tcW w:w="742" w:type="pct"/>
                  <w:tcBorders>
                    <w:tl2br w:val="nil"/>
                    <w:tr2bl w:val="nil"/>
                  </w:tcBorders>
                  <w:vAlign w:val="center"/>
                </w:tcPr>
                <w:p w14:paraId="4320A8A7">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危废贮存点</w:t>
                  </w:r>
                </w:p>
              </w:tc>
              <w:tc>
                <w:tcPr>
                  <w:tcW w:w="530" w:type="pct"/>
                  <w:tcBorders>
                    <w:tl2br w:val="nil"/>
                    <w:tr2bl w:val="nil"/>
                  </w:tcBorders>
                  <w:vAlign w:val="center"/>
                </w:tcPr>
                <w:p w14:paraId="56F2EC1A">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有害</w:t>
                  </w:r>
                </w:p>
              </w:tc>
            </w:tr>
            <w:tr w14:paraId="6DC8B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pct"/>
                  <w:tcBorders>
                    <w:tl2br w:val="nil"/>
                    <w:tr2bl w:val="nil"/>
                  </w:tcBorders>
                  <w:vAlign w:val="center"/>
                </w:tcPr>
                <w:p w14:paraId="2066EFB3">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空压机废油液</w:t>
                  </w:r>
                </w:p>
              </w:tc>
              <w:tc>
                <w:tcPr>
                  <w:tcW w:w="713" w:type="pct"/>
                  <w:tcBorders>
                    <w:tl2br w:val="nil"/>
                    <w:tr2bl w:val="nil"/>
                  </w:tcBorders>
                  <w:vAlign w:val="center"/>
                </w:tcPr>
                <w:p w14:paraId="28065FE0">
                  <w:pPr>
                    <w:widowControl/>
                    <w:spacing w:before="71" w:beforeLines="23" w:after="71" w:afterLines="23" w:line="300" w:lineRule="auto"/>
                    <w:jc w:val="cente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0.02</w:t>
                  </w: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t</w:t>
                  </w:r>
                </w:p>
              </w:tc>
              <w:tc>
                <w:tcPr>
                  <w:tcW w:w="578" w:type="pct"/>
                  <w:tcBorders>
                    <w:tl2br w:val="nil"/>
                    <w:tr2bl w:val="nil"/>
                  </w:tcBorders>
                  <w:vAlign w:val="center"/>
                </w:tcPr>
                <w:p w14:paraId="1798D08C">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50</w:t>
                  </w:r>
                  <w:r>
                    <w:rPr>
                      <w:rFonts w:hint="eastAsia" w:ascii="Times New Roman" w:hAnsi="Times New Roman" w:eastAsia="宋体" w:cs="宋体"/>
                      <w:color w:val="000000" w:themeColor="text1"/>
                      <w:kern w:val="0"/>
                      <w:szCs w:val="21"/>
                      <w:highlight w:val="none"/>
                      <w:lang w:bidi="ar"/>
                      <w14:textFill>
                        <w14:solidFill>
                          <w14:schemeClr w14:val="tx1"/>
                        </w14:solidFill>
                      </w14:textFill>
                    </w:rPr>
                    <w:t>t</w:t>
                  </w:r>
                </w:p>
              </w:tc>
              <w:tc>
                <w:tcPr>
                  <w:tcW w:w="634" w:type="pct"/>
                  <w:tcBorders>
                    <w:tl2br w:val="nil"/>
                    <w:tr2bl w:val="nil"/>
                  </w:tcBorders>
                  <w:vAlign w:val="center"/>
                </w:tcPr>
                <w:p w14:paraId="5C8538DD">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桶装</w:t>
                  </w:r>
                </w:p>
              </w:tc>
              <w:tc>
                <w:tcPr>
                  <w:tcW w:w="623" w:type="pct"/>
                  <w:tcBorders>
                    <w:tl2br w:val="nil"/>
                    <w:tr2bl w:val="nil"/>
                  </w:tcBorders>
                  <w:vAlign w:val="center"/>
                </w:tcPr>
                <w:p w14:paraId="7DE3645A">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200L/桶</w:t>
                  </w:r>
                </w:p>
              </w:tc>
              <w:tc>
                <w:tcPr>
                  <w:tcW w:w="470" w:type="pct"/>
                  <w:tcBorders>
                    <w:tl2br w:val="nil"/>
                    <w:tr2bl w:val="nil"/>
                  </w:tcBorders>
                  <w:vAlign w:val="center"/>
                </w:tcPr>
                <w:p w14:paraId="178DCA62">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液态</w:t>
                  </w:r>
                </w:p>
              </w:tc>
              <w:tc>
                <w:tcPr>
                  <w:tcW w:w="742" w:type="pct"/>
                  <w:tcBorders>
                    <w:tl2br w:val="nil"/>
                    <w:tr2bl w:val="nil"/>
                  </w:tcBorders>
                  <w:vAlign w:val="center"/>
                </w:tcPr>
                <w:p w14:paraId="3599C47B">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危废贮存点</w:t>
                  </w:r>
                </w:p>
              </w:tc>
              <w:tc>
                <w:tcPr>
                  <w:tcW w:w="530" w:type="pct"/>
                  <w:tcBorders>
                    <w:tl2br w:val="nil"/>
                    <w:tr2bl w:val="nil"/>
                  </w:tcBorders>
                  <w:vAlign w:val="center"/>
                </w:tcPr>
                <w:p w14:paraId="671362F8">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有害</w:t>
                  </w:r>
                </w:p>
              </w:tc>
            </w:tr>
            <w:tr w14:paraId="24FF0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707" w:type="pct"/>
                  <w:tcBorders>
                    <w:tl2br w:val="nil"/>
                    <w:tr2bl w:val="nil"/>
                  </w:tcBorders>
                  <w:vAlign w:val="center"/>
                </w:tcPr>
                <w:p w14:paraId="493F335E">
                  <w:pPr>
                    <w:widowControl/>
                    <w:spacing w:before="71" w:beforeLines="23" w:after="71" w:afterLines="23" w:line="300" w:lineRule="auto"/>
                    <w:jc w:val="center"/>
                    <w:rPr>
                      <w:rFonts w:hint="eastAsia" w:ascii="Times New Roman" w:hAnsi="Times New Roman" w:eastAsia="宋体" w:cs="宋体"/>
                      <w:color w:val="000000" w:themeColor="text1"/>
                      <w:kern w:val="0"/>
                      <w:szCs w:val="21"/>
                      <w:highlight w:val="none"/>
                      <w:lang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eastAsia="zh-CN" w:bidi="ar"/>
                      <w14:textFill>
                        <w14:solidFill>
                          <w14:schemeClr w14:val="tx1"/>
                        </w14:solidFill>
                      </w14:textFill>
                    </w:rPr>
                    <w:t>液体石蜡</w:t>
                  </w:r>
                </w:p>
              </w:tc>
              <w:tc>
                <w:tcPr>
                  <w:tcW w:w="713" w:type="pct"/>
                  <w:tcBorders>
                    <w:tl2br w:val="nil"/>
                    <w:tr2bl w:val="nil"/>
                  </w:tcBorders>
                  <w:vAlign w:val="center"/>
                </w:tcPr>
                <w:p w14:paraId="18A28514">
                  <w:pPr>
                    <w:widowControl/>
                    <w:spacing w:before="71" w:beforeLines="23" w:after="71" w:afterLines="23" w:line="300" w:lineRule="auto"/>
                    <w:jc w:val="center"/>
                    <w:rPr>
                      <w:rFonts w:hint="eastAsia" w:ascii="Times New Roman" w:hAnsi="Times New Roman" w:eastAsia="宋体" w:cs="宋体"/>
                      <w:color w:val="000000" w:themeColor="text1"/>
                      <w:kern w:val="0"/>
                      <w:szCs w:val="21"/>
                      <w:highlight w:val="none"/>
                      <w:lang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3t</w:t>
                  </w:r>
                </w:p>
              </w:tc>
              <w:tc>
                <w:tcPr>
                  <w:tcW w:w="578" w:type="pct"/>
                  <w:tcBorders>
                    <w:tl2br w:val="nil"/>
                    <w:tr2bl w:val="nil"/>
                  </w:tcBorders>
                  <w:vAlign w:val="center"/>
                </w:tcPr>
                <w:p w14:paraId="2DD80145">
                  <w:pPr>
                    <w:widowControl/>
                    <w:spacing w:before="71" w:beforeLines="23" w:after="71" w:afterLines="23" w:line="300" w:lineRule="auto"/>
                    <w:jc w:val="center"/>
                    <w:rPr>
                      <w:rFonts w:hint="default" w:ascii="Times New Roman" w:hAnsi="Times New Roman" w:eastAsia="宋体" w:cs="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2500t</w:t>
                  </w:r>
                </w:p>
              </w:tc>
              <w:tc>
                <w:tcPr>
                  <w:tcW w:w="634" w:type="pct"/>
                  <w:tcBorders>
                    <w:tl2br w:val="nil"/>
                    <w:tr2bl w:val="nil"/>
                  </w:tcBorders>
                  <w:vAlign w:val="center"/>
                </w:tcPr>
                <w:p w14:paraId="52B585F6">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管道输送</w:t>
                  </w:r>
                </w:p>
              </w:tc>
              <w:tc>
                <w:tcPr>
                  <w:tcW w:w="623" w:type="pct"/>
                  <w:tcBorders>
                    <w:tl2br w:val="nil"/>
                    <w:tr2bl w:val="nil"/>
                  </w:tcBorders>
                  <w:vAlign w:val="center"/>
                </w:tcPr>
                <w:p w14:paraId="57EE826B">
                  <w:pPr>
                    <w:widowControl/>
                    <w:spacing w:before="71" w:beforeLines="23" w:after="71" w:afterLines="23" w:line="300" w:lineRule="auto"/>
                    <w:jc w:val="center"/>
                    <w:rPr>
                      <w:rFonts w:hint="default" w:ascii="Times New Roman" w:hAnsi="Times New Roman" w:eastAsia="宋体" w:cs="宋体"/>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val="en-US" w:eastAsia="zh-CN" w:bidi="ar"/>
                      <w14:textFill>
                        <w14:solidFill>
                          <w14:schemeClr w14:val="tx1"/>
                        </w14:solidFill>
                      </w14:textFill>
                    </w:rPr>
                    <w:t>1t/桶</w:t>
                  </w:r>
                </w:p>
              </w:tc>
              <w:tc>
                <w:tcPr>
                  <w:tcW w:w="470" w:type="pct"/>
                  <w:tcBorders>
                    <w:tl2br w:val="nil"/>
                    <w:tr2bl w:val="nil"/>
                  </w:tcBorders>
                  <w:vAlign w:val="center"/>
                </w:tcPr>
                <w:p w14:paraId="0F1567A0">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eastAsia="zh-CN" w:bidi="ar"/>
                      <w14:textFill>
                        <w14:solidFill>
                          <w14:schemeClr w14:val="tx1"/>
                        </w14:solidFill>
                      </w14:textFill>
                    </w:rPr>
                    <w:t>气态</w:t>
                  </w:r>
                </w:p>
              </w:tc>
              <w:tc>
                <w:tcPr>
                  <w:tcW w:w="742" w:type="pct"/>
                  <w:tcBorders>
                    <w:tl2br w:val="nil"/>
                    <w:tr2bl w:val="nil"/>
                  </w:tcBorders>
                  <w:vAlign w:val="center"/>
                </w:tcPr>
                <w:p w14:paraId="43350BA3">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w:t>
                  </w:r>
                </w:p>
              </w:tc>
              <w:tc>
                <w:tcPr>
                  <w:tcW w:w="530" w:type="pct"/>
                  <w:tcBorders>
                    <w:tl2br w:val="nil"/>
                    <w:tr2bl w:val="nil"/>
                  </w:tcBorders>
                  <w:vAlign w:val="center"/>
                </w:tcPr>
                <w:p w14:paraId="650C53FD">
                  <w:pPr>
                    <w:widowControl/>
                    <w:spacing w:before="71" w:beforeLines="23" w:after="71" w:afterLines="23" w:line="30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易燃</w:t>
                  </w:r>
                </w:p>
              </w:tc>
            </w:tr>
          </w:tbl>
          <w:p w14:paraId="65CAD387">
            <w:pPr>
              <w:spacing w:before="31" w:beforeLines="10"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根据《环境风险评价技术导则》（HJ169-2018）附录</w:t>
            </w:r>
            <w:r>
              <w:rPr>
                <w:rFonts w:ascii="Times New Roman" w:hAnsi="Times New Roman" w:eastAsia="宋体"/>
                <w:color w:val="000000" w:themeColor="text1"/>
                <w:sz w:val="24"/>
                <w:highlight w:val="none"/>
                <w14:textFill>
                  <w14:solidFill>
                    <w14:schemeClr w14:val="tx1"/>
                  </w14:solidFill>
                </w14:textFill>
              </w:rPr>
              <w:t>C</w:t>
            </w:r>
            <w:r>
              <w:rPr>
                <w:rFonts w:hint="eastAsia" w:ascii="Times New Roman" w:hAnsi="Times New Roman" w:eastAsia="宋体"/>
                <w:color w:val="000000" w:themeColor="text1"/>
                <w:sz w:val="24"/>
                <w:highlight w:val="none"/>
                <w14:textFill>
                  <w14:solidFill>
                    <w14:schemeClr w14:val="tx1"/>
                  </w14:solidFill>
                </w14:textFill>
              </w:rPr>
              <w:t>，计算该物质的总量与其临界量比值，即为</w:t>
            </w:r>
            <w:r>
              <w:rPr>
                <w:rFonts w:ascii="Times New Roman" w:hAnsi="Times New Roman" w:eastAsia="宋体"/>
                <w:color w:val="000000" w:themeColor="text1"/>
                <w:sz w:val="24"/>
                <w:highlight w:val="none"/>
                <w14:textFill>
                  <w14:solidFill>
                    <w14:schemeClr w14:val="tx1"/>
                  </w14:solidFill>
                </w14:textFill>
              </w:rPr>
              <w:t>Q</w:t>
            </w:r>
            <w:r>
              <w:rPr>
                <w:rFonts w:hint="eastAsia" w:ascii="Times New Roman" w:hAnsi="Times New Roman" w:eastAsia="宋体"/>
                <w:color w:val="000000" w:themeColor="text1"/>
                <w:sz w:val="24"/>
                <w:highlight w:val="none"/>
                <w14:textFill>
                  <w14:solidFill>
                    <w14:schemeClr w14:val="tx1"/>
                  </w14:solidFill>
                </w14:textFill>
              </w:rPr>
              <w:t>。</w:t>
            </w:r>
          </w:p>
          <w:p w14:paraId="3121CF97">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当Q＜1时，该项目环境风险潜势为Ⅰ。</w:t>
            </w:r>
          </w:p>
          <w:p w14:paraId="79259CC2">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当</w:t>
            </w:r>
            <w:r>
              <w:rPr>
                <w:rFonts w:ascii="Times New Roman" w:hAnsi="Times New Roman" w:eastAsia="宋体"/>
                <w:color w:val="000000" w:themeColor="text1"/>
                <w:sz w:val="24"/>
                <w:highlight w:val="none"/>
                <w14:textFill>
                  <w14:solidFill>
                    <w14:schemeClr w14:val="tx1"/>
                  </w14:solidFill>
                </w14:textFill>
              </w:rPr>
              <w:t>Q</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1</w:t>
            </w:r>
            <w:r>
              <w:rPr>
                <w:rFonts w:hint="eastAsia" w:ascii="Times New Roman" w:hAnsi="Times New Roman" w:eastAsia="宋体"/>
                <w:color w:val="000000" w:themeColor="text1"/>
                <w:sz w:val="24"/>
                <w:highlight w:val="none"/>
                <w14:textFill>
                  <w14:solidFill>
                    <w14:schemeClr w14:val="tx1"/>
                  </w14:solidFill>
                </w14:textFill>
              </w:rPr>
              <w:t>，时</w:t>
            </w:r>
            <w:r>
              <w:rPr>
                <w:rFonts w:ascii="Times New Roman" w:hAnsi="Times New Roman" w:eastAsia="宋体"/>
                <w:color w:val="000000" w:themeColor="text1"/>
                <w:sz w:val="24"/>
                <w:highlight w:val="none"/>
                <w14:textFill>
                  <w14:solidFill>
                    <w14:schemeClr w14:val="tx1"/>
                  </w14:solidFill>
                </w14:textFill>
              </w:rPr>
              <w:t>Q</w:t>
            </w:r>
            <w:r>
              <w:rPr>
                <w:rFonts w:hint="eastAsia" w:ascii="Times New Roman" w:hAnsi="Times New Roman" w:eastAsia="宋体"/>
                <w:color w:val="000000" w:themeColor="text1"/>
                <w:sz w:val="24"/>
                <w:highlight w:val="none"/>
                <w14:textFill>
                  <w14:solidFill>
                    <w14:schemeClr w14:val="tx1"/>
                  </w14:solidFill>
                </w14:textFill>
              </w:rPr>
              <w:t>值划分为：</w:t>
            </w:r>
          </w:p>
          <w:p w14:paraId="32FBB491">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 xml:space="preserve">① </w:t>
            </w:r>
            <w:r>
              <w:rPr>
                <w:rFonts w:ascii="Times New Roman" w:hAnsi="Times New Roman" w:eastAsia="宋体"/>
                <w:color w:val="000000" w:themeColor="text1"/>
                <w:sz w:val="24"/>
                <w:highlight w:val="none"/>
                <w14:textFill>
                  <w14:solidFill>
                    <w14:schemeClr w14:val="tx1"/>
                  </w14:solidFill>
                </w14:textFill>
              </w:rPr>
              <w:t>1</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Q</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10</w:t>
            </w:r>
            <w:r>
              <w:rPr>
                <w:rFonts w:hint="eastAsia" w:ascii="Times New Roman" w:hAnsi="Times New Roman" w:eastAsia="宋体"/>
                <w:color w:val="000000" w:themeColor="text1"/>
                <w:sz w:val="24"/>
                <w:highlight w:val="none"/>
                <w14:textFill>
                  <w14:solidFill>
                    <w14:schemeClr w14:val="tx1"/>
                  </w14:solidFill>
                </w14:textFill>
              </w:rPr>
              <w:t xml:space="preserve">；② </w:t>
            </w:r>
            <w:r>
              <w:rPr>
                <w:rFonts w:ascii="Times New Roman" w:hAnsi="Times New Roman" w:eastAsia="宋体"/>
                <w:color w:val="000000" w:themeColor="text1"/>
                <w:sz w:val="24"/>
                <w:highlight w:val="none"/>
                <w14:textFill>
                  <w14:solidFill>
                    <w14:schemeClr w14:val="tx1"/>
                  </w14:solidFill>
                </w14:textFill>
              </w:rPr>
              <w:t>10</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Q</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100</w:t>
            </w:r>
            <w:r>
              <w:rPr>
                <w:rFonts w:hint="eastAsia" w:ascii="Times New Roman" w:hAnsi="Times New Roman" w:eastAsia="宋体"/>
                <w:color w:val="000000" w:themeColor="text1"/>
                <w:sz w:val="24"/>
                <w:highlight w:val="none"/>
                <w14:textFill>
                  <w14:solidFill>
                    <w14:schemeClr w14:val="tx1"/>
                  </w14:solidFill>
                </w14:textFill>
              </w:rPr>
              <w:t xml:space="preserve">；③ </w:t>
            </w:r>
            <w:r>
              <w:rPr>
                <w:rFonts w:ascii="Times New Roman" w:hAnsi="Times New Roman" w:eastAsia="宋体"/>
                <w:color w:val="000000" w:themeColor="text1"/>
                <w:sz w:val="24"/>
                <w:highlight w:val="none"/>
                <w14:textFill>
                  <w14:solidFill>
                    <w14:schemeClr w14:val="tx1"/>
                  </w14:solidFill>
                </w14:textFill>
              </w:rPr>
              <w:t>Q</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100</w:t>
            </w:r>
            <w:r>
              <w:rPr>
                <w:rFonts w:hint="eastAsia" w:ascii="Times New Roman" w:hAnsi="Times New Roman" w:eastAsia="宋体"/>
                <w:color w:val="000000" w:themeColor="text1"/>
                <w:sz w:val="24"/>
                <w:highlight w:val="none"/>
                <w14:textFill>
                  <w14:solidFill>
                    <w14:schemeClr w14:val="tx1"/>
                  </w14:solidFill>
                </w14:textFill>
              </w:rPr>
              <w:t>。</w:t>
            </w:r>
          </w:p>
          <w:p w14:paraId="7D4ADC57">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由上表计算结果，</w:t>
            </w:r>
            <w:r>
              <w:rPr>
                <w:rFonts w:hint="eastAsia" w:ascii="Times New Roman" w:hAnsi="Times New Roman" w:eastAsia="宋体"/>
                <w:color w:val="000000" w:themeColor="text1"/>
                <w:sz w:val="24"/>
                <w:highlight w:val="none"/>
                <w14:textFill>
                  <w14:solidFill>
                    <w14:schemeClr w14:val="tx1"/>
                  </w14:solidFill>
                </w14:textFill>
              </w:rPr>
              <w:t>本项目</w:t>
            </w:r>
            <w:r>
              <w:rPr>
                <w:rFonts w:ascii="Times New Roman" w:hAnsi="Times New Roman" w:eastAsia="宋体"/>
                <w:color w:val="000000" w:themeColor="text1"/>
                <w:sz w:val="24"/>
                <w:highlight w:val="none"/>
                <w14:textFill>
                  <w14:solidFill>
                    <w14:schemeClr w14:val="tx1"/>
                  </w14:solidFill>
                </w14:textFill>
              </w:rPr>
              <w:t>Q=</w:t>
            </w:r>
            <w:r>
              <w:rPr>
                <w:rFonts w:hint="eastAsia" w:ascii="Times New Roman" w:hAnsi="Times New Roman" w:eastAsia="宋体"/>
                <w:b/>
                <w:bCs/>
                <w:color w:val="000000" w:themeColor="text1"/>
                <w:sz w:val="24"/>
                <w:highlight w:val="none"/>
                <w:lang w:val="en-US" w:eastAsia="zh-CN"/>
                <w14:textFill>
                  <w14:solidFill>
                    <w14:schemeClr w14:val="tx1"/>
                  </w14:solidFill>
                </w14:textFill>
              </w:rPr>
              <w:t>0.0036</w:t>
            </w:r>
            <w:r>
              <w:rPr>
                <w:rFonts w:hint="eastAsia" w:ascii="Times New Roman" w:hAnsi="Times New Roman" w:eastAsia="宋体"/>
                <w:color w:val="000000" w:themeColor="text1"/>
                <w:sz w:val="24"/>
                <w:highlight w:val="none"/>
                <w14:textFill>
                  <w14:solidFill>
                    <w14:schemeClr w14:val="tx1"/>
                  </w14:solidFill>
                </w14:textFill>
              </w:rPr>
              <w:t>＜</w:t>
            </w:r>
            <w:r>
              <w:rPr>
                <w:rFonts w:ascii="Times New Roman" w:hAnsi="Times New Roman" w:eastAsia="宋体"/>
                <w:color w:val="000000" w:themeColor="text1"/>
                <w:sz w:val="24"/>
                <w:highlight w:val="none"/>
                <w14:textFill>
                  <w14:solidFill>
                    <w14:schemeClr w14:val="tx1"/>
                  </w14:solidFill>
                </w14:textFill>
              </w:rPr>
              <w:t>1</w:t>
            </w:r>
            <w:r>
              <w:rPr>
                <w:rFonts w:hint="eastAsia" w:ascii="Times New Roman" w:hAnsi="Times New Roman" w:eastAsia="宋体"/>
                <w:color w:val="000000" w:themeColor="text1"/>
                <w:sz w:val="24"/>
                <w:highlight w:val="none"/>
                <w14:textFill>
                  <w14:solidFill>
                    <w14:schemeClr w14:val="tx1"/>
                  </w14:solidFill>
                </w14:textFill>
              </w:rPr>
              <w:t>，因此本项目</w:t>
            </w:r>
            <w:r>
              <w:rPr>
                <w:rFonts w:hint="eastAsia" w:ascii="Times New Roman" w:hAnsi="Times New Roman" w:eastAsia="宋体"/>
                <w:b/>
                <w:bCs/>
                <w:color w:val="000000" w:themeColor="text1"/>
                <w:sz w:val="24"/>
                <w:highlight w:val="none"/>
                <w14:textFill>
                  <w14:solidFill>
                    <w14:schemeClr w14:val="tx1"/>
                  </w14:solidFill>
                </w14:textFill>
              </w:rPr>
              <w:t>环境风险潜势为Ⅰ</w:t>
            </w:r>
            <w:r>
              <w:rPr>
                <w:rFonts w:hint="eastAsia" w:ascii="Times New Roman" w:hAnsi="Times New Roman" w:eastAsia="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14:textFill>
                  <w14:solidFill>
                    <w14:schemeClr w14:val="tx1"/>
                  </w14:solidFill>
                </w14:textFill>
              </w:rPr>
              <w:t>可只开展简单分析。</w:t>
            </w:r>
          </w:p>
          <w:p w14:paraId="3BF3E241">
            <w:pPr>
              <w:spacing w:before="31" w:beforeLines="10" w:after="31" w:afterLines="10" w:line="377" w:lineRule="auto"/>
              <w:ind w:firstLine="482" w:firstLineChars="200"/>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（2）环境风险影响途径</w:t>
            </w:r>
          </w:p>
          <w:p w14:paraId="163B99C7">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本项目主要考虑废机油</w:t>
            </w:r>
            <w:r>
              <w:rPr>
                <w:rFonts w:hint="eastAsia" w:ascii="Times New Roman" w:hAnsi="Times New Roman" w:eastAsia="宋体"/>
                <w:color w:val="000000" w:themeColor="text1"/>
                <w:sz w:val="24"/>
                <w:highlight w:val="none"/>
                <w:lang w:eastAsia="zh-CN"/>
                <w14:textFill>
                  <w14:solidFill>
                    <w14:schemeClr w14:val="tx1"/>
                  </w14:solidFill>
                </w14:textFill>
              </w:rPr>
              <w:t>、空压机废液、液体石蜡</w:t>
            </w:r>
            <w:r>
              <w:rPr>
                <w:rFonts w:hint="eastAsia" w:ascii="Times New Roman" w:hAnsi="Times New Roman" w:eastAsia="宋体"/>
                <w:color w:val="000000" w:themeColor="text1"/>
                <w:sz w:val="24"/>
                <w:highlight w:val="none"/>
                <w14:textFill>
                  <w14:solidFill>
                    <w14:schemeClr w14:val="tx1"/>
                  </w14:solidFill>
                </w14:textFill>
              </w:rPr>
              <w:t>等油类物质的环境风险影响。</w:t>
            </w:r>
          </w:p>
          <w:p w14:paraId="078729AF">
            <w:pPr>
              <w:spacing w:before="31" w:beforeLines="10" w:after="31" w:afterLines="10" w:line="377"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 xml:space="preserve">① </w:t>
            </w:r>
            <w:r>
              <w:rPr>
                <w:rFonts w:hint="eastAsia" w:ascii="Times New Roman" w:hAnsi="Times New Roman" w:eastAsia="宋体"/>
                <w:color w:val="000000" w:themeColor="text1"/>
                <w:sz w:val="24"/>
                <w:highlight w:val="none"/>
                <w14:textFill>
                  <w14:solidFill>
                    <w14:schemeClr w14:val="tx1"/>
                  </w14:solidFill>
                </w14:textFill>
              </w:rPr>
              <w:t>大气环境风险分析</w:t>
            </w:r>
          </w:p>
          <w:p w14:paraId="6756CF80">
            <w:pPr>
              <w:spacing w:line="377"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废机油、</w:t>
            </w:r>
            <w:r>
              <w:rPr>
                <w:rFonts w:hint="eastAsia" w:ascii="Times New Roman" w:hAnsi="Times New Roman" w:eastAsia="宋体"/>
                <w:color w:val="000000" w:themeColor="text1"/>
                <w:sz w:val="24"/>
                <w:highlight w:val="none"/>
                <w:lang w:eastAsia="zh-CN"/>
                <w14:textFill>
                  <w14:solidFill>
                    <w14:schemeClr w14:val="tx1"/>
                  </w14:solidFill>
                </w14:textFill>
              </w:rPr>
              <w:t>液体石蜡</w:t>
            </w:r>
            <w:r>
              <w:rPr>
                <w:rFonts w:hint="eastAsia" w:ascii="Times New Roman" w:hAnsi="Times New Roman" w:eastAsia="宋体"/>
                <w:color w:val="000000" w:themeColor="text1"/>
                <w:sz w:val="24"/>
                <w:highlight w:val="none"/>
                <w14:textFill>
                  <w14:solidFill>
                    <w14:schemeClr w14:val="tx1"/>
                  </w14:solidFill>
                </w14:textFill>
              </w:rPr>
              <w:t>等遇明火、高热会燃烧爆炸，发生火灾、爆炸事故时，生成一氧化碳等有毒有害物质，会影响环境空气。</w:t>
            </w:r>
          </w:p>
          <w:p w14:paraId="086352CC">
            <w:pPr>
              <w:spacing w:before="31" w:beforeLines="10" w:after="31" w:afterLines="10" w:line="372"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 xml:space="preserve">② </w:t>
            </w:r>
            <w:r>
              <w:rPr>
                <w:rFonts w:hint="eastAsia" w:ascii="Times New Roman" w:hAnsi="Times New Roman" w:eastAsia="宋体"/>
                <w:color w:val="000000" w:themeColor="text1"/>
                <w:sz w:val="24"/>
                <w:highlight w:val="none"/>
                <w14:textFill>
                  <w14:solidFill>
                    <w14:schemeClr w14:val="tx1"/>
                  </w14:solidFill>
                </w14:textFill>
              </w:rPr>
              <w:t>地表水环境风险分析</w:t>
            </w:r>
          </w:p>
          <w:p w14:paraId="656C01CC">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机油、废机油</w:t>
            </w:r>
            <w:r>
              <w:rPr>
                <w:rFonts w:hint="eastAsia" w:ascii="Times New Roman" w:hAnsi="Times New Roman" w:eastAsia="宋体"/>
                <w:color w:val="000000" w:themeColor="text1"/>
                <w:sz w:val="24"/>
                <w:highlight w:val="none"/>
                <w:lang w:eastAsia="zh-CN"/>
                <w14:textFill>
                  <w14:solidFill>
                    <w14:schemeClr w14:val="tx1"/>
                  </w14:solidFill>
                </w14:textFill>
              </w:rPr>
              <w:t>、液体石蜡</w:t>
            </w:r>
            <w:r>
              <w:rPr>
                <w:rFonts w:hint="eastAsia" w:ascii="Times New Roman" w:hAnsi="Times New Roman" w:eastAsia="宋体"/>
                <w:color w:val="000000" w:themeColor="text1"/>
                <w:sz w:val="24"/>
                <w:highlight w:val="none"/>
                <w14:textFill>
                  <w14:solidFill>
                    <w14:schemeClr w14:val="tx1"/>
                  </w14:solidFill>
                </w14:textFill>
              </w:rPr>
              <w:t>等泄漏后，由于处置不及时，可能会溢流进入周边排水沟，对周围地表水造成一定环境影响。</w:t>
            </w:r>
          </w:p>
          <w:p w14:paraId="7B8DD6F5">
            <w:pPr>
              <w:spacing w:before="31" w:beforeLines="10" w:after="31" w:afterLines="10" w:line="372" w:lineRule="auto"/>
              <w:ind w:firstLine="482"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b/>
                <w:bCs/>
                <w:color w:val="000000" w:themeColor="text1"/>
                <w:sz w:val="24"/>
                <w:highlight w:val="none"/>
                <w14:textFill>
                  <w14:solidFill>
                    <w14:schemeClr w14:val="tx1"/>
                  </w14:solidFill>
                </w14:textFill>
              </w:rPr>
              <w:t xml:space="preserve">③ </w:t>
            </w:r>
            <w:r>
              <w:rPr>
                <w:rFonts w:hint="eastAsia" w:ascii="Times New Roman" w:hAnsi="Times New Roman" w:eastAsia="宋体"/>
                <w:color w:val="000000" w:themeColor="text1"/>
                <w:sz w:val="24"/>
                <w:highlight w:val="none"/>
                <w14:textFill>
                  <w14:solidFill>
                    <w14:schemeClr w14:val="tx1"/>
                  </w14:solidFill>
                </w14:textFill>
              </w:rPr>
              <w:t>地下水环境影响分析</w:t>
            </w:r>
          </w:p>
          <w:p w14:paraId="0B7C6BC5">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机油、废机油</w:t>
            </w:r>
            <w:r>
              <w:rPr>
                <w:rFonts w:hint="eastAsia" w:ascii="Times New Roman" w:hAnsi="Times New Roman" w:eastAsia="宋体"/>
                <w:color w:val="000000" w:themeColor="text1"/>
                <w:sz w:val="24"/>
                <w:highlight w:val="none"/>
                <w:lang w:eastAsia="zh-CN"/>
                <w14:textFill>
                  <w14:solidFill>
                    <w14:schemeClr w14:val="tx1"/>
                  </w14:solidFill>
                </w14:textFill>
              </w:rPr>
              <w:t>、液体石蜡</w:t>
            </w:r>
            <w:r>
              <w:rPr>
                <w:rFonts w:hint="eastAsia" w:ascii="Times New Roman" w:hAnsi="Times New Roman" w:eastAsia="宋体"/>
                <w:color w:val="000000" w:themeColor="text1"/>
                <w:sz w:val="24"/>
                <w:highlight w:val="none"/>
                <w14:textFill>
                  <w14:solidFill>
                    <w14:schemeClr w14:val="tx1"/>
                  </w14:solidFill>
                </w14:textFill>
              </w:rPr>
              <w:t>等泄漏后，可能通过地面下渗影响地下水。</w:t>
            </w:r>
          </w:p>
          <w:p w14:paraId="3F3F144C">
            <w:pPr>
              <w:spacing w:before="31" w:beforeLines="10" w:after="31" w:afterLines="10" w:line="377" w:lineRule="auto"/>
              <w:ind w:firstLine="482" w:firstLineChars="200"/>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（3）环境风险防范措施</w:t>
            </w:r>
          </w:p>
          <w:p w14:paraId="71FA7622">
            <w:pPr>
              <w:spacing w:line="520" w:lineRule="exact"/>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fldChar w:fldCharType="begin"/>
            </w:r>
            <w:r>
              <w:rPr>
                <w:rFonts w:ascii="Times New Roman" w:hAnsi="Times New Roman" w:cs="Times New Roman"/>
                <w:color w:val="000000" w:themeColor="text1"/>
                <w:sz w:val="24"/>
                <w:highlight w:val="none"/>
                <w14:textFill>
                  <w14:solidFill>
                    <w14:schemeClr w14:val="tx1"/>
                  </w14:solidFill>
                </w14:textFill>
              </w:rPr>
              <w:instrText xml:space="preserve"> = 1 \* GB3 \* MERGEFORMAT </w:instrText>
            </w:r>
            <w:r>
              <w:rPr>
                <w:rFonts w:ascii="Times New Roman" w:hAnsi="Times New Roman" w:cs="Times New Roman"/>
                <w:color w:val="000000" w:themeColor="text1"/>
                <w:sz w:val="24"/>
                <w:highlight w:val="none"/>
                <w14:textFill>
                  <w14:solidFill>
                    <w14:schemeClr w14:val="tx1"/>
                  </w14:solidFill>
                </w14:textFill>
              </w:rPr>
              <w:fldChar w:fldCharType="separate"/>
            </w:r>
            <w:r>
              <w:rPr>
                <w:rFonts w:ascii="Times New Roman" w:hAnsi="Times New Roman" w:cs="Times New Roman"/>
                <w:color w:val="000000" w:themeColor="text1"/>
                <w:sz w:val="24"/>
                <w:highlight w:val="none"/>
                <w14:textFill>
                  <w14:solidFill>
                    <w14:schemeClr w14:val="tx1"/>
                  </w14:solidFill>
                </w14:textFill>
              </w:rPr>
              <w:t>①</w:t>
            </w:r>
            <w:r>
              <w:rPr>
                <w:rFonts w:ascii="Times New Roman" w:hAnsi="Times New Roman" w:cs="Times New Roman"/>
                <w:color w:val="000000" w:themeColor="text1"/>
                <w:sz w:val="24"/>
                <w:highlight w:val="none"/>
                <w14:textFill>
                  <w14:solidFill>
                    <w14:schemeClr w14:val="tx1"/>
                  </w14:solidFill>
                </w14:textFill>
              </w:rPr>
              <w:fldChar w:fldCharType="end"/>
            </w:r>
            <w:r>
              <w:rPr>
                <w:rFonts w:ascii="Times New Roman" w:hAnsi="Times New Roman" w:cs="Times New Roman"/>
                <w:color w:val="000000" w:themeColor="text1"/>
                <w:sz w:val="24"/>
                <w:highlight w:val="none"/>
                <w14:textFill>
                  <w14:solidFill>
                    <w14:schemeClr w14:val="tx1"/>
                  </w14:solidFill>
                </w14:textFill>
              </w:rPr>
              <w:t>建立完善的安全生产管理制度、操作规范，加强生产工人安全环境意识教育。</w:t>
            </w:r>
          </w:p>
          <w:p w14:paraId="3092DDFB">
            <w:pPr>
              <w:spacing w:line="520" w:lineRule="exact"/>
              <w:ind w:firstLine="480" w:firstLineChars="20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fldChar w:fldCharType="begin"/>
            </w:r>
            <w:r>
              <w:rPr>
                <w:rFonts w:ascii="Times New Roman" w:hAnsi="Times New Roman" w:cs="Times New Roman"/>
                <w:color w:val="000000" w:themeColor="text1"/>
                <w:sz w:val="24"/>
                <w:highlight w:val="none"/>
                <w14:textFill>
                  <w14:solidFill>
                    <w14:schemeClr w14:val="tx1"/>
                  </w14:solidFill>
                </w14:textFill>
              </w:rPr>
              <w:instrText xml:space="preserve"> = 2 \* GB3 \* MERGEFORMAT </w:instrText>
            </w:r>
            <w:r>
              <w:rPr>
                <w:rFonts w:ascii="Times New Roman" w:hAnsi="Times New Roman" w:cs="Times New Roman"/>
                <w:color w:val="000000" w:themeColor="text1"/>
                <w:sz w:val="24"/>
                <w:highlight w:val="none"/>
                <w14:textFill>
                  <w14:solidFill>
                    <w14:schemeClr w14:val="tx1"/>
                  </w14:solidFill>
                </w14:textFill>
              </w:rPr>
              <w:fldChar w:fldCharType="separate"/>
            </w:r>
            <w:r>
              <w:rPr>
                <w:rFonts w:ascii="Times New Roman" w:hAnsi="Times New Roman" w:cs="Times New Roman"/>
                <w:color w:val="000000" w:themeColor="text1"/>
                <w:sz w:val="24"/>
                <w:highlight w:val="none"/>
                <w14:textFill>
                  <w14:solidFill>
                    <w14:schemeClr w14:val="tx1"/>
                  </w14:solidFill>
                </w14:textFill>
              </w:rPr>
              <w:t>②</w:t>
            </w:r>
            <w:r>
              <w:rPr>
                <w:rFonts w:ascii="Times New Roman" w:hAnsi="Times New Roman" w:cs="Times New Roman"/>
                <w:color w:val="000000" w:themeColor="text1"/>
                <w:sz w:val="24"/>
                <w:highlight w:val="none"/>
                <w14:textFill>
                  <w14:solidFill>
                    <w14:schemeClr w14:val="tx1"/>
                  </w14:solidFill>
                </w14:textFill>
              </w:rPr>
              <w:fldChar w:fldCharType="end"/>
            </w:r>
            <w:r>
              <w:rPr>
                <w:rFonts w:ascii="Times New Roman" w:hAnsi="Times New Roman" w:cs="Times New Roman"/>
                <w:color w:val="000000" w:themeColor="text1"/>
                <w:sz w:val="24"/>
                <w:highlight w:val="none"/>
                <w14:textFill>
                  <w14:solidFill>
                    <w14:schemeClr w14:val="tx1"/>
                  </w14:solidFill>
                </w14:textFill>
              </w:rPr>
              <w:t>危废贮存点按《危险废物贮存污染控制标准》（GB 18597-2023）进行设置，采取重点防渗措施，同时做好防风、防雨、防晒、防渗、防漏、防腐措施，设置明显的专用标志，定期委托有资质单位进行收运和处置，危险废物的转移按照《危险废物转移管理办法》（部令第23号）执行。危险废物设置托盘或采取其他液体泄漏收集、拦截设施。</w:t>
            </w:r>
          </w:p>
          <w:p w14:paraId="0D5AA1C1">
            <w:pPr>
              <w:spacing w:line="520" w:lineRule="exact"/>
              <w:ind w:firstLine="480" w:firstLineChars="200"/>
              <w:rPr>
                <w:rFonts w:ascii="Times New Roman" w:hAnsi="Times New Roman" w:cs="Times New Roman"/>
                <w:color w:val="000000" w:themeColor="text1"/>
                <w:sz w:val="24"/>
                <w:highlight w:val="none"/>
                <w:lang w:val="zh-CN"/>
                <w14:textFill>
                  <w14:solidFill>
                    <w14:schemeClr w14:val="tx1"/>
                  </w14:solidFill>
                </w14:textFill>
              </w:rPr>
            </w:pPr>
            <w:r>
              <w:rPr>
                <w:rFonts w:ascii="Times New Roman" w:hAnsi="Times New Roman" w:cs="Times New Roman"/>
                <w:color w:val="000000" w:themeColor="text1"/>
                <w:sz w:val="24"/>
                <w:highlight w:val="none"/>
                <w14:textFill>
                  <w14:solidFill>
                    <w14:schemeClr w14:val="tx1"/>
                  </w14:solidFill>
                </w14:textFill>
              </w:rPr>
              <w:fldChar w:fldCharType="begin"/>
            </w:r>
            <w:r>
              <w:rPr>
                <w:rFonts w:ascii="Times New Roman" w:hAnsi="Times New Roman" w:cs="Times New Roman"/>
                <w:color w:val="000000" w:themeColor="text1"/>
                <w:sz w:val="24"/>
                <w:highlight w:val="none"/>
                <w14:textFill>
                  <w14:solidFill>
                    <w14:schemeClr w14:val="tx1"/>
                  </w14:solidFill>
                </w14:textFill>
              </w:rPr>
              <w:instrText xml:space="preserve"> = 3 \* GB3 \* MERGEFORMAT </w:instrText>
            </w:r>
            <w:r>
              <w:rPr>
                <w:rFonts w:ascii="Times New Roman" w:hAnsi="Times New Roman" w:cs="Times New Roman"/>
                <w:color w:val="000000" w:themeColor="text1"/>
                <w:sz w:val="24"/>
                <w:highlight w:val="none"/>
                <w14:textFill>
                  <w14:solidFill>
                    <w14:schemeClr w14:val="tx1"/>
                  </w14:solidFill>
                </w14:textFill>
              </w:rPr>
              <w:fldChar w:fldCharType="separate"/>
            </w:r>
            <w:r>
              <w:rPr>
                <w:rFonts w:ascii="Times New Roman" w:hAnsi="Times New Roman" w:cs="Times New Roman"/>
                <w:color w:val="000000" w:themeColor="text1"/>
                <w:sz w:val="24"/>
                <w:highlight w:val="none"/>
                <w14:textFill>
                  <w14:solidFill>
                    <w14:schemeClr w14:val="tx1"/>
                  </w14:solidFill>
                </w14:textFill>
              </w:rPr>
              <w:t>③</w:t>
            </w:r>
            <w:r>
              <w:rPr>
                <w:rFonts w:ascii="Times New Roman" w:hAnsi="Times New Roman" w:cs="Times New Roman"/>
                <w:color w:val="000000" w:themeColor="text1"/>
                <w:sz w:val="24"/>
                <w:highlight w:val="none"/>
                <w14:textFill>
                  <w14:solidFill>
                    <w14:schemeClr w14:val="tx1"/>
                  </w14:solidFill>
                </w14:textFill>
              </w:rPr>
              <w:fldChar w:fldCharType="end"/>
            </w:r>
            <w:r>
              <w:rPr>
                <w:rFonts w:ascii="Times New Roman" w:hAnsi="Times New Roman" w:cs="Times New Roman"/>
                <w:color w:val="000000" w:themeColor="text1"/>
                <w:sz w:val="24"/>
                <w:highlight w:val="none"/>
                <w14:textFill>
                  <w14:solidFill>
                    <w14:schemeClr w14:val="tx1"/>
                  </w14:solidFill>
                </w14:textFill>
              </w:rPr>
              <w:t>做好员工培训：</w:t>
            </w:r>
            <w:r>
              <w:rPr>
                <w:rFonts w:ascii="Times New Roman" w:hAnsi="Times New Roman" w:cs="Times New Roman"/>
                <w:color w:val="000000" w:themeColor="text1"/>
                <w:sz w:val="24"/>
                <w:highlight w:val="none"/>
                <w:lang w:val="zh-CN"/>
                <w14:textFill>
                  <w14:solidFill>
                    <w14:schemeClr w14:val="tx1"/>
                  </w14:solidFill>
                </w14:textFill>
              </w:rPr>
              <w:t>坚持“安全第一，预防为主”的方针，积极推行全员预防性管理，实行安全工作责任制，建立安全规章制度，设立安全机构，</w:t>
            </w:r>
            <w:r>
              <w:rPr>
                <w:rFonts w:ascii="Times New Roman" w:hAnsi="Times New Roman" w:cs="Times New Roman"/>
                <w:color w:val="000000" w:themeColor="text1"/>
                <w:sz w:val="24"/>
                <w:highlight w:val="none"/>
                <w14:textFill>
                  <w14:solidFill>
                    <w14:schemeClr w14:val="tx1"/>
                  </w14:solidFill>
                </w14:textFill>
              </w:rPr>
              <w:t>加强员工培训。工作</w:t>
            </w:r>
            <w:r>
              <w:rPr>
                <w:rFonts w:ascii="Times New Roman" w:hAnsi="Times New Roman" w:cs="Times New Roman"/>
                <w:color w:val="000000" w:themeColor="text1"/>
                <w:sz w:val="24"/>
                <w:highlight w:val="none"/>
                <w:lang w:val="zh-CN"/>
                <w14:textFill>
                  <w14:solidFill>
                    <w14:schemeClr w14:val="tx1"/>
                  </w14:solidFill>
                </w14:textFill>
              </w:rPr>
              <w:t>人员必须经过专业知识培训，熟悉贮存物品的特性、事故处理办法和防护知识，必须配备有关的个人防护用品。</w:t>
            </w:r>
          </w:p>
          <w:p w14:paraId="68FC2C19">
            <w:pPr>
              <w:spacing w:line="520" w:lineRule="exact"/>
              <w:ind w:firstLine="480" w:firstLineChars="200"/>
              <w:rPr>
                <w:rFonts w:ascii="Times New Roman" w:hAnsi="Times New Roman" w:cs="Times New Roman"/>
                <w:color w:val="000000" w:themeColor="text1"/>
                <w:sz w:val="24"/>
                <w:highlight w:val="none"/>
                <w:lang w:val="zh-CN"/>
                <w14:textFill>
                  <w14:solidFill>
                    <w14:schemeClr w14:val="tx1"/>
                  </w14:solidFill>
                </w14:textFill>
              </w:rPr>
            </w:pPr>
            <w:r>
              <w:rPr>
                <w:rFonts w:ascii="Times New Roman" w:hAnsi="Times New Roman" w:cs="Times New Roman"/>
                <w:color w:val="000000" w:themeColor="text1"/>
                <w:sz w:val="24"/>
                <w:highlight w:val="none"/>
                <w:lang w:val="zh-CN"/>
                <w14:textFill>
                  <w14:solidFill>
                    <w14:schemeClr w14:val="tx1"/>
                  </w14:solidFill>
                </w14:textFill>
              </w:rPr>
              <w:fldChar w:fldCharType="begin"/>
            </w:r>
            <w:r>
              <w:rPr>
                <w:rFonts w:ascii="Times New Roman" w:hAnsi="Times New Roman" w:cs="Times New Roman"/>
                <w:color w:val="000000" w:themeColor="text1"/>
                <w:sz w:val="24"/>
                <w:highlight w:val="none"/>
                <w:lang w:val="zh-CN"/>
                <w14:textFill>
                  <w14:solidFill>
                    <w14:schemeClr w14:val="tx1"/>
                  </w14:solidFill>
                </w14:textFill>
              </w:rPr>
              <w:instrText xml:space="preserve"> = 4 \* GB3 \* MERGEFORMAT </w:instrText>
            </w:r>
            <w:r>
              <w:rPr>
                <w:rFonts w:ascii="Times New Roman" w:hAnsi="Times New Roman" w:cs="Times New Roman"/>
                <w:color w:val="000000" w:themeColor="text1"/>
                <w:sz w:val="24"/>
                <w:highlight w:val="none"/>
                <w:lang w:val="zh-CN"/>
                <w14:textFill>
                  <w14:solidFill>
                    <w14:schemeClr w14:val="tx1"/>
                  </w14:solidFill>
                </w14:textFill>
              </w:rPr>
              <w:fldChar w:fldCharType="separate"/>
            </w:r>
            <w:r>
              <w:rPr>
                <w:rFonts w:ascii="Times New Roman" w:hAnsi="Times New Roman" w:cs="Times New Roman"/>
                <w:color w:val="000000" w:themeColor="text1"/>
                <w:sz w:val="24"/>
                <w:highlight w:val="none"/>
                <w14:textFill>
                  <w14:solidFill>
                    <w14:schemeClr w14:val="tx1"/>
                  </w14:solidFill>
                </w14:textFill>
              </w:rPr>
              <w:t>④</w:t>
            </w:r>
            <w:r>
              <w:rPr>
                <w:rFonts w:ascii="Times New Roman" w:hAnsi="Times New Roman" w:cs="Times New Roman"/>
                <w:color w:val="000000" w:themeColor="text1"/>
                <w:sz w:val="24"/>
                <w:highlight w:val="none"/>
                <w:lang w:val="zh-CN"/>
                <w14:textFill>
                  <w14:solidFill>
                    <w14:schemeClr w14:val="tx1"/>
                  </w14:solidFill>
                </w14:textFill>
              </w:rPr>
              <w:fldChar w:fldCharType="end"/>
            </w:r>
            <w:r>
              <w:rPr>
                <w:rFonts w:ascii="Times New Roman" w:hAnsi="Times New Roman" w:cs="Times New Roman"/>
                <w:color w:val="000000" w:themeColor="text1"/>
                <w:sz w:val="24"/>
                <w:highlight w:val="none"/>
                <w:lang w:val="zh-CN"/>
                <w14:textFill>
                  <w14:solidFill>
                    <w14:schemeClr w14:val="tx1"/>
                  </w14:solidFill>
                </w14:textFill>
              </w:rPr>
              <w:t>组建事故应急队伍，</w:t>
            </w:r>
            <w:r>
              <w:rPr>
                <w:rFonts w:ascii="Times New Roman" w:hAnsi="Times New Roman" w:cs="Times New Roman"/>
                <w:color w:val="000000" w:themeColor="text1"/>
                <w:sz w:val="24"/>
                <w:highlight w:val="none"/>
                <w14:textFill>
                  <w14:solidFill>
                    <w14:schemeClr w14:val="tx1"/>
                  </w14:solidFill>
                </w14:textFill>
              </w:rPr>
              <w:t>厂区准备一定的灭火毯、灭火器、干沙、吸油毡等物资，可在化学品及油料泄漏时吸收或者灭火之用，</w:t>
            </w:r>
            <w:r>
              <w:rPr>
                <w:rFonts w:ascii="Times New Roman" w:hAnsi="Times New Roman" w:cs="Times New Roman"/>
                <w:color w:val="000000" w:themeColor="text1"/>
                <w:sz w:val="24"/>
                <w:highlight w:val="none"/>
                <w:lang w:val="zh-CN"/>
                <w14:textFill>
                  <w14:solidFill>
                    <w14:schemeClr w14:val="tx1"/>
                  </w14:solidFill>
                </w14:textFill>
              </w:rPr>
              <w:t>定期举行安全消防演练，并制定</w:t>
            </w:r>
            <w:r>
              <w:rPr>
                <w:rFonts w:ascii="Times New Roman" w:hAnsi="Times New Roman" w:cs="Times New Roman"/>
                <w:color w:val="000000" w:themeColor="text1"/>
                <w:sz w:val="24"/>
                <w:highlight w:val="none"/>
                <w14:textFill>
                  <w14:solidFill>
                    <w14:schemeClr w14:val="tx1"/>
                  </w14:solidFill>
                </w14:textFill>
              </w:rPr>
              <w:t>应急</w:t>
            </w:r>
            <w:r>
              <w:rPr>
                <w:rFonts w:ascii="Times New Roman" w:hAnsi="Times New Roman" w:cs="Times New Roman"/>
                <w:color w:val="000000" w:themeColor="text1"/>
                <w:sz w:val="24"/>
                <w:highlight w:val="none"/>
                <w:lang w:val="zh-CN"/>
                <w14:textFill>
                  <w14:solidFill>
                    <w14:schemeClr w14:val="tx1"/>
                  </w14:solidFill>
                </w14:textFill>
              </w:rPr>
              <w:t>预案。</w:t>
            </w:r>
          </w:p>
          <w:p w14:paraId="2D34A3C2">
            <w:pPr>
              <w:spacing w:before="31" w:beforeLines="10" w:after="31" w:afterLines="10" w:line="360" w:lineRule="auto"/>
              <w:ind w:firstLine="482" w:firstLineChars="200"/>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（5）分析结论</w:t>
            </w:r>
          </w:p>
          <w:p w14:paraId="577B19CC">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综上，项目采取环境风险管理和防范措施后，环境风险可防可控，事故状态下不会对周围环境及人群造成大的环境危害，风险水平可接受。</w:t>
            </w:r>
          </w:p>
          <w:p w14:paraId="28999C86">
            <w:pPr>
              <w:pStyle w:val="21"/>
              <w:widowControl w:val="0"/>
              <w:spacing w:before="31" w:beforeLines="10" w:beforeAutospacing="0" w:after="31" w:afterLines="10" w:afterAutospacing="0" w:line="360" w:lineRule="auto"/>
              <w:jc w:val="both"/>
              <w:rPr>
                <w:rFonts w:ascii="Times New Roman" w:hAnsi="Times New Roman" w:eastAsia="宋体" w:cs="宋体"/>
                <w:b/>
                <w:bCs/>
                <w:color w:val="000000" w:themeColor="text1"/>
                <w:szCs w:val="24"/>
                <w:highlight w:val="none"/>
                <w:lang w:bidi="ar"/>
                <w14:textFill>
                  <w14:solidFill>
                    <w14:schemeClr w14:val="tx1"/>
                  </w14:solidFill>
                </w14:textFill>
              </w:rPr>
            </w:pPr>
            <w:r>
              <w:rPr>
                <w:rFonts w:hint="eastAsia" w:ascii="Times New Roman" w:hAnsi="Times New Roman" w:eastAsia="宋体" w:cs="宋体"/>
                <w:b/>
                <w:bCs/>
                <w:color w:val="000000" w:themeColor="text1"/>
                <w:szCs w:val="24"/>
                <w:highlight w:val="none"/>
                <w:lang w:bidi="ar"/>
                <w14:textFill>
                  <w14:solidFill>
                    <w14:schemeClr w14:val="tx1"/>
                  </w14:solidFill>
                </w14:textFill>
              </w:rPr>
              <w:t>6、地下水、土壤</w:t>
            </w:r>
          </w:p>
          <w:p w14:paraId="28168C5C">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建设单位租赁坤坤农业公司部分厂房建设本项目，目前车间地面已完全进行硬化处理，危废贮存点等均按要求完成分区防渗处理。废油液容器下方应设置防漏托盘。正常情况下不具有地下水、土壤污染影响途径，不会对土壤及地下水造成影响。</w:t>
            </w:r>
          </w:p>
          <w:p w14:paraId="04136A6F">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项目各区域采取的具体防渗措施见下表：</w:t>
            </w:r>
          </w:p>
          <w:p w14:paraId="77E6E2F6">
            <w:pPr>
              <w:pStyle w:val="21"/>
              <w:spacing w:before="0" w:beforeAutospacing="0" w:after="0" w:afterAutospacing="0" w:line="360" w:lineRule="auto"/>
              <w:jc w:val="center"/>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14:textFill>
                  <w14:solidFill>
                    <w14:schemeClr w14:val="tx1"/>
                  </w14:solidFill>
                </w14:textFill>
              </w:rPr>
              <w:t>表4-2</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4</w:t>
            </w:r>
            <w:r>
              <w:rPr>
                <w:rFonts w:ascii="Times New Roman" w:hAnsi="Times New Roman" w:eastAsia="宋体" w:cs="Times New Roman"/>
                <w:color w:val="000000" w:themeColor="text1"/>
                <w:szCs w:val="24"/>
                <w:highlight w:val="none"/>
                <w14:textFill>
                  <w14:solidFill>
                    <w14:schemeClr w14:val="tx1"/>
                  </w14:solidFill>
                </w14:textFill>
              </w:rPr>
              <w:t xml:space="preserve"> 分区防渗措施一览表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39"/>
              <w:gridCol w:w="3210"/>
              <w:gridCol w:w="3702"/>
            </w:tblGrid>
            <w:tr w14:paraId="46A49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tcBorders>
                    <w:tl2br w:val="nil"/>
                    <w:tr2bl w:val="nil"/>
                  </w:tcBorders>
                  <w:vAlign w:val="center"/>
                </w:tcPr>
                <w:p w14:paraId="6F9DF1DF">
                  <w:pPr>
                    <w:spacing w:before="62" w:beforeLines="20" w:after="62" w:afterLines="20"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ascii="Times New Roman" w:hAnsi="Times New Roman" w:eastAsia="宋体" w:cs="宋体"/>
                      <w:b/>
                      <w:bCs/>
                      <w:color w:val="000000" w:themeColor="text1"/>
                      <w:szCs w:val="21"/>
                      <w:highlight w:val="none"/>
                      <w14:textFill>
                        <w14:solidFill>
                          <w14:schemeClr w14:val="tx1"/>
                        </w14:solidFill>
                      </w14:textFill>
                    </w:rPr>
                    <w:t>防渗分区</w:t>
                  </w:r>
                </w:p>
              </w:tc>
              <w:tc>
                <w:tcPr>
                  <w:tcW w:w="1899" w:type="pct"/>
                  <w:tcBorders>
                    <w:tl2br w:val="nil"/>
                    <w:tr2bl w:val="nil"/>
                  </w:tcBorders>
                  <w:vAlign w:val="center"/>
                </w:tcPr>
                <w:p w14:paraId="1954F79E">
                  <w:pPr>
                    <w:spacing w:before="62" w:beforeLines="20" w:after="62" w:afterLines="20"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ascii="Times New Roman" w:hAnsi="Times New Roman" w:eastAsia="宋体" w:cs="宋体"/>
                      <w:b/>
                      <w:bCs/>
                      <w:color w:val="000000" w:themeColor="text1"/>
                      <w:szCs w:val="21"/>
                      <w:highlight w:val="none"/>
                      <w14:textFill>
                        <w14:solidFill>
                          <w14:schemeClr w14:val="tx1"/>
                        </w14:solidFill>
                      </w14:textFill>
                    </w:rPr>
                    <w:t>厂区分布</w:t>
                  </w:r>
                </w:p>
              </w:tc>
              <w:tc>
                <w:tcPr>
                  <w:tcW w:w="2190" w:type="pct"/>
                  <w:tcBorders>
                    <w:tl2br w:val="nil"/>
                    <w:tr2bl w:val="nil"/>
                  </w:tcBorders>
                  <w:vAlign w:val="center"/>
                </w:tcPr>
                <w:p w14:paraId="6BAC28C2">
                  <w:pPr>
                    <w:spacing w:before="62" w:beforeLines="20" w:after="62" w:afterLines="20"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ascii="Times New Roman" w:hAnsi="Times New Roman" w:eastAsia="宋体" w:cs="宋体"/>
                      <w:b/>
                      <w:bCs/>
                      <w:color w:val="000000" w:themeColor="text1"/>
                      <w:szCs w:val="21"/>
                      <w:highlight w:val="none"/>
                      <w14:textFill>
                        <w14:solidFill>
                          <w14:schemeClr w14:val="tx1"/>
                        </w14:solidFill>
                      </w14:textFill>
                    </w:rPr>
                    <w:t>防渗</w:t>
                  </w:r>
                  <w:r>
                    <w:rPr>
                      <w:rFonts w:hint="eastAsia" w:ascii="Times New Roman" w:hAnsi="Times New Roman" w:eastAsia="宋体" w:cs="宋体"/>
                      <w:b/>
                      <w:bCs/>
                      <w:color w:val="000000" w:themeColor="text1"/>
                      <w:szCs w:val="21"/>
                      <w:highlight w:val="none"/>
                      <w14:textFill>
                        <w14:solidFill>
                          <w14:schemeClr w14:val="tx1"/>
                        </w14:solidFill>
                      </w14:textFill>
                    </w:rPr>
                    <w:t>要求</w:t>
                  </w:r>
                </w:p>
              </w:tc>
            </w:tr>
            <w:tr w14:paraId="6DB7D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tcBorders>
                    <w:tl2br w:val="nil"/>
                    <w:tr2bl w:val="nil"/>
                  </w:tcBorders>
                  <w:vAlign w:val="center"/>
                </w:tcPr>
                <w:p w14:paraId="33F9F518">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ascii="Times New Roman" w:hAnsi="Times New Roman" w:eastAsia="宋体" w:cs="宋体"/>
                      <w:color w:val="000000" w:themeColor="text1"/>
                      <w:szCs w:val="21"/>
                      <w:highlight w:val="none"/>
                      <w14:textFill>
                        <w14:solidFill>
                          <w14:schemeClr w14:val="tx1"/>
                        </w14:solidFill>
                      </w14:textFill>
                    </w:rPr>
                    <w:t>简单</w:t>
                  </w:r>
                  <w:r>
                    <w:rPr>
                      <w:rFonts w:hint="eastAsia" w:ascii="Times New Roman" w:hAnsi="Times New Roman" w:eastAsia="宋体"/>
                      <w:color w:val="000000" w:themeColor="text1"/>
                      <w:szCs w:val="21"/>
                      <w:highlight w:val="none"/>
                      <w14:textFill>
                        <w14:solidFill>
                          <w14:schemeClr w14:val="tx1"/>
                        </w14:solidFill>
                      </w14:textFill>
                    </w:rPr>
                    <w:t>防渗</w:t>
                  </w:r>
                  <w:r>
                    <w:rPr>
                      <w:rFonts w:ascii="Times New Roman" w:hAnsi="Times New Roman" w:eastAsia="宋体" w:cs="宋体"/>
                      <w:color w:val="000000" w:themeColor="text1"/>
                      <w:szCs w:val="21"/>
                      <w:highlight w:val="none"/>
                      <w14:textFill>
                        <w14:solidFill>
                          <w14:schemeClr w14:val="tx1"/>
                        </w14:solidFill>
                      </w14:textFill>
                    </w:rPr>
                    <w:t>区</w:t>
                  </w:r>
                </w:p>
              </w:tc>
              <w:tc>
                <w:tcPr>
                  <w:tcW w:w="1899" w:type="pct"/>
                  <w:tcBorders>
                    <w:tl2br w:val="nil"/>
                    <w:tr2bl w:val="nil"/>
                  </w:tcBorders>
                  <w:vAlign w:val="center"/>
                </w:tcPr>
                <w:p w14:paraId="173C6998">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厂区道路及空地</w:t>
                  </w:r>
                </w:p>
              </w:tc>
              <w:tc>
                <w:tcPr>
                  <w:tcW w:w="2190" w:type="pct"/>
                  <w:tcBorders>
                    <w:tl2br w:val="nil"/>
                    <w:tr2bl w:val="nil"/>
                  </w:tcBorders>
                  <w:vAlign w:val="center"/>
                </w:tcPr>
                <w:p w14:paraId="03ABB7D3">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ascii="Times New Roman" w:hAnsi="Times New Roman" w:eastAsia="宋体" w:cs="宋体"/>
                      <w:color w:val="000000" w:themeColor="text1"/>
                      <w:szCs w:val="21"/>
                      <w:highlight w:val="none"/>
                      <w14:textFill>
                        <w14:solidFill>
                          <w14:schemeClr w14:val="tx1"/>
                        </w14:solidFill>
                      </w14:textFill>
                    </w:rPr>
                    <w:t>一般地面硬化</w:t>
                  </w:r>
                </w:p>
              </w:tc>
            </w:tr>
            <w:tr w14:paraId="08681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tcBorders>
                    <w:tl2br w:val="nil"/>
                    <w:tr2bl w:val="nil"/>
                  </w:tcBorders>
                  <w:vAlign w:val="center"/>
                </w:tcPr>
                <w:p w14:paraId="40DA8A6D">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ascii="Times New Roman" w:hAnsi="Times New Roman" w:eastAsia="宋体" w:cs="宋体"/>
                      <w:color w:val="000000" w:themeColor="text1"/>
                      <w:szCs w:val="21"/>
                      <w:highlight w:val="none"/>
                      <w14:textFill>
                        <w14:solidFill>
                          <w14:schemeClr w14:val="tx1"/>
                        </w14:solidFill>
                      </w14:textFill>
                    </w:rPr>
                    <w:t>一般</w:t>
                  </w:r>
                  <w:r>
                    <w:rPr>
                      <w:rFonts w:hint="eastAsia" w:ascii="Times New Roman" w:hAnsi="Times New Roman" w:eastAsia="宋体"/>
                      <w:color w:val="000000" w:themeColor="text1"/>
                      <w:szCs w:val="21"/>
                      <w:highlight w:val="none"/>
                      <w14:textFill>
                        <w14:solidFill>
                          <w14:schemeClr w14:val="tx1"/>
                        </w14:solidFill>
                      </w14:textFill>
                    </w:rPr>
                    <w:t>防渗</w:t>
                  </w:r>
                  <w:r>
                    <w:rPr>
                      <w:rFonts w:ascii="Times New Roman" w:hAnsi="Times New Roman" w:eastAsia="宋体" w:cs="宋体"/>
                      <w:color w:val="000000" w:themeColor="text1"/>
                      <w:szCs w:val="21"/>
                      <w:highlight w:val="none"/>
                      <w14:textFill>
                        <w14:solidFill>
                          <w14:schemeClr w14:val="tx1"/>
                        </w14:solidFill>
                      </w14:textFill>
                    </w:rPr>
                    <w:t>区</w:t>
                  </w:r>
                </w:p>
              </w:tc>
              <w:tc>
                <w:tcPr>
                  <w:tcW w:w="1899" w:type="pct"/>
                  <w:tcBorders>
                    <w:tl2br w:val="nil"/>
                    <w:tr2bl w:val="nil"/>
                  </w:tcBorders>
                  <w:vAlign w:val="center"/>
                </w:tcPr>
                <w:p w14:paraId="1AFD4B72">
                  <w:pPr>
                    <w:spacing w:before="68" w:beforeLines="22" w:after="68" w:afterLines="22"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除重点防渗区以外的生产区域</w:t>
                  </w:r>
                </w:p>
              </w:tc>
              <w:tc>
                <w:tcPr>
                  <w:tcW w:w="2190" w:type="pct"/>
                  <w:tcBorders>
                    <w:tl2br w:val="nil"/>
                    <w:tr2bl w:val="nil"/>
                  </w:tcBorders>
                  <w:vAlign w:val="center"/>
                </w:tcPr>
                <w:p w14:paraId="024411B6">
                  <w:pPr>
                    <w:spacing w:before="62" w:beforeLines="20" w:after="62" w:afterLines="20"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防渗性能不低于</w:t>
                  </w:r>
                  <w:r>
                    <w:rPr>
                      <w:rFonts w:ascii="Times New Roman" w:hAnsi="Times New Roman" w:eastAsia="宋体"/>
                      <w:color w:val="000000" w:themeColor="text1"/>
                      <w:szCs w:val="21"/>
                      <w:highlight w:val="none"/>
                      <w14:textFill>
                        <w14:solidFill>
                          <w14:schemeClr w14:val="tx1"/>
                        </w14:solidFill>
                      </w14:textFill>
                    </w:rPr>
                    <w:t>1.5m</w:t>
                  </w:r>
                  <w:r>
                    <w:rPr>
                      <w:rFonts w:hint="eastAsia" w:ascii="Times New Roman" w:hAnsi="Times New Roman" w:eastAsia="宋体"/>
                      <w:color w:val="000000" w:themeColor="text1"/>
                      <w:szCs w:val="21"/>
                      <w:highlight w:val="none"/>
                      <w14:textFill>
                        <w14:solidFill>
                          <w14:schemeClr w14:val="tx1"/>
                        </w14:solidFill>
                      </w14:textFill>
                    </w:rPr>
                    <w:t>厚渗透系数为</w:t>
                  </w:r>
                  <w:r>
                    <w:rPr>
                      <w:rFonts w:ascii="Times New Roman" w:hAnsi="Times New Roman" w:eastAsia="宋体"/>
                      <w:color w:val="000000" w:themeColor="text1"/>
                      <w:szCs w:val="21"/>
                      <w:highlight w:val="none"/>
                      <w14:textFill>
                        <w14:solidFill>
                          <w14:schemeClr w14:val="tx1"/>
                        </w14:solidFill>
                      </w14:textFill>
                    </w:rPr>
                    <w:t>1.0×10</w:t>
                  </w:r>
                  <w:r>
                    <w:rPr>
                      <w:rFonts w:ascii="Times New Roman" w:hAnsi="Times New Roman" w:eastAsia="宋体"/>
                      <w:color w:val="000000" w:themeColor="text1"/>
                      <w:szCs w:val="21"/>
                      <w:highlight w:val="none"/>
                      <w:vertAlign w:val="superscript"/>
                      <w14:textFill>
                        <w14:solidFill>
                          <w14:schemeClr w14:val="tx1"/>
                        </w14:solidFill>
                      </w14:textFill>
                    </w:rPr>
                    <w:t>-7</w:t>
                  </w:r>
                  <w:r>
                    <w:rPr>
                      <w:rFonts w:ascii="Times New Roman" w:hAnsi="Times New Roman" w:eastAsia="宋体"/>
                      <w:color w:val="000000" w:themeColor="text1"/>
                      <w:szCs w:val="21"/>
                      <w:highlight w:val="none"/>
                      <w14:textFill>
                        <w14:solidFill>
                          <w14:schemeClr w14:val="tx1"/>
                        </w14:solidFill>
                      </w14:textFill>
                    </w:rPr>
                    <w:t>cm/s</w:t>
                  </w:r>
                  <w:r>
                    <w:rPr>
                      <w:rFonts w:hint="eastAsia" w:ascii="Times New Roman" w:hAnsi="Times New Roman" w:eastAsia="宋体"/>
                      <w:color w:val="000000" w:themeColor="text1"/>
                      <w:szCs w:val="21"/>
                      <w:highlight w:val="none"/>
                      <w14:textFill>
                        <w14:solidFill>
                          <w14:schemeClr w14:val="tx1"/>
                        </w14:solidFill>
                      </w14:textFill>
                    </w:rPr>
                    <w:t>的黏土层防渗性能</w:t>
                  </w:r>
                </w:p>
              </w:tc>
            </w:tr>
            <w:tr w14:paraId="6A177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10" w:type="pct"/>
                  <w:tcBorders>
                    <w:tl2br w:val="nil"/>
                    <w:tr2bl w:val="nil"/>
                  </w:tcBorders>
                  <w:vAlign w:val="center"/>
                </w:tcPr>
                <w:p w14:paraId="1C364292">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ascii="Times New Roman" w:hAnsi="Times New Roman" w:eastAsia="宋体" w:cs="宋体"/>
                      <w:color w:val="000000" w:themeColor="text1"/>
                      <w:szCs w:val="21"/>
                      <w:highlight w:val="none"/>
                      <w14:textFill>
                        <w14:solidFill>
                          <w14:schemeClr w14:val="tx1"/>
                        </w14:solidFill>
                      </w14:textFill>
                    </w:rPr>
                    <w:t>重点</w:t>
                  </w:r>
                  <w:r>
                    <w:rPr>
                      <w:rFonts w:hint="eastAsia" w:ascii="Times New Roman" w:hAnsi="Times New Roman" w:eastAsia="宋体"/>
                      <w:color w:val="000000" w:themeColor="text1"/>
                      <w:szCs w:val="21"/>
                      <w:highlight w:val="none"/>
                      <w14:textFill>
                        <w14:solidFill>
                          <w14:schemeClr w14:val="tx1"/>
                        </w14:solidFill>
                      </w14:textFill>
                    </w:rPr>
                    <w:t>防渗</w:t>
                  </w:r>
                  <w:r>
                    <w:rPr>
                      <w:rFonts w:ascii="Times New Roman" w:hAnsi="Times New Roman" w:eastAsia="宋体" w:cs="宋体"/>
                      <w:color w:val="000000" w:themeColor="text1"/>
                      <w:szCs w:val="21"/>
                      <w:highlight w:val="none"/>
                      <w14:textFill>
                        <w14:solidFill>
                          <w14:schemeClr w14:val="tx1"/>
                        </w14:solidFill>
                      </w14:textFill>
                    </w:rPr>
                    <w:t>区</w:t>
                  </w:r>
                </w:p>
              </w:tc>
              <w:tc>
                <w:tcPr>
                  <w:tcW w:w="1899" w:type="pct"/>
                  <w:tcBorders>
                    <w:tl2br w:val="nil"/>
                    <w:tr2bl w:val="nil"/>
                  </w:tcBorders>
                  <w:vAlign w:val="center"/>
                </w:tcPr>
                <w:p w14:paraId="68A4A49B">
                  <w:pPr>
                    <w:spacing w:before="78" w:beforeLines="25" w:after="78" w:afterLines="25" w:line="30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危废贮存点</w:t>
                  </w:r>
                </w:p>
              </w:tc>
              <w:tc>
                <w:tcPr>
                  <w:tcW w:w="2190" w:type="pct"/>
                  <w:tcBorders>
                    <w:tl2br w:val="nil"/>
                    <w:tr2bl w:val="nil"/>
                  </w:tcBorders>
                  <w:vAlign w:val="center"/>
                </w:tcPr>
                <w:p w14:paraId="0F4BCD81">
                  <w:pPr>
                    <w:spacing w:before="78" w:beforeLines="25" w:after="78" w:afterLines="25" w:line="288"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防渗性能不低于6.0m厚渗透系数为</w:t>
                  </w:r>
                  <w:r>
                    <w:rPr>
                      <w:rFonts w:ascii="Times New Roman" w:hAnsi="Times New Roman" w:eastAsia="宋体"/>
                      <w:color w:val="000000" w:themeColor="text1"/>
                      <w:szCs w:val="21"/>
                      <w:highlight w:val="none"/>
                      <w14:textFill>
                        <w14:solidFill>
                          <w14:schemeClr w14:val="tx1"/>
                        </w14:solidFill>
                      </w14:textFill>
                    </w:rPr>
                    <w:t>1.0×10</w:t>
                  </w:r>
                  <w:r>
                    <w:rPr>
                      <w:rFonts w:ascii="Times New Roman" w:hAnsi="Times New Roman" w:eastAsia="宋体"/>
                      <w:color w:val="000000" w:themeColor="text1"/>
                      <w:szCs w:val="21"/>
                      <w:highlight w:val="none"/>
                      <w:vertAlign w:val="superscript"/>
                      <w14:textFill>
                        <w14:solidFill>
                          <w14:schemeClr w14:val="tx1"/>
                        </w14:solidFill>
                      </w14:textFill>
                    </w:rPr>
                    <w:t>-7</w:t>
                  </w:r>
                  <w:r>
                    <w:rPr>
                      <w:rFonts w:ascii="Times New Roman" w:hAnsi="Times New Roman" w:eastAsia="宋体"/>
                      <w:color w:val="000000" w:themeColor="text1"/>
                      <w:szCs w:val="21"/>
                      <w:highlight w:val="none"/>
                      <w14:textFill>
                        <w14:solidFill>
                          <w14:schemeClr w14:val="tx1"/>
                        </w14:solidFill>
                      </w14:textFill>
                    </w:rPr>
                    <w:t>cm/s</w:t>
                  </w:r>
                  <w:r>
                    <w:rPr>
                      <w:rFonts w:hint="eastAsia" w:ascii="Times New Roman" w:hAnsi="Times New Roman" w:eastAsia="宋体"/>
                      <w:color w:val="000000" w:themeColor="text1"/>
                      <w:szCs w:val="21"/>
                      <w:highlight w:val="none"/>
                      <w14:textFill>
                        <w14:solidFill>
                          <w14:schemeClr w14:val="tx1"/>
                        </w14:solidFill>
                      </w14:textFill>
                    </w:rPr>
                    <w:t>的黏土层防渗性能</w:t>
                  </w:r>
                </w:p>
              </w:tc>
            </w:tr>
          </w:tbl>
          <w:p w14:paraId="21D56346">
            <w:pPr>
              <w:pStyle w:val="21"/>
              <w:widowControl w:val="0"/>
              <w:spacing w:before="31" w:beforeLines="10" w:beforeAutospacing="0" w:after="31" w:afterLines="10" w:afterAutospacing="0" w:line="360" w:lineRule="auto"/>
              <w:jc w:val="both"/>
              <w:rPr>
                <w:rFonts w:ascii="Times New Roman" w:hAnsi="Times New Roman" w:eastAsia="宋体" w:cs="宋体"/>
                <w:b/>
                <w:bCs/>
                <w:color w:val="000000" w:themeColor="text1"/>
                <w:szCs w:val="24"/>
                <w:highlight w:val="none"/>
                <w:lang w:bidi="ar"/>
                <w14:textFill>
                  <w14:solidFill>
                    <w14:schemeClr w14:val="tx1"/>
                  </w14:solidFill>
                </w14:textFill>
              </w:rPr>
            </w:pPr>
            <w:r>
              <w:rPr>
                <w:rFonts w:hint="eastAsia" w:ascii="Times New Roman" w:hAnsi="Times New Roman" w:eastAsia="宋体" w:cs="宋体"/>
                <w:b/>
                <w:bCs/>
                <w:color w:val="000000" w:themeColor="text1"/>
                <w:szCs w:val="24"/>
                <w:highlight w:val="none"/>
                <w:lang w:bidi="ar"/>
                <w14:textFill>
                  <w14:solidFill>
                    <w14:schemeClr w14:val="tx1"/>
                  </w14:solidFill>
                </w14:textFill>
              </w:rPr>
              <w:t>7、生态</w:t>
            </w:r>
          </w:p>
          <w:p w14:paraId="124E2C7B">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由于本项目在重庆坤坤农业装备制造有限公司现有厂房内布置实施，且场地内无生态环境保护目标，故本项目不涉及生态影响。</w:t>
            </w:r>
          </w:p>
          <w:p w14:paraId="5C0D1910">
            <w:pPr>
              <w:pStyle w:val="21"/>
              <w:widowControl w:val="0"/>
              <w:spacing w:before="31" w:beforeLines="10" w:beforeAutospacing="0" w:after="31" w:afterLines="10" w:afterAutospacing="0" w:line="360" w:lineRule="auto"/>
              <w:jc w:val="both"/>
              <w:rPr>
                <w:rFonts w:ascii="Times New Roman" w:hAnsi="Times New Roman" w:eastAsia="宋体" w:cs="宋体"/>
                <w:b/>
                <w:bCs/>
                <w:color w:val="000000" w:themeColor="text1"/>
                <w:szCs w:val="24"/>
                <w:highlight w:val="none"/>
                <w:lang w:bidi="ar"/>
                <w14:textFill>
                  <w14:solidFill>
                    <w14:schemeClr w14:val="tx1"/>
                  </w14:solidFill>
                </w14:textFill>
              </w:rPr>
            </w:pPr>
            <w:r>
              <w:rPr>
                <w:rFonts w:hint="eastAsia" w:ascii="Times New Roman" w:hAnsi="Times New Roman" w:eastAsia="宋体" w:cs="宋体"/>
                <w:b/>
                <w:bCs/>
                <w:color w:val="000000" w:themeColor="text1"/>
                <w:szCs w:val="24"/>
                <w:highlight w:val="none"/>
                <w:lang w:bidi="ar"/>
                <w14:textFill>
                  <w14:solidFill>
                    <w14:schemeClr w14:val="tx1"/>
                  </w14:solidFill>
                </w14:textFill>
              </w:rPr>
              <w:t>8、电磁辐射</w:t>
            </w:r>
          </w:p>
          <w:p w14:paraId="7D87655B">
            <w:pPr>
              <w:spacing w:line="372" w:lineRule="auto"/>
              <w:ind w:firstLine="480" w:firstLineChars="200"/>
              <w:rPr>
                <w:rFonts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14:textFill>
                  <w14:solidFill>
                    <w14:schemeClr w14:val="tx1"/>
                  </w14:solidFill>
                </w14:textFill>
              </w:rPr>
              <w:t>无。</w:t>
            </w:r>
          </w:p>
          <w:p w14:paraId="4E485F80">
            <w:pPr>
              <w:pStyle w:val="43"/>
              <w:ind w:firstLine="420"/>
              <w:rPr>
                <w:color w:val="000000" w:themeColor="text1"/>
                <w:highlight w:val="none"/>
                <w14:textFill>
                  <w14:solidFill>
                    <w14:schemeClr w14:val="tx1"/>
                  </w14:solidFill>
                </w14:textFill>
              </w:rPr>
            </w:pPr>
          </w:p>
        </w:tc>
      </w:tr>
    </w:tbl>
    <w:p w14:paraId="7D1617F2">
      <w:pPr>
        <w:pStyle w:val="24"/>
        <w:rPr>
          <w:color w:val="000000" w:themeColor="text1"/>
          <w:highlight w:val="none"/>
          <w14:textFill>
            <w14:solidFill>
              <w14:schemeClr w14:val="tx1"/>
            </w14:solidFill>
          </w14:textFill>
        </w:rPr>
      </w:pPr>
    </w:p>
    <w:p w14:paraId="53A1A137">
      <w:pPr>
        <w:pStyle w:val="24"/>
        <w:rPr>
          <w:color w:val="000000" w:themeColor="text1"/>
          <w:highlight w:val="none"/>
          <w14:textFill>
            <w14:solidFill>
              <w14:schemeClr w14:val="tx1"/>
            </w14:solidFill>
          </w14:textFill>
        </w:rPr>
      </w:pPr>
    </w:p>
    <w:p w14:paraId="7AB29005">
      <w:pPr>
        <w:pStyle w:val="24"/>
        <w:rPr>
          <w:color w:val="000000" w:themeColor="text1"/>
          <w:highlight w:val="none"/>
          <w14:textFill>
            <w14:solidFill>
              <w14:schemeClr w14:val="tx1"/>
            </w14:solidFill>
          </w14:textFill>
        </w:rPr>
        <w:sectPr>
          <w:pgSz w:w="11906" w:h="16838"/>
          <w:pgMar w:top="1440" w:right="1344" w:bottom="1440" w:left="1514" w:header="851" w:footer="992" w:gutter="0"/>
          <w:pgNumType w:fmt="numberInDash"/>
          <w:cols w:space="425" w:num="1"/>
          <w:docGrid w:type="lines" w:linePitch="312" w:charSpace="0"/>
        </w:sectPr>
      </w:pPr>
    </w:p>
    <w:p w14:paraId="2F4C163D">
      <w:pPr>
        <w:pStyle w:val="21"/>
        <w:spacing w:before="31" w:beforeLines="10" w:beforeAutospacing="0" w:after="31" w:afterLines="10" w:afterAutospacing="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bookmarkStart w:id="19" w:name="_Toc29953"/>
      <w:r>
        <w:rPr>
          <w:rFonts w:hint="eastAsia" w:ascii="Times New Roman" w:hAnsi="Times New Roman" w:eastAsia="黑体"/>
          <w:snapToGrid w:val="0"/>
          <w:color w:val="000000" w:themeColor="text1"/>
          <w:sz w:val="30"/>
          <w:szCs w:val="30"/>
          <w:highlight w:val="none"/>
          <w14:textFill>
            <w14:solidFill>
              <w14:schemeClr w14:val="tx1"/>
            </w14:solidFill>
          </w14:textFill>
        </w:rPr>
        <w:t>五、</w:t>
      </w:r>
      <w:bookmarkStart w:id="20" w:name="_Hlk54167917"/>
      <w:r>
        <w:rPr>
          <w:rFonts w:hint="eastAsia" w:ascii="Times New Roman" w:hAnsi="Times New Roman" w:eastAsia="黑体"/>
          <w:snapToGrid w:val="0"/>
          <w:color w:val="000000" w:themeColor="text1"/>
          <w:sz w:val="30"/>
          <w:szCs w:val="30"/>
          <w:highlight w:val="none"/>
          <w14:textFill>
            <w14:solidFill>
              <w14:schemeClr w14:val="tx1"/>
            </w14:solidFill>
          </w14:textFill>
        </w:rPr>
        <w:t>环境保护措施监督检查清单</w:t>
      </w:r>
      <w:bookmarkEnd w:id="19"/>
      <w:bookmarkEnd w:id="20"/>
    </w:p>
    <w:tbl>
      <w:tblPr>
        <w:tblStyle w:val="26"/>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569"/>
        <w:gridCol w:w="1632"/>
        <w:gridCol w:w="986"/>
        <w:gridCol w:w="2867"/>
        <w:gridCol w:w="2103"/>
      </w:tblGrid>
      <w:tr w14:paraId="0A00C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tcBorders>
              <w:tl2br w:val="single" w:color="auto" w:sz="4" w:space="0"/>
            </w:tcBorders>
          </w:tcPr>
          <w:p w14:paraId="14FDF6E8">
            <w:pPr>
              <w:spacing w:before="62" w:beforeLines="20" w:after="62" w:afterLines="20" w:line="288" w:lineRule="auto"/>
              <w:ind w:firstLine="840"/>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内容</w:t>
            </w:r>
          </w:p>
          <w:p w14:paraId="6DF5E677">
            <w:pPr>
              <w:spacing w:before="62" w:beforeLines="20" w:after="62" w:afterLines="20" w:line="288" w:lineRule="auto"/>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要素</w:t>
            </w:r>
          </w:p>
        </w:tc>
        <w:tc>
          <w:tcPr>
            <w:tcW w:w="891" w:type="pct"/>
            <w:vAlign w:val="center"/>
          </w:tcPr>
          <w:p w14:paraId="0D974850">
            <w:pPr>
              <w:spacing w:before="62" w:beforeLines="20" w:after="62" w:afterLines="20" w:line="288"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排放口（编号、</w:t>
            </w:r>
          </w:p>
          <w:p w14:paraId="7FBDD9E2">
            <w:pPr>
              <w:spacing w:before="62" w:beforeLines="20" w:after="62" w:afterLines="20" w:line="288"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名称）/污染源</w:t>
            </w:r>
          </w:p>
        </w:tc>
        <w:tc>
          <w:tcPr>
            <w:tcW w:w="538" w:type="pct"/>
            <w:vAlign w:val="center"/>
          </w:tcPr>
          <w:p w14:paraId="315CB57A">
            <w:pPr>
              <w:spacing w:before="62" w:beforeLines="20" w:after="62" w:afterLines="20" w:line="288"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污染物项目</w:t>
            </w:r>
          </w:p>
        </w:tc>
        <w:tc>
          <w:tcPr>
            <w:tcW w:w="1565" w:type="pct"/>
            <w:vAlign w:val="center"/>
          </w:tcPr>
          <w:p w14:paraId="4CAAE542">
            <w:pPr>
              <w:spacing w:before="62" w:beforeLines="20" w:after="62" w:afterLines="20" w:line="288"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环境保护措施</w:t>
            </w:r>
          </w:p>
        </w:tc>
        <w:tc>
          <w:tcPr>
            <w:tcW w:w="1147" w:type="pct"/>
            <w:vAlign w:val="center"/>
          </w:tcPr>
          <w:p w14:paraId="5329E9F2">
            <w:pPr>
              <w:spacing w:before="62" w:beforeLines="20" w:after="62" w:afterLines="20" w:line="288"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执行标准</w:t>
            </w:r>
          </w:p>
        </w:tc>
      </w:tr>
      <w:tr w14:paraId="6F985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Merge w:val="restart"/>
            <w:vAlign w:val="center"/>
          </w:tcPr>
          <w:p w14:paraId="5A1F7914">
            <w:pPr>
              <w:spacing w:before="78" w:beforeLines="25" w:after="78" w:afterLines="25" w:line="264"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大气环境</w:t>
            </w:r>
          </w:p>
        </w:tc>
        <w:tc>
          <w:tcPr>
            <w:tcW w:w="891" w:type="pct"/>
            <w:vAlign w:val="center"/>
          </w:tcPr>
          <w:p w14:paraId="0474D082">
            <w:pPr>
              <w:pStyle w:val="10"/>
              <w:snapToGrid/>
              <w:spacing w:before="0" w:after="0" w:line="264" w:lineRule="auto"/>
              <w:ind w:right="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抛丸废气排放口（</w:t>
            </w:r>
            <w:r>
              <w:rPr>
                <w:rFonts w:hint="eastAsia" w:ascii="Times New Roman" w:hAnsi="Times New Roman" w:eastAsia="宋体" w:cs="宋体"/>
                <w:color w:val="000000" w:themeColor="text1"/>
                <w:sz w:val="21"/>
                <w:szCs w:val="21"/>
                <w:highlight w:val="none"/>
                <w14:textFill>
                  <w14:solidFill>
                    <w14:schemeClr w14:val="tx1"/>
                  </w14:solidFill>
                </w14:textFill>
              </w:rPr>
              <w:t>DA001</w:t>
            </w: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538" w:type="pct"/>
            <w:vAlign w:val="center"/>
          </w:tcPr>
          <w:p w14:paraId="106FAF58">
            <w:pPr>
              <w:spacing w:line="264"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颗粒物</w:t>
            </w:r>
          </w:p>
        </w:tc>
        <w:tc>
          <w:tcPr>
            <w:tcW w:w="1565" w:type="pct"/>
            <w:vAlign w:val="center"/>
          </w:tcPr>
          <w:p w14:paraId="27A68B93">
            <w:pPr>
              <w:spacing w:line="305" w:lineRule="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kern w:val="44"/>
                <w:szCs w:val="21"/>
                <w:highlight w:val="none"/>
                <w14:textFill>
                  <w14:solidFill>
                    <w14:schemeClr w14:val="tx1"/>
                  </w14:solidFill>
                </w14:textFill>
              </w:rPr>
              <w:t>项目抛丸工序产生的废气经设备自带布袋除尘器处置后引入1根15m高</w:t>
            </w:r>
            <w:r>
              <w:rPr>
                <w:rFonts w:hint="eastAsia" w:ascii="Times New Roman" w:hAnsi="Times New Roman" w:eastAsia="宋体"/>
                <w:b/>
                <w:bCs/>
                <w:color w:val="000000" w:themeColor="text1"/>
                <w:kern w:val="44"/>
                <w:szCs w:val="21"/>
                <w:highlight w:val="none"/>
                <w14:textFill>
                  <w14:solidFill>
                    <w14:schemeClr w14:val="tx1"/>
                  </w14:solidFill>
                </w14:textFill>
              </w:rPr>
              <w:t>DA001</w:t>
            </w:r>
            <w:r>
              <w:rPr>
                <w:rFonts w:hint="eastAsia" w:ascii="Times New Roman" w:hAnsi="Times New Roman" w:eastAsia="宋体"/>
                <w:color w:val="000000" w:themeColor="text1"/>
                <w:kern w:val="44"/>
                <w:szCs w:val="21"/>
                <w:highlight w:val="none"/>
                <w14:textFill>
                  <w14:solidFill>
                    <w14:schemeClr w14:val="tx1"/>
                  </w14:solidFill>
                </w14:textFill>
              </w:rPr>
              <w:t>排气筒排放</w:t>
            </w:r>
            <w:r>
              <w:rPr>
                <w:rFonts w:hint="eastAsia" w:ascii="Times New Roman" w:hAnsi="Times New Roman" w:eastAsia="宋体" w:cs="宋体"/>
                <w:color w:val="000000" w:themeColor="text1"/>
                <w:szCs w:val="21"/>
                <w:highlight w:val="none"/>
                <w14:textFill>
                  <w14:solidFill>
                    <w14:schemeClr w14:val="tx1"/>
                  </w14:solidFill>
                </w14:textFill>
              </w:rPr>
              <w:t>（</w:t>
            </w:r>
            <w:r>
              <w:rPr>
                <w:rFonts w:ascii="Times New Roman" w:hAnsi="Times New Roman" w:eastAsia="宋体" w:cs="宋体"/>
                <w:color w:val="000000" w:themeColor="text1"/>
                <w:szCs w:val="21"/>
                <w:highlight w:val="none"/>
                <w14:textFill>
                  <w14:solidFill>
                    <w14:schemeClr w14:val="tx1"/>
                  </w14:solidFill>
                </w14:textFill>
              </w:rPr>
              <w:t>D=</w:t>
            </w:r>
            <w:r>
              <w:rPr>
                <w:rFonts w:hint="eastAsia" w:ascii="Times New Roman" w:hAnsi="Times New Roman" w:eastAsia="宋体" w:cs="宋体"/>
                <w:color w:val="000000" w:themeColor="text1"/>
                <w:szCs w:val="21"/>
                <w:highlight w:val="none"/>
                <w14:textFill>
                  <w14:solidFill>
                    <w14:schemeClr w14:val="tx1"/>
                  </w14:solidFill>
                </w14:textFill>
              </w:rPr>
              <w:t>0.4</w:t>
            </w:r>
            <w:r>
              <w:rPr>
                <w:rFonts w:ascii="Times New Roman" w:hAnsi="Times New Roman" w:eastAsia="宋体" w:cs="宋体"/>
                <w:color w:val="000000" w:themeColor="text1"/>
                <w:szCs w:val="21"/>
                <w:highlight w:val="none"/>
                <w14:textFill>
                  <w14:solidFill>
                    <w14:schemeClr w14:val="tx1"/>
                  </w14:solidFill>
                </w14:textFill>
              </w:rPr>
              <w:t>m</w:t>
            </w:r>
            <w:r>
              <w:rPr>
                <w:rFonts w:hint="eastAsia" w:ascii="Times New Roman" w:hAnsi="Times New Roman" w:eastAsia="宋体" w:cs="宋体"/>
                <w:color w:val="000000" w:themeColor="text1"/>
                <w:szCs w:val="21"/>
                <w:highlight w:val="none"/>
                <w14:textFill>
                  <w14:solidFill>
                    <w14:schemeClr w14:val="tx1"/>
                  </w14:solidFill>
                </w14:textFill>
              </w:rPr>
              <w:t>，风量5000</w:t>
            </w:r>
            <w:r>
              <w:rPr>
                <w:rFonts w:ascii="Times New Roman" w:hAnsi="Times New Roman" w:eastAsia="宋体" w:cs="宋体"/>
                <w:color w:val="000000" w:themeColor="text1"/>
                <w:szCs w:val="21"/>
                <w:highlight w:val="none"/>
                <w14:textFill>
                  <w14:solidFill>
                    <w14:schemeClr w14:val="tx1"/>
                  </w14:solidFill>
                </w14:textFill>
              </w:rPr>
              <w:t>m</w:t>
            </w:r>
            <w:r>
              <w:rPr>
                <w:rFonts w:ascii="Times New Roman" w:hAnsi="Times New Roman" w:eastAsia="宋体" w:cs="宋体"/>
                <w:color w:val="000000" w:themeColor="text1"/>
                <w:szCs w:val="21"/>
                <w:highlight w:val="none"/>
                <w:vertAlign w:val="superscript"/>
                <w14:textFill>
                  <w14:solidFill>
                    <w14:schemeClr w14:val="tx1"/>
                  </w14:solidFill>
                </w14:textFill>
              </w:rPr>
              <w:t>3</w:t>
            </w:r>
            <w:r>
              <w:rPr>
                <w:rFonts w:ascii="Times New Roman" w:hAnsi="Times New Roman" w:eastAsia="宋体" w:cs="宋体"/>
                <w:color w:val="000000" w:themeColor="text1"/>
                <w:szCs w:val="21"/>
                <w:highlight w:val="none"/>
                <w14:textFill>
                  <w14:solidFill>
                    <w14:schemeClr w14:val="tx1"/>
                  </w14:solidFill>
                </w14:textFill>
              </w:rPr>
              <w:t>/h</w:t>
            </w:r>
            <w:r>
              <w:rPr>
                <w:rFonts w:hint="eastAsia" w:ascii="Times New Roman" w:hAnsi="Times New Roman" w:eastAsia="宋体" w:cs="宋体"/>
                <w:color w:val="000000" w:themeColor="text1"/>
                <w:szCs w:val="21"/>
                <w:highlight w:val="none"/>
                <w14:textFill>
                  <w14:solidFill>
                    <w14:schemeClr w14:val="tx1"/>
                  </w14:solidFill>
                </w14:textFill>
              </w:rPr>
              <w:t>）</w:t>
            </w:r>
          </w:p>
        </w:tc>
        <w:tc>
          <w:tcPr>
            <w:tcW w:w="1147" w:type="pct"/>
            <w:tcBorders>
              <w:bottom w:val="single" w:color="auto" w:sz="4" w:space="0"/>
            </w:tcBorders>
            <w:vAlign w:val="center"/>
          </w:tcPr>
          <w:p w14:paraId="3B45609E">
            <w:pPr>
              <w:pStyle w:val="40"/>
              <w:spacing w:beforeLines="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r w14:paraId="0D711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Merge w:val="continue"/>
            <w:vAlign w:val="center"/>
          </w:tcPr>
          <w:p w14:paraId="42FCF502">
            <w:pPr>
              <w:spacing w:before="78" w:beforeLines="25" w:after="78" w:afterLines="25" w:line="264" w:lineRule="auto"/>
              <w:jc w:val="center"/>
              <w:rPr>
                <w:rFonts w:ascii="Times New Roman" w:hAnsi="Times New Roman" w:eastAsia="宋体" w:cs="宋体"/>
                <w:b/>
                <w:bCs/>
                <w:color w:val="000000" w:themeColor="text1"/>
                <w:sz w:val="24"/>
                <w:highlight w:val="none"/>
                <w14:textFill>
                  <w14:solidFill>
                    <w14:schemeClr w14:val="tx1"/>
                  </w14:solidFill>
                </w14:textFill>
              </w:rPr>
            </w:pPr>
          </w:p>
        </w:tc>
        <w:tc>
          <w:tcPr>
            <w:tcW w:w="891" w:type="pct"/>
            <w:vAlign w:val="center"/>
          </w:tcPr>
          <w:p w14:paraId="7D501DF9">
            <w:pPr>
              <w:pStyle w:val="10"/>
              <w:snapToGrid/>
              <w:spacing w:before="0" w:after="0" w:line="264" w:lineRule="auto"/>
              <w:ind w:right="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喷粉废气排放口（DA002）</w:t>
            </w:r>
          </w:p>
        </w:tc>
        <w:tc>
          <w:tcPr>
            <w:tcW w:w="538" w:type="pct"/>
            <w:vAlign w:val="center"/>
          </w:tcPr>
          <w:p w14:paraId="059AC7E8">
            <w:pPr>
              <w:spacing w:line="264"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颗粒物</w:t>
            </w:r>
          </w:p>
        </w:tc>
        <w:tc>
          <w:tcPr>
            <w:tcW w:w="1565" w:type="pct"/>
            <w:vAlign w:val="center"/>
          </w:tcPr>
          <w:p w14:paraId="1DF3B8DE">
            <w:pPr>
              <w:spacing w:line="305" w:lineRule="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kern w:val="44"/>
                <w:szCs w:val="21"/>
                <w:highlight w:val="none"/>
                <w14:textFill>
                  <w14:solidFill>
                    <w14:schemeClr w14:val="tx1"/>
                  </w14:solidFill>
                </w14:textFill>
              </w:rPr>
              <w:t>项目喷粉工序产生的废气经1套“滤筒除尘器”处置后引入1根15m高</w:t>
            </w:r>
            <w:r>
              <w:rPr>
                <w:rFonts w:hint="eastAsia" w:ascii="Times New Roman" w:hAnsi="Times New Roman" w:eastAsia="宋体"/>
                <w:b/>
                <w:bCs/>
                <w:color w:val="000000" w:themeColor="text1"/>
                <w:kern w:val="44"/>
                <w:szCs w:val="21"/>
                <w:highlight w:val="none"/>
                <w14:textFill>
                  <w14:solidFill>
                    <w14:schemeClr w14:val="tx1"/>
                  </w14:solidFill>
                </w14:textFill>
              </w:rPr>
              <w:t>DA002</w:t>
            </w:r>
            <w:r>
              <w:rPr>
                <w:rFonts w:hint="eastAsia" w:ascii="Times New Roman" w:hAnsi="Times New Roman" w:eastAsia="宋体"/>
                <w:color w:val="000000" w:themeColor="text1"/>
                <w:kern w:val="44"/>
                <w:szCs w:val="21"/>
                <w:highlight w:val="none"/>
                <w14:textFill>
                  <w14:solidFill>
                    <w14:schemeClr w14:val="tx1"/>
                  </w14:solidFill>
                </w14:textFill>
              </w:rPr>
              <w:t>排气筒排放</w:t>
            </w:r>
            <w:r>
              <w:rPr>
                <w:rFonts w:hint="eastAsia" w:ascii="Times New Roman" w:hAnsi="Times New Roman" w:eastAsia="宋体" w:cs="宋体"/>
                <w:color w:val="000000" w:themeColor="text1"/>
                <w:szCs w:val="21"/>
                <w:highlight w:val="none"/>
                <w14:textFill>
                  <w14:solidFill>
                    <w14:schemeClr w14:val="tx1"/>
                  </w14:solidFill>
                </w14:textFill>
              </w:rPr>
              <w:t>（</w:t>
            </w:r>
            <w:r>
              <w:rPr>
                <w:rFonts w:ascii="Times New Roman" w:hAnsi="Times New Roman" w:eastAsia="宋体" w:cs="宋体"/>
                <w:color w:val="000000" w:themeColor="text1"/>
                <w:szCs w:val="21"/>
                <w:highlight w:val="none"/>
                <w14:textFill>
                  <w14:solidFill>
                    <w14:schemeClr w14:val="tx1"/>
                  </w14:solidFill>
                </w14:textFill>
              </w:rPr>
              <w:t>D=</w:t>
            </w:r>
            <w:r>
              <w:rPr>
                <w:rFonts w:hint="eastAsia" w:ascii="Times New Roman" w:hAnsi="Times New Roman" w:eastAsia="宋体" w:cs="宋体"/>
                <w:color w:val="000000" w:themeColor="text1"/>
                <w:szCs w:val="21"/>
                <w:highlight w:val="none"/>
                <w14:textFill>
                  <w14:solidFill>
                    <w14:schemeClr w14:val="tx1"/>
                  </w14:solidFill>
                </w14:textFill>
              </w:rPr>
              <w:t>0.5</w:t>
            </w:r>
            <w:r>
              <w:rPr>
                <w:rFonts w:ascii="Times New Roman" w:hAnsi="Times New Roman" w:eastAsia="宋体" w:cs="宋体"/>
                <w:color w:val="000000" w:themeColor="text1"/>
                <w:szCs w:val="21"/>
                <w:highlight w:val="none"/>
                <w14:textFill>
                  <w14:solidFill>
                    <w14:schemeClr w14:val="tx1"/>
                  </w14:solidFill>
                </w14:textFill>
              </w:rPr>
              <w:t>m</w:t>
            </w:r>
            <w:r>
              <w:rPr>
                <w:rFonts w:hint="eastAsia" w:ascii="Times New Roman" w:hAnsi="Times New Roman" w:eastAsia="宋体" w:cs="宋体"/>
                <w:color w:val="000000" w:themeColor="text1"/>
                <w:szCs w:val="21"/>
                <w:highlight w:val="none"/>
                <w14:textFill>
                  <w14:solidFill>
                    <w14:schemeClr w14:val="tx1"/>
                  </w14:solidFill>
                </w14:textFill>
              </w:rPr>
              <w:t>，风量8000</w:t>
            </w:r>
            <w:r>
              <w:rPr>
                <w:rFonts w:ascii="Times New Roman" w:hAnsi="Times New Roman" w:eastAsia="宋体" w:cs="宋体"/>
                <w:color w:val="000000" w:themeColor="text1"/>
                <w:szCs w:val="21"/>
                <w:highlight w:val="none"/>
                <w14:textFill>
                  <w14:solidFill>
                    <w14:schemeClr w14:val="tx1"/>
                  </w14:solidFill>
                </w14:textFill>
              </w:rPr>
              <w:t>m</w:t>
            </w:r>
            <w:r>
              <w:rPr>
                <w:rFonts w:ascii="Times New Roman" w:hAnsi="Times New Roman" w:eastAsia="宋体" w:cs="宋体"/>
                <w:color w:val="000000" w:themeColor="text1"/>
                <w:szCs w:val="21"/>
                <w:highlight w:val="none"/>
                <w:vertAlign w:val="superscript"/>
                <w14:textFill>
                  <w14:solidFill>
                    <w14:schemeClr w14:val="tx1"/>
                  </w14:solidFill>
                </w14:textFill>
              </w:rPr>
              <w:t>3</w:t>
            </w:r>
            <w:r>
              <w:rPr>
                <w:rFonts w:ascii="Times New Roman" w:hAnsi="Times New Roman" w:eastAsia="宋体" w:cs="宋体"/>
                <w:color w:val="000000" w:themeColor="text1"/>
                <w:szCs w:val="21"/>
                <w:highlight w:val="none"/>
                <w14:textFill>
                  <w14:solidFill>
                    <w14:schemeClr w14:val="tx1"/>
                  </w14:solidFill>
                </w14:textFill>
              </w:rPr>
              <w:t>/h</w:t>
            </w:r>
            <w:r>
              <w:rPr>
                <w:rFonts w:hint="eastAsia" w:ascii="Times New Roman" w:hAnsi="Times New Roman" w:eastAsia="宋体" w:cs="宋体"/>
                <w:color w:val="000000" w:themeColor="text1"/>
                <w:szCs w:val="21"/>
                <w:highlight w:val="none"/>
                <w14:textFill>
                  <w14:solidFill>
                    <w14:schemeClr w14:val="tx1"/>
                  </w14:solidFill>
                </w14:textFill>
              </w:rPr>
              <w:t>）</w:t>
            </w:r>
          </w:p>
        </w:tc>
        <w:tc>
          <w:tcPr>
            <w:tcW w:w="1147" w:type="pct"/>
            <w:tcBorders>
              <w:top w:val="single" w:color="auto" w:sz="4" w:space="0"/>
              <w:bottom w:val="single" w:color="auto" w:sz="4" w:space="0"/>
            </w:tcBorders>
            <w:vAlign w:val="center"/>
          </w:tcPr>
          <w:p w14:paraId="2A07EF39">
            <w:pPr>
              <w:pStyle w:val="40"/>
              <w:spacing w:beforeLines="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r w14:paraId="14377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Merge w:val="continue"/>
            <w:vAlign w:val="center"/>
          </w:tcPr>
          <w:p w14:paraId="46A43EA0">
            <w:pPr>
              <w:spacing w:before="78" w:beforeLines="25" w:after="78" w:afterLines="25" w:line="264" w:lineRule="auto"/>
              <w:jc w:val="center"/>
              <w:rPr>
                <w:rFonts w:ascii="Times New Roman" w:hAnsi="Times New Roman" w:eastAsia="宋体" w:cs="宋体"/>
                <w:b/>
                <w:bCs/>
                <w:color w:val="000000" w:themeColor="text1"/>
                <w:sz w:val="24"/>
                <w:highlight w:val="none"/>
                <w14:textFill>
                  <w14:solidFill>
                    <w14:schemeClr w14:val="tx1"/>
                  </w14:solidFill>
                </w14:textFill>
              </w:rPr>
            </w:pPr>
          </w:p>
        </w:tc>
        <w:tc>
          <w:tcPr>
            <w:tcW w:w="891" w:type="pct"/>
            <w:vMerge w:val="restart"/>
            <w:vAlign w:val="center"/>
          </w:tcPr>
          <w:p w14:paraId="26035060">
            <w:pPr>
              <w:pStyle w:val="10"/>
              <w:snapToGrid/>
              <w:spacing w:before="0" w:after="0" w:line="264" w:lineRule="auto"/>
              <w:ind w:right="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固化废气排放口（DA003）</w:t>
            </w:r>
          </w:p>
        </w:tc>
        <w:tc>
          <w:tcPr>
            <w:tcW w:w="538" w:type="pct"/>
            <w:vAlign w:val="center"/>
          </w:tcPr>
          <w:p w14:paraId="682F3AF4">
            <w:pPr>
              <w:spacing w:line="264"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非甲烷总烃</w:t>
            </w:r>
          </w:p>
        </w:tc>
        <w:tc>
          <w:tcPr>
            <w:tcW w:w="1565" w:type="pct"/>
            <w:vMerge w:val="restart"/>
            <w:vAlign w:val="center"/>
          </w:tcPr>
          <w:p w14:paraId="76F598CD">
            <w:pPr>
              <w:spacing w:line="305" w:lineRule="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kern w:val="44"/>
                <w:szCs w:val="21"/>
                <w:highlight w:val="none"/>
                <w14:textFill>
                  <w14:solidFill>
                    <w14:schemeClr w14:val="tx1"/>
                  </w14:solidFill>
                </w14:textFill>
              </w:rPr>
              <w:t>项目固化工序产生的废气经1套“干式过滤+活性炭”吸附装置处置后引入1根15m高</w:t>
            </w:r>
            <w:r>
              <w:rPr>
                <w:rFonts w:hint="eastAsia" w:ascii="Times New Roman" w:hAnsi="Times New Roman" w:eastAsia="宋体"/>
                <w:b/>
                <w:bCs/>
                <w:color w:val="000000" w:themeColor="text1"/>
                <w:kern w:val="44"/>
                <w:szCs w:val="21"/>
                <w:highlight w:val="none"/>
                <w14:textFill>
                  <w14:solidFill>
                    <w14:schemeClr w14:val="tx1"/>
                  </w14:solidFill>
                </w14:textFill>
              </w:rPr>
              <w:t>DA003</w:t>
            </w:r>
            <w:r>
              <w:rPr>
                <w:rFonts w:hint="eastAsia" w:ascii="Times New Roman" w:hAnsi="Times New Roman" w:eastAsia="宋体"/>
                <w:color w:val="000000" w:themeColor="text1"/>
                <w:kern w:val="44"/>
                <w:szCs w:val="21"/>
                <w:highlight w:val="none"/>
                <w14:textFill>
                  <w14:solidFill>
                    <w14:schemeClr w14:val="tx1"/>
                  </w14:solidFill>
                </w14:textFill>
              </w:rPr>
              <w:t>排气筒排放</w:t>
            </w:r>
            <w:r>
              <w:rPr>
                <w:rFonts w:hint="eastAsia" w:ascii="Times New Roman" w:hAnsi="Times New Roman" w:eastAsia="宋体" w:cs="宋体"/>
                <w:color w:val="000000" w:themeColor="text1"/>
                <w:szCs w:val="21"/>
                <w:highlight w:val="none"/>
                <w14:textFill>
                  <w14:solidFill>
                    <w14:schemeClr w14:val="tx1"/>
                  </w14:solidFill>
                </w14:textFill>
              </w:rPr>
              <w:t>（</w:t>
            </w:r>
            <w:r>
              <w:rPr>
                <w:rFonts w:ascii="Times New Roman" w:hAnsi="Times New Roman" w:eastAsia="宋体" w:cs="宋体"/>
                <w:color w:val="000000" w:themeColor="text1"/>
                <w:szCs w:val="21"/>
                <w:highlight w:val="none"/>
                <w14:textFill>
                  <w14:solidFill>
                    <w14:schemeClr w14:val="tx1"/>
                  </w14:solidFill>
                </w14:textFill>
              </w:rPr>
              <w:t>D=</w:t>
            </w:r>
            <w:r>
              <w:rPr>
                <w:rFonts w:hint="eastAsia" w:ascii="Times New Roman" w:hAnsi="Times New Roman" w:eastAsia="宋体" w:cs="宋体"/>
                <w:color w:val="000000" w:themeColor="text1"/>
                <w:szCs w:val="21"/>
                <w:highlight w:val="none"/>
                <w14:textFill>
                  <w14:solidFill>
                    <w14:schemeClr w14:val="tx1"/>
                  </w14:solidFill>
                </w14:textFill>
              </w:rPr>
              <w:t>0.4</w:t>
            </w:r>
            <w:r>
              <w:rPr>
                <w:rFonts w:ascii="Times New Roman" w:hAnsi="Times New Roman" w:eastAsia="宋体" w:cs="宋体"/>
                <w:color w:val="000000" w:themeColor="text1"/>
                <w:szCs w:val="21"/>
                <w:highlight w:val="none"/>
                <w14:textFill>
                  <w14:solidFill>
                    <w14:schemeClr w14:val="tx1"/>
                  </w14:solidFill>
                </w14:textFill>
              </w:rPr>
              <w:t>m</w:t>
            </w:r>
            <w:r>
              <w:rPr>
                <w:rFonts w:hint="eastAsia" w:ascii="Times New Roman" w:hAnsi="Times New Roman" w:eastAsia="宋体" w:cs="宋体"/>
                <w:color w:val="000000" w:themeColor="text1"/>
                <w:szCs w:val="21"/>
                <w:highlight w:val="none"/>
                <w14:textFill>
                  <w14:solidFill>
                    <w14:schemeClr w14:val="tx1"/>
                  </w14:solidFill>
                </w14:textFill>
              </w:rPr>
              <w:t>，风量5000</w:t>
            </w:r>
            <w:r>
              <w:rPr>
                <w:rFonts w:ascii="Times New Roman" w:hAnsi="Times New Roman" w:eastAsia="宋体" w:cs="宋体"/>
                <w:color w:val="000000" w:themeColor="text1"/>
                <w:szCs w:val="21"/>
                <w:highlight w:val="none"/>
                <w14:textFill>
                  <w14:solidFill>
                    <w14:schemeClr w14:val="tx1"/>
                  </w14:solidFill>
                </w14:textFill>
              </w:rPr>
              <w:t>m</w:t>
            </w:r>
            <w:r>
              <w:rPr>
                <w:rFonts w:ascii="Times New Roman" w:hAnsi="Times New Roman" w:eastAsia="宋体" w:cs="宋体"/>
                <w:color w:val="000000" w:themeColor="text1"/>
                <w:szCs w:val="21"/>
                <w:highlight w:val="none"/>
                <w:vertAlign w:val="superscript"/>
                <w14:textFill>
                  <w14:solidFill>
                    <w14:schemeClr w14:val="tx1"/>
                  </w14:solidFill>
                </w14:textFill>
              </w:rPr>
              <w:t>3</w:t>
            </w:r>
            <w:r>
              <w:rPr>
                <w:rFonts w:ascii="Times New Roman" w:hAnsi="Times New Roman" w:eastAsia="宋体" w:cs="宋体"/>
                <w:color w:val="000000" w:themeColor="text1"/>
                <w:szCs w:val="21"/>
                <w:highlight w:val="none"/>
                <w14:textFill>
                  <w14:solidFill>
                    <w14:schemeClr w14:val="tx1"/>
                  </w14:solidFill>
                </w14:textFill>
              </w:rPr>
              <w:t>/h</w:t>
            </w:r>
            <w:r>
              <w:rPr>
                <w:rFonts w:hint="eastAsia" w:ascii="Times New Roman" w:hAnsi="Times New Roman" w:eastAsia="宋体" w:cs="宋体"/>
                <w:color w:val="000000" w:themeColor="text1"/>
                <w:szCs w:val="21"/>
                <w:highlight w:val="none"/>
                <w14:textFill>
                  <w14:solidFill>
                    <w14:schemeClr w14:val="tx1"/>
                  </w14:solidFill>
                </w14:textFill>
              </w:rPr>
              <w:t>）</w:t>
            </w:r>
          </w:p>
        </w:tc>
        <w:tc>
          <w:tcPr>
            <w:tcW w:w="1147" w:type="pct"/>
            <w:tcBorders>
              <w:top w:val="single" w:color="auto" w:sz="4" w:space="0"/>
              <w:bottom w:val="single" w:color="auto" w:sz="4" w:space="0"/>
            </w:tcBorders>
            <w:vAlign w:val="center"/>
          </w:tcPr>
          <w:p w14:paraId="46F3DB78">
            <w:pPr>
              <w:pStyle w:val="40"/>
              <w:spacing w:beforeLines="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《摩托车及汽车配件制造表面涂装大气污染物排放标准》（DB50/660-2016）</w:t>
            </w:r>
          </w:p>
        </w:tc>
      </w:tr>
      <w:tr w14:paraId="04642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Merge w:val="continue"/>
            <w:vAlign w:val="center"/>
          </w:tcPr>
          <w:p w14:paraId="2E482EA6">
            <w:pPr>
              <w:spacing w:before="78" w:beforeLines="25" w:after="78" w:afterLines="25" w:line="264" w:lineRule="auto"/>
              <w:jc w:val="center"/>
              <w:rPr>
                <w:rFonts w:ascii="Times New Roman" w:hAnsi="Times New Roman" w:eastAsia="宋体" w:cs="宋体"/>
                <w:b/>
                <w:bCs/>
                <w:color w:val="000000" w:themeColor="text1"/>
                <w:sz w:val="24"/>
                <w:highlight w:val="none"/>
                <w14:textFill>
                  <w14:solidFill>
                    <w14:schemeClr w14:val="tx1"/>
                  </w14:solidFill>
                </w14:textFill>
              </w:rPr>
            </w:pPr>
          </w:p>
        </w:tc>
        <w:tc>
          <w:tcPr>
            <w:tcW w:w="891" w:type="pct"/>
            <w:vMerge w:val="continue"/>
            <w:vAlign w:val="center"/>
          </w:tcPr>
          <w:p w14:paraId="22326D99">
            <w:pPr>
              <w:pStyle w:val="10"/>
              <w:snapToGrid/>
              <w:spacing w:before="0" w:after="0" w:line="264" w:lineRule="auto"/>
              <w:ind w:right="0"/>
              <w:jc w:val="center"/>
              <w:rPr>
                <w:rFonts w:ascii="Times New Roman" w:hAnsi="Times New Roman" w:eastAsia="宋体"/>
                <w:color w:val="000000" w:themeColor="text1"/>
                <w:sz w:val="21"/>
                <w:szCs w:val="21"/>
                <w:highlight w:val="none"/>
                <w14:textFill>
                  <w14:solidFill>
                    <w14:schemeClr w14:val="tx1"/>
                  </w14:solidFill>
                </w14:textFill>
              </w:rPr>
            </w:pPr>
          </w:p>
        </w:tc>
        <w:tc>
          <w:tcPr>
            <w:tcW w:w="538" w:type="pct"/>
            <w:vAlign w:val="center"/>
          </w:tcPr>
          <w:p w14:paraId="03A35184">
            <w:pPr>
              <w:spacing w:line="264"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颗粒物、二氧化硫、氮氧化物</w:t>
            </w:r>
          </w:p>
        </w:tc>
        <w:tc>
          <w:tcPr>
            <w:tcW w:w="1565" w:type="pct"/>
            <w:vMerge w:val="continue"/>
            <w:vAlign w:val="center"/>
          </w:tcPr>
          <w:p w14:paraId="2B7ADAA5">
            <w:pPr>
              <w:spacing w:line="305" w:lineRule="auto"/>
              <w:rPr>
                <w:rFonts w:ascii="Times New Roman" w:hAnsi="Times New Roman" w:eastAsia="宋体" w:cs="宋体"/>
                <w:color w:val="000000" w:themeColor="text1"/>
                <w:szCs w:val="21"/>
                <w:highlight w:val="none"/>
                <w14:textFill>
                  <w14:solidFill>
                    <w14:schemeClr w14:val="tx1"/>
                  </w14:solidFill>
                </w14:textFill>
              </w:rPr>
            </w:pPr>
          </w:p>
        </w:tc>
        <w:tc>
          <w:tcPr>
            <w:tcW w:w="1147" w:type="pct"/>
            <w:tcBorders>
              <w:top w:val="single" w:color="auto" w:sz="4" w:space="0"/>
              <w:bottom w:val="single" w:color="auto" w:sz="4" w:space="0"/>
            </w:tcBorders>
            <w:vAlign w:val="center"/>
          </w:tcPr>
          <w:p w14:paraId="2322AD6E">
            <w:pPr>
              <w:pStyle w:val="40"/>
              <w:spacing w:beforeLines="0"/>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r w14:paraId="17EC9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7" w:hRule="atLeast"/>
          <w:jc w:val="center"/>
        </w:trPr>
        <w:tc>
          <w:tcPr>
            <w:tcW w:w="857" w:type="pct"/>
            <w:vMerge w:val="continue"/>
            <w:vAlign w:val="center"/>
          </w:tcPr>
          <w:p w14:paraId="10FA1071">
            <w:pPr>
              <w:spacing w:before="78" w:beforeLines="25" w:after="78" w:afterLines="25" w:line="264" w:lineRule="auto"/>
              <w:jc w:val="center"/>
              <w:rPr>
                <w:rFonts w:ascii="Times New Roman" w:hAnsi="Times New Roman" w:eastAsia="宋体" w:cs="宋体"/>
                <w:b/>
                <w:bCs/>
                <w:color w:val="000000" w:themeColor="text1"/>
                <w:sz w:val="24"/>
                <w:highlight w:val="none"/>
                <w14:textFill>
                  <w14:solidFill>
                    <w14:schemeClr w14:val="tx1"/>
                  </w14:solidFill>
                </w14:textFill>
              </w:rPr>
            </w:pPr>
          </w:p>
        </w:tc>
        <w:tc>
          <w:tcPr>
            <w:tcW w:w="891" w:type="pct"/>
            <w:vAlign w:val="center"/>
          </w:tcPr>
          <w:p w14:paraId="6455869B">
            <w:pPr>
              <w:pStyle w:val="10"/>
              <w:snapToGrid/>
              <w:spacing w:before="0" w:after="0" w:line="264" w:lineRule="auto"/>
              <w:ind w:right="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厂房外</w:t>
            </w:r>
          </w:p>
        </w:tc>
        <w:tc>
          <w:tcPr>
            <w:tcW w:w="538" w:type="pct"/>
            <w:vAlign w:val="center"/>
          </w:tcPr>
          <w:p w14:paraId="4019D40E">
            <w:pPr>
              <w:spacing w:line="264" w:lineRule="auto"/>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非甲烷总烃</w:t>
            </w:r>
          </w:p>
        </w:tc>
        <w:tc>
          <w:tcPr>
            <w:tcW w:w="1565" w:type="pct"/>
            <w:vMerge w:val="restart"/>
            <w:vAlign w:val="center"/>
          </w:tcPr>
          <w:p w14:paraId="39E8FE91">
            <w:pPr>
              <w:spacing w:line="305"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加强车间通风。</w:t>
            </w:r>
          </w:p>
        </w:tc>
        <w:tc>
          <w:tcPr>
            <w:tcW w:w="1147" w:type="pct"/>
            <w:tcBorders>
              <w:top w:val="single" w:color="auto" w:sz="4" w:space="0"/>
              <w:bottom w:val="single" w:color="auto" w:sz="4" w:space="0"/>
            </w:tcBorders>
            <w:vAlign w:val="center"/>
          </w:tcPr>
          <w:p w14:paraId="3A7AE694">
            <w:pPr>
              <w:spacing w:line="300" w:lineRule="auto"/>
              <w:rPr>
                <w:rFonts w:ascii="Times New Roman" w:hAnsi="Times New Roman" w:eastAsia="宋体" w:cs="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《挥发性有机物无组织排放控制标准》（GB 37822-2019）</w:t>
            </w:r>
          </w:p>
        </w:tc>
      </w:tr>
      <w:tr w14:paraId="2A4E96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43" w:hRule="atLeast"/>
          <w:jc w:val="center"/>
        </w:trPr>
        <w:tc>
          <w:tcPr>
            <w:tcW w:w="857" w:type="pct"/>
            <w:vMerge w:val="continue"/>
            <w:vAlign w:val="center"/>
          </w:tcPr>
          <w:p w14:paraId="6A622AE9">
            <w:pPr>
              <w:spacing w:before="78" w:beforeLines="25" w:after="78" w:afterLines="25" w:line="264" w:lineRule="auto"/>
              <w:jc w:val="center"/>
              <w:rPr>
                <w:rFonts w:ascii="Times New Roman" w:hAnsi="Times New Roman" w:eastAsia="宋体" w:cs="宋体"/>
                <w:b/>
                <w:bCs/>
                <w:color w:val="000000" w:themeColor="text1"/>
                <w:sz w:val="24"/>
                <w:highlight w:val="none"/>
                <w14:textFill>
                  <w14:solidFill>
                    <w14:schemeClr w14:val="tx1"/>
                  </w14:solidFill>
                </w14:textFill>
              </w:rPr>
            </w:pPr>
          </w:p>
        </w:tc>
        <w:tc>
          <w:tcPr>
            <w:tcW w:w="891" w:type="pct"/>
            <w:vMerge w:val="restart"/>
            <w:vAlign w:val="center"/>
          </w:tcPr>
          <w:p w14:paraId="531510D3">
            <w:pPr>
              <w:pStyle w:val="10"/>
              <w:snapToGrid/>
              <w:spacing w:before="0" w:after="0" w:line="264" w:lineRule="auto"/>
              <w:ind w:right="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厂界</w:t>
            </w:r>
          </w:p>
        </w:tc>
        <w:tc>
          <w:tcPr>
            <w:tcW w:w="538" w:type="pct"/>
            <w:vAlign w:val="center"/>
          </w:tcPr>
          <w:p w14:paraId="6A3342DF">
            <w:pPr>
              <w:spacing w:line="264"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颗粒物</w:t>
            </w:r>
          </w:p>
        </w:tc>
        <w:tc>
          <w:tcPr>
            <w:tcW w:w="1565" w:type="pct"/>
            <w:vMerge w:val="continue"/>
            <w:vAlign w:val="center"/>
          </w:tcPr>
          <w:p w14:paraId="4B994525">
            <w:pPr>
              <w:spacing w:line="305" w:lineRule="auto"/>
              <w:rPr>
                <w:rFonts w:ascii="Times New Roman" w:hAnsi="Times New Roman" w:eastAsia="宋体"/>
                <w:color w:val="000000" w:themeColor="text1"/>
                <w:kern w:val="44"/>
                <w:szCs w:val="21"/>
                <w:highlight w:val="none"/>
                <w14:textFill>
                  <w14:solidFill>
                    <w14:schemeClr w14:val="tx1"/>
                  </w14:solidFill>
                </w14:textFill>
              </w:rPr>
            </w:pPr>
          </w:p>
        </w:tc>
        <w:tc>
          <w:tcPr>
            <w:tcW w:w="1147" w:type="pct"/>
            <w:tcBorders>
              <w:top w:val="single" w:color="auto" w:sz="4" w:space="0"/>
              <w:bottom w:val="single" w:color="auto" w:sz="4" w:space="0"/>
            </w:tcBorders>
            <w:vAlign w:val="center"/>
          </w:tcPr>
          <w:p w14:paraId="51FE7801">
            <w:pPr>
              <w:spacing w:line="300" w:lineRule="auto"/>
              <w:rPr>
                <w:rFonts w:ascii="Times New Roman" w:hAnsi="Times New Roman" w:eastAsia="宋体" w:cs="宋体"/>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《大气污染物综合排放标准》（DB50/418-2016）</w:t>
            </w:r>
          </w:p>
        </w:tc>
      </w:tr>
      <w:tr w14:paraId="04B8A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Merge w:val="continue"/>
            <w:vAlign w:val="center"/>
          </w:tcPr>
          <w:p w14:paraId="23FE16E4">
            <w:pPr>
              <w:spacing w:before="78" w:beforeLines="25" w:after="78" w:afterLines="25" w:line="264" w:lineRule="auto"/>
              <w:jc w:val="center"/>
              <w:rPr>
                <w:rFonts w:ascii="Times New Roman" w:hAnsi="Times New Roman" w:eastAsia="宋体" w:cs="宋体"/>
                <w:b/>
                <w:bCs/>
                <w:color w:val="000000" w:themeColor="text1"/>
                <w:sz w:val="24"/>
                <w:highlight w:val="none"/>
                <w14:textFill>
                  <w14:solidFill>
                    <w14:schemeClr w14:val="tx1"/>
                  </w14:solidFill>
                </w14:textFill>
              </w:rPr>
            </w:pPr>
          </w:p>
        </w:tc>
        <w:tc>
          <w:tcPr>
            <w:tcW w:w="891" w:type="pct"/>
            <w:vMerge w:val="continue"/>
            <w:vAlign w:val="center"/>
          </w:tcPr>
          <w:p w14:paraId="65C0FFAB">
            <w:pPr>
              <w:pStyle w:val="10"/>
              <w:snapToGrid/>
              <w:spacing w:before="0" w:after="0" w:line="264" w:lineRule="auto"/>
              <w:ind w:right="0"/>
              <w:jc w:val="center"/>
              <w:rPr>
                <w:rFonts w:ascii="Times New Roman" w:hAnsi="Times New Roman" w:eastAsia="宋体"/>
                <w:color w:val="000000" w:themeColor="text1"/>
                <w:sz w:val="21"/>
                <w:szCs w:val="21"/>
                <w:highlight w:val="none"/>
                <w14:textFill>
                  <w14:solidFill>
                    <w14:schemeClr w14:val="tx1"/>
                  </w14:solidFill>
                </w14:textFill>
              </w:rPr>
            </w:pPr>
          </w:p>
        </w:tc>
        <w:tc>
          <w:tcPr>
            <w:tcW w:w="538" w:type="pct"/>
            <w:vAlign w:val="center"/>
          </w:tcPr>
          <w:p w14:paraId="381D30F7">
            <w:pPr>
              <w:spacing w:line="264"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非甲烷总烃</w:t>
            </w:r>
          </w:p>
        </w:tc>
        <w:tc>
          <w:tcPr>
            <w:tcW w:w="1565" w:type="pct"/>
            <w:vMerge w:val="continue"/>
            <w:vAlign w:val="center"/>
          </w:tcPr>
          <w:p w14:paraId="52EC5882">
            <w:pPr>
              <w:spacing w:line="305" w:lineRule="auto"/>
              <w:rPr>
                <w:rFonts w:ascii="Times New Roman" w:hAnsi="Times New Roman" w:eastAsia="宋体"/>
                <w:color w:val="000000" w:themeColor="text1"/>
                <w:kern w:val="44"/>
                <w:szCs w:val="21"/>
                <w:highlight w:val="none"/>
                <w14:textFill>
                  <w14:solidFill>
                    <w14:schemeClr w14:val="tx1"/>
                  </w14:solidFill>
                </w14:textFill>
              </w:rPr>
            </w:pPr>
          </w:p>
        </w:tc>
        <w:tc>
          <w:tcPr>
            <w:tcW w:w="1147" w:type="pct"/>
            <w:tcBorders>
              <w:top w:val="single" w:color="auto" w:sz="4" w:space="0"/>
              <w:bottom w:val="single" w:color="auto" w:sz="4" w:space="0"/>
            </w:tcBorders>
            <w:vAlign w:val="center"/>
          </w:tcPr>
          <w:p w14:paraId="500C58D4">
            <w:pPr>
              <w:spacing w:line="300" w:lineRule="auto"/>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《摩托车及汽车配件制造表面涂装大气污染物排放标准》（DB50/660-2016）</w:t>
            </w:r>
          </w:p>
        </w:tc>
      </w:tr>
      <w:tr w14:paraId="59DCB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7" w:type="pct"/>
            <w:vMerge w:val="restart"/>
            <w:vAlign w:val="center"/>
          </w:tcPr>
          <w:p w14:paraId="3A408D0E">
            <w:pPr>
              <w:spacing w:before="78" w:beforeLines="25" w:after="78" w:afterLines="25" w:line="264"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地表水环境</w:t>
            </w:r>
          </w:p>
        </w:tc>
        <w:tc>
          <w:tcPr>
            <w:tcW w:w="891" w:type="pct"/>
            <w:vMerge w:val="restart"/>
            <w:vAlign w:val="center"/>
          </w:tcPr>
          <w:p w14:paraId="597034C4">
            <w:pPr>
              <w:spacing w:before="78" w:beforeLines="25" w:after="78" w:afterLines="25" w:line="264"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生活污水（DW001）</w:t>
            </w:r>
          </w:p>
        </w:tc>
        <w:tc>
          <w:tcPr>
            <w:tcW w:w="538" w:type="pct"/>
            <w:vAlign w:val="center"/>
          </w:tcPr>
          <w:p w14:paraId="40A52582">
            <w:pPr>
              <w:spacing w:before="78" w:beforeLines="25" w:after="78" w:afterLines="25" w:line="264"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pH</w:t>
            </w:r>
          </w:p>
        </w:tc>
        <w:tc>
          <w:tcPr>
            <w:tcW w:w="1565" w:type="pct"/>
            <w:vMerge w:val="restart"/>
            <w:vAlign w:val="center"/>
          </w:tcPr>
          <w:p w14:paraId="1A9CD20F">
            <w:pPr>
              <w:spacing w:before="78" w:beforeLines="25" w:after="78" w:afterLines="25" w:line="305" w:lineRule="auto"/>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项目生活污水坤坤农业公司现有生化池预处理达《污水综合排放标准》（</w:t>
            </w:r>
            <w:r>
              <w:rPr>
                <w:rFonts w:ascii="Times New Roman" w:hAnsi="Times New Roman" w:eastAsia="宋体" w:cs="宋体"/>
                <w:color w:val="000000" w:themeColor="text1"/>
                <w:szCs w:val="21"/>
                <w:highlight w:val="none"/>
                <w14:textFill>
                  <w14:solidFill>
                    <w14:schemeClr w14:val="tx1"/>
                  </w14:solidFill>
                </w14:textFill>
              </w:rPr>
              <w:t>GB8978-1996</w:t>
            </w:r>
            <w:r>
              <w:rPr>
                <w:rFonts w:hint="eastAsia" w:ascii="Times New Roman" w:hAnsi="Times New Roman" w:eastAsia="宋体" w:cs="宋体"/>
                <w:color w:val="000000" w:themeColor="text1"/>
                <w:szCs w:val="21"/>
                <w:highlight w:val="none"/>
                <w14:textFill>
                  <w14:solidFill>
                    <w14:schemeClr w14:val="tx1"/>
                  </w14:solidFill>
                </w14:textFill>
              </w:rPr>
              <w:t>）三级标准后，进入西彭污水处理厂处理达《污水综合排放标准》（</w:t>
            </w:r>
            <w:r>
              <w:rPr>
                <w:rFonts w:ascii="Times New Roman" w:hAnsi="Times New Roman" w:eastAsia="宋体" w:cs="宋体"/>
                <w:color w:val="000000" w:themeColor="text1"/>
                <w:szCs w:val="21"/>
                <w:highlight w:val="none"/>
                <w14:textFill>
                  <w14:solidFill>
                    <w14:schemeClr w14:val="tx1"/>
                  </w14:solidFill>
                </w14:textFill>
              </w:rPr>
              <w:t>GB</w:t>
            </w:r>
            <w:r>
              <w:rPr>
                <w:rFonts w:hint="eastAsia" w:ascii="Times New Roman" w:hAnsi="Times New Roman" w:eastAsia="宋体" w:cs="宋体"/>
                <w:color w:val="000000" w:themeColor="text1"/>
                <w:szCs w:val="21"/>
                <w:highlight w:val="none"/>
                <w14:textFill>
                  <w14:solidFill>
                    <w14:schemeClr w14:val="tx1"/>
                  </w14:solidFill>
                </w14:textFill>
              </w:rPr>
              <w:t xml:space="preserve"> </w:t>
            </w:r>
            <w:r>
              <w:rPr>
                <w:rFonts w:ascii="Times New Roman" w:hAnsi="Times New Roman" w:eastAsia="宋体" w:cs="宋体"/>
                <w:color w:val="000000" w:themeColor="text1"/>
                <w:szCs w:val="21"/>
                <w:highlight w:val="none"/>
                <w14:textFill>
                  <w14:solidFill>
                    <w14:schemeClr w14:val="tx1"/>
                  </w14:solidFill>
                </w14:textFill>
              </w:rPr>
              <w:t>8978-1996</w:t>
            </w:r>
            <w:r>
              <w:rPr>
                <w:rFonts w:hint="eastAsia" w:ascii="Times New Roman" w:hAnsi="Times New Roman" w:eastAsia="宋体" w:cs="宋体"/>
                <w:color w:val="000000" w:themeColor="text1"/>
                <w:szCs w:val="21"/>
                <w:highlight w:val="none"/>
                <w14:textFill>
                  <w14:solidFill>
                    <w14:schemeClr w14:val="tx1"/>
                  </w14:solidFill>
                </w14:textFill>
              </w:rPr>
              <w:t>）一级标准后排放，最终汇入长江。</w:t>
            </w:r>
          </w:p>
        </w:tc>
        <w:tc>
          <w:tcPr>
            <w:tcW w:w="1147" w:type="pct"/>
            <w:vMerge w:val="restart"/>
            <w:tcBorders>
              <w:top w:val="single" w:color="auto" w:sz="4" w:space="0"/>
              <w:bottom w:val="single" w:color="auto" w:sz="4" w:space="0"/>
            </w:tcBorders>
            <w:vAlign w:val="center"/>
          </w:tcPr>
          <w:p w14:paraId="0D333729">
            <w:pPr>
              <w:spacing w:before="78" w:beforeLines="25" w:after="78" w:afterLines="25" w:line="264" w:lineRule="auto"/>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《污水综合排放标准》（GB8978-1996）三级标准</w:t>
            </w:r>
          </w:p>
          <w:p w14:paraId="00D7CBBB">
            <w:pPr>
              <w:pStyle w:val="37"/>
              <w:autoSpaceDE/>
              <w:autoSpaceDN/>
              <w:adjustRightInd/>
              <w:ind w:firstLine="420" w:firstLineChars="200"/>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pH6～9</w:t>
            </w:r>
          </w:p>
          <w:p w14:paraId="71AF825F">
            <w:pPr>
              <w:pStyle w:val="37"/>
              <w:autoSpaceDE/>
              <w:autoSpaceDN/>
              <w:adjustRightInd/>
              <w:ind w:firstLine="420" w:firstLineChars="200"/>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COD≤500</w:t>
            </w:r>
          </w:p>
          <w:p w14:paraId="7529749D">
            <w:pPr>
              <w:pStyle w:val="37"/>
              <w:autoSpaceDE/>
              <w:autoSpaceDN/>
              <w:adjustRightInd/>
              <w:ind w:firstLine="420" w:firstLineChars="200"/>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BOD</w:t>
            </w:r>
            <w:r>
              <w:rPr>
                <w:rFonts w:hint="eastAsia" w:ascii="Times New Roman"/>
                <w:color w:val="000000" w:themeColor="text1"/>
                <w:sz w:val="21"/>
                <w:szCs w:val="21"/>
                <w:highlight w:val="none"/>
                <w:vertAlign w:val="subscript"/>
                <w14:textFill>
                  <w14:solidFill>
                    <w14:schemeClr w14:val="tx1"/>
                  </w14:solidFill>
                </w14:textFill>
              </w:rPr>
              <w:t>5</w:t>
            </w:r>
            <w:r>
              <w:rPr>
                <w:rFonts w:hint="eastAsia" w:ascii="Times New Roman"/>
                <w:color w:val="000000" w:themeColor="text1"/>
                <w:sz w:val="21"/>
                <w:szCs w:val="21"/>
                <w:highlight w:val="none"/>
                <w14:textFill>
                  <w14:solidFill>
                    <w14:schemeClr w14:val="tx1"/>
                  </w14:solidFill>
                </w14:textFill>
              </w:rPr>
              <w:t>≤300</w:t>
            </w:r>
          </w:p>
          <w:p w14:paraId="526BAB63">
            <w:pPr>
              <w:pStyle w:val="37"/>
              <w:autoSpaceDE/>
              <w:autoSpaceDN/>
              <w:adjustRightInd/>
              <w:ind w:firstLine="420" w:firstLineChars="200"/>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SS≤400</w:t>
            </w:r>
          </w:p>
          <w:p w14:paraId="079AD4A7">
            <w:pPr>
              <w:pStyle w:val="37"/>
              <w:autoSpaceDE/>
              <w:autoSpaceDN/>
              <w:adjustRightInd/>
              <w:ind w:firstLine="420" w:firstLineChars="200"/>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氨氮≤45</w:t>
            </w:r>
          </w:p>
        </w:tc>
      </w:tr>
      <w:tr w14:paraId="033B6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7" w:type="pct"/>
            <w:vMerge w:val="continue"/>
            <w:vAlign w:val="center"/>
          </w:tcPr>
          <w:p w14:paraId="04354617">
            <w:pPr>
              <w:spacing w:before="78" w:beforeLines="25" w:after="78" w:afterLines="25" w:line="264" w:lineRule="auto"/>
              <w:jc w:val="left"/>
              <w:rPr>
                <w:rFonts w:ascii="Times New Roman" w:hAnsi="Times New Roman" w:eastAsia="宋体"/>
                <w:color w:val="000000" w:themeColor="text1"/>
                <w:highlight w:val="none"/>
                <w14:textFill>
                  <w14:solidFill>
                    <w14:schemeClr w14:val="tx1"/>
                  </w14:solidFill>
                </w14:textFill>
              </w:rPr>
            </w:pPr>
          </w:p>
        </w:tc>
        <w:tc>
          <w:tcPr>
            <w:tcW w:w="891" w:type="pct"/>
            <w:vMerge w:val="continue"/>
            <w:vAlign w:val="center"/>
          </w:tcPr>
          <w:p w14:paraId="0ACEA571">
            <w:pPr>
              <w:spacing w:before="78" w:beforeLines="25" w:after="78" w:afterLines="25" w:line="264" w:lineRule="auto"/>
              <w:jc w:val="left"/>
              <w:rPr>
                <w:rFonts w:ascii="Times New Roman" w:hAnsi="Times New Roman" w:eastAsia="宋体"/>
                <w:color w:val="000000" w:themeColor="text1"/>
                <w:highlight w:val="none"/>
                <w14:textFill>
                  <w14:solidFill>
                    <w14:schemeClr w14:val="tx1"/>
                  </w14:solidFill>
                </w14:textFill>
              </w:rPr>
            </w:pPr>
          </w:p>
        </w:tc>
        <w:tc>
          <w:tcPr>
            <w:tcW w:w="538" w:type="pct"/>
            <w:vAlign w:val="center"/>
          </w:tcPr>
          <w:p w14:paraId="34ADA5A9">
            <w:pPr>
              <w:spacing w:before="78" w:beforeLines="25" w:after="78" w:afterLines="25" w:line="264"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COD</w:t>
            </w:r>
          </w:p>
        </w:tc>
        <w:tc>
          <w:tcPr>
            <w:tcW w:w="1565" w:type="pct"/>
            <w:vMerge w:val="continue"/>
            <w:vAlign w:val="center"/>
          </w:tcPr>
          <w:p w14:paraId="04B9146C">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c>
          <w:tcPr>
            <w:tcW w:w="1147" w:type="pct"/>
            <w:vMerge w:val="continue"/>
            <w:tcBorders>
              <w:top w:val="single" w:color="auto" w:sz="4" w:space="0"/>
              <w:bottom w:val="single" w:color="auto" w:sz="4" w:space="0"/>
            </w:tcBorders>
            <w:vAlign w:val="center"/>
          </w:tcPr>
          <w:p w14:paraId="4B512669">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r>
      <w:tr w14:paraId="5BD2D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7" w:type="pct"/>
            <w:vMerge w:val="continue"/>
            <w:vAlign w:val="center"/>
          </w:tcPr>
          <w:p w14:paraId="18D0A836">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c>
          <w:tcPr>
            <w:tcW w:w="891" w:type="pct"/>
            <w:vMerge w:val="continue"/>
            <w:vAlign w:val="center"/>
          </w:tcPr>
          <w:p w14:paraId="17D1EC59">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c>
          <w:tcPr>
            <w:tcW w:w="538" w:type="pct"/>
            <w:vAlign w:val="center"/>
          </w:tcPr>
          <w:p w14:paraId="6B64DCCF">
            <w:pPr>
              <w:spacing w:before="78" w:beforeLines="25" w:after="78" w:afterLines="25" w:line="264"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BOD</w:t>
            </w:r>
            <w:r>
              <w:rPr>
                <w:rFonts w:hint="eastAsia" w:ascii="Times New Roman" w:hAnsi="Times New Roman" w:eastAsia="宋体" w:cs="宋体"/>
                <w:color w:val="000000" w:themeColor="text1"/>
                <w:szCs w:val="21"/>
                <w:highlight w:val="none"/>
                <w:vertAlign w:val="subscript"/>
                <w14:textFill>
                  <w14:solidFill>
                    <w14:schemeClr w14:val="tx1"/>
                  </w14:solidFill>
                </w14:textFill>
              </w:rPr>
              <w:t>5</w:t>
            </w:r>
          </w:p>
        </w:tc>
        <w:tc>
          <w:tcPr>
            <w:tcW w:w="1565" w:type="pct"/>
            <w:vMerge w:val="continue"/>
            <w:vAlign w:val="center"/>
          </w:tcPr>
          <w:p w14:paraId="1777E02C">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c>
          <w:tcPr>
            <w:tcW w:w="1147" w:type="pct"/>
            <w:vMerge w:val="continue"/>
            <w:tcBorders>
              <w:top w:val="single" w:color="auto" w:sz="4" w:space="0"/>
              <w:bottom w:val="single" w:color="auto" w:sz="4" w:space="0"/>
            </w:tcBorders>
            <w:vAlign w:val="center"/>
          </w:tcPr>
          <w:p w14:paraId="6CDFABE8">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r>
      <w:tr w14:paraId="3190B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7" w:type="pct"/>
            <w:vMerge w:val="continue"/>
            <w:vAlign w:val="center"/>
          </w:tcPr>
          <w:p w14:paraId="43B8C5DE">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c>
          <w:tcPr>
            <w:tcW w:w="891" w:type="pct"/>
            <w:vMerge w:val="continue"/>
            <w:vAlign w:val="center"/>
          </w:tcPr>
          <w:p w14:paraId="228BA620">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c>
          <w:tcPr>
            <w:tcW w:w="538" w:type="pct"/>
            <w:vAlign w:val="center"/>
          </w:tcPr>
          <w:p w14:paraId="6270D03F">
            <w:pPr>
              <w:spacing w:before="78" w:beforeLines="25" w:after="78" w:afterLines="25" w:line="264"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SS</w:t>
            </w:r>
          </w:p>
        </w:tc>
        <w:tc>
          <w:tcPr>
            <w:tcW w:w="1565" w:type="pct"/>
            <w:vMerge w:val="continue"/>
            <w:vAlign w:val="center"/>
          </w:tcPr>
          <w:p w14:paraId="1CF1EAB0">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c>
          <w:tcPr>
            <w:tcW w:w="1147" w:type="pct"/>
            <w:vMerge w:val="continue"/>
            <w:tcBorders>
              <w:top w:val="single" w:color="auto" w:sz="4" w:space="0"/>
              <w:bottom w:val="single" w:color="auto" w:sz="4" w:space="0"/>
            </w:tcBorders>
            <w:vAlign w:val="center"/>
          </w:tcPr>
          <w:p w14:paraId="07C527B3">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r>
      <w:tr w14:paraId="08A77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857" w:type="pct"/>
            <w:vMerge w:val="continue"/>
            <w:vAlign w:val="center"/>
          </w:tcPr>
          <w:p w14:paraId="17948C6D">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c>
          <w:tcPr>
            <w:tcW w:w="891" w:type="pct"/>
            <w:vMerge w:val="continue"/>
            <w:vAlign w:val="center"/>
          </w:tcPr>
          <w:p w14:paraId="38DBE825">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c>
          <w:tcPr>
            <w:tcW w:w="538" w:type="pct"/>
            <w:vAlign w:val="center"/>
          </w:tcPr>
          <w:p w14:paraId="6765B645">
            <w:pPr>
              <w:spacing w:before="78" w:beforeLines="25" w:after="78" w:afterLines="25" w:line="264"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氨氮</w:t>
            </w:r>
          </w:p>
        </w:tc>
        <w:tc>
          <w:tcPr>
            <w:tcW w:w="1565" w:type="pct"/>
            <w:vMerge w:val="continue"/>
            <w:vAlign w:val="center"/>
          </w:tcPr>
          <w:p w14:paraId="440E654F">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c>
          <w:tcPr>
            <w:tcW w:w="1147" w:type="pct"/>
            <w:vMerge w:val="continue"/>
            <w:tcBorders>
              <w:top w:val="single" w:color="auto" w:sz="4" w:space="0"/>
              <w:bottom w:val="single" w:color="auto" w:sz="4" w:space="0"/>
            </w:tcBorders>
            <w:vAlign w:val="center"/>
          </w:tcPr>
          <w:p w14:paraId="77516548">
            <w:pPr>
              <w:spacing w:before="78" w:beforeLines="25" w:after="78" w:afterLines="25" w:line="264" w:lineRule="auto"/>
              <w:jc w:val="left"/>
              <w:rPr>
                <w:rFonts w:ascii="Times New Roman" w:hAnsi="Times New Roman" w:eastAsia="宋体" w:cs="宋体"/>
                <w:color w:val="000000" w:themeColor="text1"/>
                <w:szCs w:val="21"/>
                <w:highlight w:val="none"/>
                <w14:textFill>
                  <w14:solidFill>
                    <w14:schemeClr w14:val="tx1"/>
                  </w14:solidFill>
                </w14:textFill>
              </w:rPr>
            </w:pPr>
          </w:p>
        </w:tc>
      </w:tr>
      <w:tr w14:paraId="5620D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Align w:val="center"/>
          </w:tcPr>
          <w:p w14:paraId="1B73B2C3">
            <w:pPr>
              <w:spacing w:line="264"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声环境</w:t>
            </w:r>
          </w:p>
        </w:tc>
        <w:tc>
          <w:tcPr>
            <w:tcW w:w="891" w:type="pct"/>
            <w:vAlign w:val="center"/>
          </w:tcPr>
          <w:p w14:paraId="409D9D6F">
            <w:pPr>
              <w:spacing w:line="288"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设备噪声</w:t>
            </w:r>
          </w:p>
        </w:tc>
        <w:tc>
          <w:tcPr>
            <w:tcW w:w="538" w:type="pct"/>
            <w:vAlign w:val="center"/>
          </w:tcPr>
          <w:p w14:paraId="79AD86CF">
            <w:pPr>
              <w:spacing w:line="288"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连续等效A声级</w:t>
            </w:r>
          </w:p>
        </w:tc>
        <w:tc>
          <w:tcPr>
            <w:tcW w:w="1565" w:type="pct"/>
            <w:vAlign w:val="center"/>
          </w:tcPr>
          <w:p w14:paraId="1119AB16">
            <w:pPr>
              <w:spacing w:line="293"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隔声、减震等措施。</w:t>
            </w:r>
          </w:p>
        </w:tc>
        <w:tc>
          <w:tcPr>
            <w:tcW w:w="1147" w:type="pct"/>
            <w:tcBorders>
              <w:top w:val="single" w:color="auto" w:sz="4" w:space="0"/>
            </w:tcBorders>
            <w:vAlign w:val="center"/>
          </w:tcPr>
          <w:p w14:paraId="20C53672">
            <w:pPr>
              <w:spacing w:line="293"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《工业企业厂界环境噪声排放标准》（GB12348-2008）3</w:t>
            </w:r>
            <w:r>
              <w:rPr>
                <w:rFonts w:ascii="Times New Roman" w:hAnsi="Times New Roman" w:eastAsia="宋体" w:cs="宋体"/>
                <w:color w:val="000000" w:themeColor="text1"/>
                <w:szCs w:val="21"/>
                <w:highlight w:val="none"/>
                <w14:textFill>
                  <w14:solidFill>
                    <w14:schemeClr w14:val="tx1"/>
                  </w14:solidFill>
                </w14:textFill>
              </w:rPr>
              <w:t xml:space="preserve"> </w:t>
            </w:r>
            <w:r>
              <w:rPr>
                <w:rFonts w:hint="eastAsia" w:ascii="Times New Roman" w:hAnsi="Times New Roman" w:eastAsia="宋体" w:cs="宋体"/>
                <w:color w:val="000000" w:themeColor="text1"/>
                <w:szCs w:val="21"/>
                <w:highlight w:val="none"/>
                <w14:textFill>
                  <w14:solidFill>
                    <w14:schemeClr w14:val="tx1"/>
                  </w14:solidFill>
                </w14:textFill>
              </w:rPr>
              <w:t>类标准</w:t>
            </w:r>
          </w:p>
          <w:p w14:paraId="48C689E2">
            <w:pPr>
              <w:spacing w:line="293"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昼间≤</w:t>
            </w:r>
            <w:r>
              <w:rPr>
                <w:rFonts w:ascii="Times New Roman" w:hAnsi="Times New Roman" w:eastAsia="宋体" w:cs="宋体"/>
                <w:color w:val="000000" w:themeColor="text1"/>
                <w:szCs w:val="21"/>
                <w:highlight w:val="none"/>
                <w14:textFill>
                  <w14:solidFill>
                    <w14:schemeClr w14:val="tx1"/>
                  </w14:solidFill>
                </w14:textFill>
              </w:rPr>
              <w:t>6</w:t>
            </w:r>
            <w:r>
              <w:rPr>
                <w:rFonts w:hint="eastAsia" w:ascii="Times New Roman" w:hAnsi="Times New Roman" w:eastAsia="宋体" w:cs="宋体"/>
                <w:color w:val="000000" w:themeColor="text1"/>
                <w:szCs w:val="21"/>
                <w:highlight w:val="none"/>
                <w14:textFill>
                  <w14:solidFill>
                    <w14:schemeClr w14:val="tx1"/>
                  </w14:solidFill>
                </w14:textFill>
              </w:rPr>
              <w:t>5</w:t>
            </w:r>
            <w:r>
              <w:rPr>
                <w:rFonts w:ascii="Times New Roman" w:hAnsi="Times New Roman" w:eastAsia="宋体" w:cs="宋体"/>
                <w:color w:val="000000" w:themeColor="text1"/>
                <w:szCs w:val="21"/>
                <w:highlight w:val="none"/>
                <w14:textFill>
                  <w14:solidFill>
                    <w14:schemeClr w14:val="tx1"/>
                  </w14:solidFill>
                </w14:textFill>
              </w:rPr>
              <w:t>dB</w:t>
            </w:r>
            <w:r>
              <w:rPr>
                <w:rFonts w:hint="eastAsia" w:ascii="Times New Roman" w:hAnsi="Times New Roman" w:eastAsia="宋体" w:cs="宋体"/>
                <w:color w:val="000000" w:themeColor="text1"/>
                <w:szCs w:val="21"/>
                <w:highlight w:val="none"/>
                <w14:textFill>
                  <w14:solidFill>
                    <w14:schemeClr w14:val="tx1"/>
                  </w14:solidFill>
                </w14:textFill>
              </w:rPr>
              <w:t>（A）</w:t>
            </w:r>
          </w:p>
          <w:p w14:paraId="03A46E1C">
            <w:pPr>
              <w:spacing w:line="293"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夜间≤</w:t>
            </w:r>
            <w:r>
              <w:rPr>
                <w:rFonts w:ascii="Times New Roman" w:hAnsi="Times New Roman" w:eastAsia="宋体" w:cs="宋体"/>
                <w:color w:val="000000" w:themeColor="text1"/>
                <w:szCs w:val="21"/>
                <w:highlight w:val="none"/>
                <w14:textFill>
                  <w14:solidFill>
                    <w14:schemeClr w14:val="tx1"/>
                  </w14:solidFill>
                </w14:textFill>
              </w:rPr>
              <w:t>5</w:t>
            </w:r>
            <w:r>
              <w:rPr>
                <w:rFonts w:hint="eastAsia" w:ascii="Times New Roman" w:hAnsi="Times New Roman" w:eastAsia="宋体" w:cs="宋体"/>
                <w:color w:val="000000" w:themeColor="text1"/>
                <w:szCs w:val="21"/>
                <w:highlight w:val="none"/>
                <w14:textFill>
                  <w14:solidFill>
                    <w14:schemeClr w14:val="tx1"/>
                  </w14:solidFill>
                </w14:textFill>
              </w:rPr>
              <w:t>5</w:t>
            </w:r>
            <w:r>
              <w:rPr>
                <w:rFonts w:ascii="Times New Roman" w:hAnsi="Times New Roman" w:eastAsia="宋体" w:cs="宋体"/>
                <w:color w:val="000000" w:themeColor="text1"/>
                <w:szCs w:val="21"/>
                <w:highlight w:val="none"/>
                <w14:textFill>
                  <w14:solidFill>
                    <w14:schemeClr w14:val="tx1"/>
                  </w14:solidFill>
                </w14:textFill>
              </w:rPr>
              <w:t>dB</w:t>
            </w:r>
            <w:r>
              <w:rPr>
                <w:rFonts w:hint="eastAsia" w:ascii="Times New Roman" w:hAnsi="Times New Roman" w:eastAsia="宋体" w:cs="宋体"/>
                <w:color w:val="000000" w:themeColor="text1"/>
                <w:szCs w:val="21"/>
                <w:highlight w:val="none"/>
                <w14:textFill>
                  <w14:solidFill>
                    <w14:schemeClr w14:val="tx1"/>
                  </w14:solidFill>
                </w14:textFill>
              </w:rPr>
              <w:t>（A）</w:t>
            </w:r>
          </w:p>
        </w:tc>
      </w:tr>
      <w:tr w14:paraId="561CB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04" w:hRule="atLeast"/>
          <w:jc w:val="center"/>
        </w:trPr>
        <w:tc>
          <w:tcPr>
            <w:tcW w:w="857" w:type="pct"/>
            <w:vAlign w:val="center"/>
          </w:tcPr>
          <w:p w14:paraId="4491ACBF">
            <w:pPr>
              <w:spacing w:line="264"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电磁辐射</w:t>
            </w:r>
          </w:p>
        </w:tc>
        <w:tc>
          <w:tcPr>
            <w:tcW w:w="4142" w:type="pct"/>
            <w:gridSpan w:val="4"/>
            <w:vAlign w:val="center"/>
          </w:tcPr>
          <w:p w14:paraId="239CEC29">
            <w:pPr>
              <w:spacing w:line="288"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无</w:t>
            </w:r>
          </w:p>
        </w:tc>
      </w:tr>
      <w:tr w14:paraId="1FBF0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Align w:val="center"/>
          </w:tcPr>
          <w:p w14:paraId="261ADCA5">
            <w:pPr>
              <w:spacing w:line="264"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固体废物</w:t>
            </w:r>
          </w:p>
        </w:tc>
        <w:tc>
          <w:tcPr>
            <w:tcW w:w="4142" w:type="pct"/>
            <w:gridSpan w:val="4"/>
            <w:vAlign w:val="center"/>
          </w:tcPr>
          <w:p w14:paraId="6F8F6D32">
            <w:pPr>
              <w:spacing w:line="360" w:lineRule="auto"/>
              <w:ind w:firstLine="420" w:firstLineChars="200"/>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 xml:space="preserve">① </w:t>
            </w:r>
            <w:r>
              <w:rPr>
                <w:rFonts w:hint="eastAsia" w:ascii="Times New Roman" w:hAnsi="Times New Roman" w:eastAsia="宋体"/>
                <w:color w:val="000000" w:themeColor="text1"/>
                <w:szCs w:val="21"/>
                <w:highlight w:val="none"/>
                <w:u w:val="single"/>
                <w14:textFill>
                  <w14:solidFill>
                    <w14:schemeClr w14:val="tx1"/>
                  </w14:solidFill>
                </w14:textFill>
              </w:rPr>
              <w:t>一般固废</w:t>
            </w:r>
            <w:r>
              <w:rPr>
                <w:rFonts w:hint="eastAsia" w:ascii="Times New Roman" w:hAnsi="Times New Roman" w:eastAsia="宋体"/>
                <w:color w:val="000000" w:themeColor="text1"/>
                <w:szCs w:val="21"/>
                <w:highlight w:val="none"/>
                <w14:textFill>
                  <w14:solidFill>
                    <w14:schemeClr w14:val="tx1"/>
                  </w14:solidFill>
                </w14:textFill>
              </w:rPr>
              <w:t>：运营期一般固废主要为废钢丸、不合格品、除尘灰等，收集后分类暂存于厂区一般固废暂存区（面积约10m</w:t>
            </w:r>
            <w:r>
              <w:rPr>
                <w:rFonts w:hint="eastAsia" w:ascii="Times New Roman" w:hAnsi="Times New Roman" w:eastAsia="宋体"/>
                <w:color w:val="000000" w:themeColor="text1"/>
                <w:szCs w:val="21"/>
                <w:highlight w:val="none"/>
                <w:vertAlign w:val="superscript"/>
                <w14:textFill>
                  <w14:solidFill>
                    <w14:schemeClr w14:val="tx1"/>
                  </w14:solidFill>
                </w14:textFill>
              </w:rPr>
              <w:t>2</w:t>
            </w:r>
            <w:r>
              <w:rPr>
                <w:rFonts w:hint="eastAsia" w:ascii="Times New Roman" w:hAnsi="Times New Roman" w:eastAsia="宋体"/>
                <w:color w:val="000000" w:themeColor="text1"/>
                <w:szCs w:val="21"/>
                <w:highlight w:val="none"/>
                <w14:textFill>
                  <w14:solidFill>
                    <w14:schemeClr w14:val="tx1"/>
                  </w14:solidFill>
                </w14:textFill>
              </w:rPr>
              <w:t>），定期外售综合利用。项目一般固废暂存区设置应符合《一般工业固体废物贮存和填埋污染控制标准》（GB 18599-2020）中要求：防渗漏、防雨淋、防扬尘等环境保护要求；同时按《环境保护图形标志固体废物贮存（处置）场》（GB15562.2）设置环保图形的警示、提示标志；暂存区不得混入生活垃圾或危险废物。</w:t>
            </w:r>
          </w:p>
          <w:p w14:paraId="6C5D0D66">
            <w:pPr>
              <w:spacing w:line="360" w:lineRule="auto"/>
              <w:ind w:firstLine="420" w:firstLineChars="200"/>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 xml:space="preserve">② </w:t>
            </w:r>
            <w:r>
              <w:rPr>
                <w:rFonts w:hint="eastAsia" w:ascii="Times New Roman" w:hAnsi="Times New Roman" w:eastAsia="宋体"/>
                <w:color w:val="000000" w:themeColor="text1"/>
                <w:szCs w:val="21"/>
                <w:highlight w:val="none"/>
                <w:u w:val="single"/>
                <w14:textFill>
                  <w14:solidFill>
                    <w14:schemeClr w14:val="tx1"/>
                  </w14:solidFill>
                </w14:textFill>
              </w:rPr>
              <w:t>危险废物</w:t>
            </w:r>
            <w:r>
              <w:rPr>
                <w:rFonts w:hint="eastAsia" w:ascii="Times New Roman" w:hAnsi="Times New Roman" w:eastAsia="宋体"/>
                <w:color w:val="000000" w:themeColor="text1"/>
                <w:szCs w:val="21"/>
                <w:highlight w:val="none"/>
                <w14:textFill>
                  <w14:solidFill>
                    <w14:schemeClr w14:val="tx1"/>
                  </w14:solidFill>
                </w14:textFill>
              </w:rPr>
              <w:t>：主要为废活性炭、废过滤棉、废机油、废油桶、空压机含油废液、含油废棉纱手套等，危废统一收集后，分类暂存于厂区危废贮存点，定期交有相应危险废物处理资质单位转运处置。</w:t>
            </w:r>
          </w:p>
          <w:p w14:paraId="48D7F42C">
            <w:pPr>
              <w:spacing w:line="360" w:lineRule="auto"/>
              <w:ind w:firstLine="420" w:firstLineChars="200"/>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项目危废贮存点面积约5m</w:t>
            </w:r>
            <w:r>
              <w:rPr>
                <w:rFonts w:hint="eastAsia" w:ascii="Times New Roman" w:hAnsi="Times New Roman" w:eastAsia="宋体"/>
                <w:color w:val="000000" w:themeColor="text1"/>
                <w:szCs w:val="21"/>
                <w:highlight w:val="none"/>
                <w:vertAlign w:val="superscript"/>
                <w14:textFill>
                  <w14:solidFill>
                    <w14:schemeClr w14:val="tx1"/>
                  </w14:solidFill>
                </w14:textFill>
              </w:rPr>
              <w:t>2</w:t>
            </w:r>
            <w:r>
              <w:rPr>
                <w:rFonts w:hint="eastAsia" w:ascii="Times New Roman" w:hAnsi="Times New Roman" w:eastAsia="宋体"/>
                <w:color w:val="000000" w:themeColor="text1"/>
                <w:szCs w:val="21"/>
                <w:highlight w:val="none"/>
                <w14:textFill>
                  <w14:solidFill>
                    <w14:schemeClr w14:val="tx1"/>
                  </w14:solidFill>
                </w14:textFill>
              </w:rPr>
              <w:t>，应满足《危险废物贮存污染控制标准》（</w:t>
            </w:r>
            <w:r>
              <w:rPr>
                <w:rFonts w:ascii="Times New Roman" w:hAnsi="Times New Roman" w:eastAsia="宋体"/>
                <w:color w:val="000000" w:themeColor="text1"/>
                <w:szCs w:val="21"/>
                <w:highlight w:val="none"/>
                <w14:textFill>
                  <w14:solidFill>
                    <w14:schemeClr w14:val="tx1"/>
                  </w14:solidFill>
                </w14:textFill>
              </w:rPr>
              <w:t>GB</w:t>
            </w:r>
            <w:r>
              <w:rPr>
                <w:rFonts w:hint="eastAsia" w:ascii="Times New Roman" w:hAnsi="Times New Roman" w:eastAsia="宋体"/>
                <w:color w:val="000000" w:themeColor="text1"/>
                <w:szCs w:val="21"/>
                <w:highlight w:val="none"/>
                <w14:textFill>
                  <w14:solidFill>
                    <w14:schemeClr w14:val="tx1"/>
                  </w14:solidFill>
                </w14:textFill>
              </w:rPr>
              <w:t xml:space="preserve"> </w:t>
            </w:r>
            <w:r>
              <w:rPr>
                <w:rFonts w:ascii="Times New Roman" w:hAnsi="Times New Roman" w:eastAsia="宋体"/>
                <w:color w:val="000000" w:themeColor="text1"/>
                <w:szCs w:val="21"/>
                <w:highlight w:val="none"/>
                <w14:textFill>
                  <w14:solidFill>
                    <w14:schemeClr w14:val="tx1"/>
                  </w14:solidFill>
                </w14:textFill>
              </w:rPr>
              <w:t>18597-</w:t>
            </w:r>
            <w:r>
              <w:rPr>
                <w:rFonts w:hint="eastAsia" w:ascii="Times New Roman" w:hAnsi="Times New Roman" w:eastAsia="宋体"/>
                <w:color w:val="000000" w:themeColor="text1"/>
                <w:szCs w:val="21"/>
                <w:highlight w:val="none"/>
                <w14:textFill>
                  <w14:solidFill>
                    <w14:schemeClr w14:val="tx1"/>
                  </w14:solidFill>
                </w14:textFill>
              </w:rPr>
              <w:t>2023）的相关设置要求。运营期应严格按《中华人民共和国固体废物污染环境防治法》、《危险废物转移联单管理办法》等的规定，对厂区危险废物进行处置。危险废物转运处置前，厂内临时储存和运输也应按照危险废物管理和处置相关要求进行。</w:t>
            </w:r>
          </w:p>
        </w:tc>
      </w:tr>
      <w:tr w14:paraId="627D5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Align w:val="center"/>
          </w:tcPr>
          <w:p w14:paraId="7EA4291E">
            <w:pPr>
              <w:spacing w:line="360"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土壤及地下水</w:t>
            </w:r>
          </w:p>
          <w:p w14:paraId="7ACA5AA8">
            <w:pPr>
              <w:spacing w:line="360"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污染防治措施</w:t>
            </w:r>
          </w:p>
        </w:tc>
        <w:tc>
          <w:tcPr>
            <w:tcW w:w="4142" w:type="pct"/>
            <w:gridSpan w:val="4"/>
            <w:vAlign w:val="center"/>
          </w:tcPr>
          <w:p w14:paraId="15651903">
            <w:pPr>
              <w:spacing w:line="360" w:lineRule="auto"/>
              <w:ind w:firstLine="420" w:firstLineChars="200"/>
              <w:rPr>
                <w:rFonts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分区防渗，</w:t>
            </w:r>
            <w:r>
              <w:rPr>
                <w:rFonts w:hint="default" w:ascii="Times New Roman" w:hAnsi="Times New Roman" w:eastAsia="宋体" w:cs="Times New Roman"/>
                <w:color w:val="000000" w:themeColor="text1"/>
                <w:sz w:val="21"/>
                <w:szCs w:val="21"/>
                <w:highlight w:val="none"/>
                <w14:textFill>
                  <w14:solidFill>
                    <w14:schemeClr w14:val="tx1"/>
                  </w14:solidFill>
                </w14:textFill>
              </w:rPr>
              <w:t>重点防渗区的防渗技术要求应达到“等效黏土防渗层M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b</w:t>
            </w:r>
            <w:r>
              <w:rPr>
                <w:rFonts w:hint="default" w:ascii="Times New Roman" w:hAnsi="Times New Roman" w:eastAsia="宋体" w:cs="Times New Roman"/>
                <w:color w:val="000000" w:themeColor="text1"/>
                <w:sz w:val="21"/>
                <w:szCs w:val="21"/>
                <w:highlight w:val="none"/>
                <w14:textFill>
                  <w14:solidFill>
                    <w14:schemeClr w14:val="tx1"/>
                  </w14:solidFill>
                </w14:textFill>
              </w:rPr>
              <w:t>≥6.0m，K≤1.0×10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cm/s”；一般防渗区的防渗层的防渗性能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应达到“</w:t>
            </w:r>
            <w:r>
              <w:rPr>
                <w:rFonts w:hint="default" w:ascii="Times New Roman" w:hAnsi="Times New Roman" w:eastAsia="宋体" w:cs="Times New Roman"/>
                <w:color w:val="000000" w:themeColor="text1"/>
                <w:sz w:val="21"/>
                <w:szCs w:val="21"/>
                <w:highlight w:val="none"/>
                <w14:textFill>
                  <w14:solidFill>
                    <w14:schemeClr w14:val="tx1"/>
                  </w14:solidFill>
                </w14:textFill>
              </w:rPr>
              <w:t>等效黏土防渗层M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b</w:t>
            </w:r>
            <w:r>
              <w:rPr>
                <w:rFonts w:hint="default" w:ascii="Times New Roman" w:hAnsi="Times New Roman" w:eastAsia="宋体" w:cs="Times New Roman"/>
                <w:color w:val="000000" w:themeColor="text1"/>
                <w:sz w:val="21"/>
                <w:szCs w:val="21"/>
                <w:highlight w:val="none"/>
                <w14:textFill>
                  <w14:solidFill>
                    <w14:schemeClr w14:val="tx1"/>
                  </w14:solidFill>
                </w14:textFill>
              </w:rPr>
              <w:t>≧1.5m，渗透系数不大于1.0×10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；简单防渗区地面硬化即可</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0F3E7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16" w:hRule="atLeast"/>
          <w:jc w:val="center"/>
        </w:trPr>
        <w:tc>
          <w:tcPr>
            <w:tcW w:w="857" w:type="pct"/>
            <w:vAlign w:val="center"/>
          </w:tcPr>
          <w:p w14:paraId="7C7F3785">
            <w:pPr>
              <w:spacing w:line="360" w:lineRule="auto"/>
              <w:jc w:val="center"/>
              <w:rPr>
                <w:rFonts w:ascii="Times New Roman" w:hAnsi="Times New Roman" w:eastAsia="宋体" w:cs="宋体"/>
                <w:b/>
                <w:bCs/>
                <w:color w:val="000000" w:themeColor="text1"/>
                <w:sz w:val="24"/>
                <w:highlight w:val="none"/>
                <w14:textFill>
                  <w14:solidFill>
                    <w14:schemeClr w14:val="tx1"/>
                  </w14:solidFill>
                </w14:textFill>
              </w:rPr>
            </w:pPr>
            <w:r>
              <w:rPr>
                <w:rFonts w:hint="eastAsia" w:ascii="Times New Roman" w:hAnsi="Times New Roman" w:eastAsia="宋体" w:cs="宋体"/>
                <w:b/>
                <w:bCs/>
                <w:color w:val="000000" w:themeColor="text1"/>
                <w:sz w:val="24"/>
                <w:highlight w:val="none"/>
                <w14:textFill>
                  <w14:solidFill>
                    <w14:schemeClr w14:val="tx1"/>
                  </w14:solidFill>
                </w14:textFill>
              </w:rPr>
              <w:t>生态保护措施</w:t>
            </w:r>
          </w:p>
        </w:tc>
        <w:tc>
          <w:tcPr>
            <w:tcW w:w="4142" w:type="pct"/>
            <w:gridSpan w:val="4"/>
            <w:vAlign w:val="center"/>
          </w:tcPr>
          <w:p w14:paraId="3781F270">
            <w:pPr>
              <w:spacing w:line="300" w:lineRule="auto"/>
              <w:jc w:val="center"/>
              <w:rPr>
                <w:rFonts w:ascii="Times New Roman" w:hAnsi="Times New Roman" w:eastAsia="宋体" w:cs="宋体"/>
                <w:color w:val="000000" w:themeColor="text1"/>
                <w:szCs w:val="21"/>
                <w:highlight w:val="none"/>
                <w14:textFill>
                  <w14:solidFill>
                    <w14:schemeClr w14:val="tx1"/>
                  </w14:solidFill>
                </w14:textFill>
              </w:rPr>
            </w:pPr>
            <w:r>
              <w:rPr>
                <w:rFonts w:hint="eastAsia" w:ascii="Times New Roman" w:hAnsi="Times New Roman" w:eastAsia="宋体" w:cs="宋体"/>
                <w:color w:val="000000" w:themeColor="text1"/>
                <w:szCs w:val="21"/>
                <w:highlight w:val="none"/>
                <w14:textFill>
                  <w14:solidFill>
                    <w14:schemeClr w14:val="tx1"/>
                  </w14:solidFill>
                </w14:textFill>
              </w:rPr>
              <w:t>无</w:t>
            </w:r>
          </w:p>
        </w:tc>
      </w:tr>
      <w:tr w14:paraId="3AC9B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57" w:type="pct"/>
            <w:vAlign w:val="center"/>
          </w:tcPr>
          <w:p w14:paraId="6A381007">
            <w:pPr>
              <w:spacing w:line="360" w:lineRule="auto"/>
              <w:jc w:val="center"/>
              <w:rPr>
                <w:rFonts w:ascii="Times New Roman" w:hAnsi="Times New Roman" w:eastAsia="宋体" w:cs="宋体"/>
                <w:b/>
                <w:bCs/>
                <w:color w:val="000000" w:themeColor="text1"/>
                <w:spacing w:val="-8"/>
                <w:sz w:val="24"/>
                <w:highlight w:val="none"/>
                <w14:textFill>
                  <w14:solidFill>
                    <w14:schemeClr w14:val="tx1"/>
                  </w14:solidFill>
                </w14:textFill>
              </w:rPr>
            </w:pPr>
            <w:r>
              <w:rPr>
                <w:rFonts w:hint="eastAsia" w:ascii="Times New Roman" w:hAnsi="Times New Roman" w:eastAsia="宋体" w:cs="宋体"/>
                <w:b/>
                <w:bCs/>
                <w:color w:val="000000" w:themeColor="text1"/>
                <w:spacing w:val="-8"/>
                <w:sz w:val="24"/>
                <w:highlight w:val="none"/>
                <w14:textFill>
                  <w14:solidFill>
                    <w14:schemeClr w14:val="tx1"/>
                  </w14:solidFill>
                </w14:textFill>
              </w:rPr>
              <w:t>环境风险</w:t>
            </w:r>
          </w:p>
          <w:p w14:paraId="03CBCF1D">
            <w:pPr>
              <w:spacing w:line="360" w:lineRule="auto"/>
              <w:jc w:val="center"/>
              <w:rPr>
                <w:rFonts w:ascii="Times New Roman" w:hAnsi="Times New Roman" w:eastAsia="宋体" w:cs="宋体"/>
                <w:b/>
                <w:bCs/>
                <w:color w:val="000000" w:themeColor="text1"/>
                <w:spacing w:val="-8"/>
                <w:sz w:val="24"/>
                <w:highlight w:val="none"/>
                <w14:textFill>
                  <w14:solidFill>
                    <w14:schemeClr w14:val="tx1"/>
                  </w14:solidFill>
                </w14:textFill>
              </w:rPr>
            </w:pPr>
            <w:r>
              <w:rPr>
                <w:rFonts w:hint="eastAsia" w:ascii="Times New Roman" w:hAnsi="Times New Roman" w:eastAsia="宋体" w:cs="宋体"/>
                <w:b/>
                <w:bCs/>
                <w:color w:val="000000" w:themeColor="text1"/>
                <w:spacing w:val="-8"/>
                <w:sz w:val="24"/>
                <w:highlight w:val="none"/>
                <w14:textFill>
                  <w14:solidFill>
                    <w14:schemeClr w14:val="tx1"/>
                  </w14:solidFill>
                </w14:textFill>
              </w:rPr>
              <w:t>防范措施</w:t>
            </w:r>
          </w:p>
        </w:tc>
        <w:tc>
          <w:tcPr>
            <w:tcW w:w="4142" w:type="pct"/>
            <w:gridSpan w:val="4"/>
            <w:vAlign w:val="center"/>
          </w:tcPr>
          <w:p w14:paraId="3CD53499">
            <w:pPr>
              <w:adjustRightInd w:val="0"/>
              <w:spacing w:line="360" w:lineRule="auto"/>
              <w:ind w:firstLine="420" w:firstLineChars="200"/>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塑粉、液体石蜡</w:t>
            </w:r>
            <w:r>
              <w:rPr>
                <w:rFonts w:hint="default" w:ascii="Times New Roman" w:hAnsi="Times New Roman" w:eastAsia="宋体" w:cs="Times New Roman"/>
                <w:color w:val="000000" w:themeColor="text1"/>
                <w:sz w:val="21"/>
                <w:szCs w:val="21"/>
                <w:highlight w:val="none"/>
                <w14:textFill>
                  <w14:solidFill>
                    <w14:schemeClr w14:val="tx1"/>
                  </w14:solidFill>
                </w14:textFill>
              </w:rPr>
              <w:t>等原料存放于专用仓库，设置防火、防爆、防腐、通风设施，配备泄漏应急处理设施</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，液体石蜡等</w:t>
            </w:r>
            <w:r>
              <w:rPr>
                <w:rFonts w:hint="default" w:ascii="Times New Roman" w:hAnsi="Times New Roman" w:eastAsia="宋体" w:cs="Times New Roman"/>
                <w:color w:val="000000" w:themeColor="text1"/>
                <w:sz w:val="21"/>
                <w:szCs w:val="21"/>
                <w:highlight w:val="none"/>
                <w14:textFill>
                  <w14:solidFill>
                    <w14:schemeClr w14:val="tx1"/>
                  </w14:solidFill>
                </w14:textFill>
              </w:rPr>
              <w:t>液态</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原料</w:t>
            </w:r>
            <w:r>
              <w:rPr>
                <w:rFonts w:hint="default" w:ascii="Times New Roman" w:hAnsi="Times New Roman" w:eastAsia="宋体" w:cs="Times New Roman"/>
                <w:color w:val="000000" w:themeColor="text1"/>
                <w:sz w:val="21"/>
                <w:szCs w:val="21"/>
                <w:highlight w:val="none"/>
                <w14:textFill>
                  <w14:solidFill>
                    <w14:schemeClr w14:val="tx1"/>
                  </w14:solidFill>
                </w14:textFill>
              </w:rPr>
              <w:t>采用专用容器</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存放</w:t>
            </w:r>
            <w:r>
              <w:rPr>
                <w:rFonts w:hint="default" w:ascii="Times New Roman" w:hAnsi="Times New Roman" w:eastAsia="宋体" w:cs="Times New Roman"/>
                <w:color w:val="000000" w:themeColor="text1"/>
                <w:sz w:val="21"/>
                <w:szCs w:val="21"/>
                <w:highlight w:val="none"/>
                <w14:textFill>
                  <w14:solidFill>
                    <w14:schemeClr w14:val="tx1"/>
                  </w14:solidFill>
                </w14:textFill>
              </w:rPr>
              <w:t>，并设置托盘暂存；</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危废贮存点</w:t>
            </w:r>
            <w:r>
              <w:rPr>
                <w:rFonts w:hint="default" w:ascii="Times New Roman" w:hAnsi="Times New Roman" w:eastAsia="宋体" w:cs="Times New Roman"/>
                <w:color w:val="000000" w:themeColor="text1"/>
                <w:sz w:val="21"/>
                <w:szCs w:val="21"/>
                <w:highlight w:val="none"/>
                <w14:textFill>
                  <w14:solidFill>
                    <w14:schemeClr w14:val="tx1"/>
                  </w14:solidFill>
                </w14:textFill>
              </w:rPr>
              <w:t>内设收集沟和收集井，废矿物油</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等</w:t>
            </w:r>
            <w:r>
              <w:rPr>
                <w:rFonts w:hint="default" w:ascii="Times New Roman" w:hAnsi="Times New Roman" w:eastAsia="宋体" w:cs="Times New Roman"/>
                <w:color w:val="000000" w:themeColor="text1"/>
                <w:sz w:val="21"/>
                <w:szCs w:val="21"/>
                <w:highlight w:val="none"/>
                <w14:textFill>
                  <w14:solidFill>
                    <w14:schemeClr w14:val="tx1"/>
                  </w14:solidFill>
                </w14:textFill>
              </w:rPr>
              <w:t>液态危险废物采用专用容器收集，并设置托盘暂存</w:t>
            </w:r>
            <w:r>
              <w:rPr>
                <w:rFonts w:ascii="Times New Roman" w:hAnsi="Times New Roman" w:cs="Times New Roman"/>
                <w:color w:val="000000" w:themeColor="text1"/>
                <w:szCs w:val="21"/>
                <w:highlight w:val="none"/>
                <w14:textFill>
                  <w14:solidFill>
                    <w14:schemeClr w14:val="tx1"/>
                  </w14:solidFill>
                </w14:textFill>
              </w:rPr>
              <w:t>。</w:t>
            </w:r>
          </w:p>
          <w:p w14:paraId="5A4F99BD">
            <w:pPr>
              <w:spacing w:line="360" w:lineRule="auto"/>
              <w:ind w:firstLine="420" w:firstLineChars="200"/>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2、做好员工培训：</w:t>
            </w:r>
            <w:r>
              <w:rPr>
                <w:rFonts w:ascii="Times New Roman" w:hAnsi="Times New Roman" w:cs="Times New Roman"/>
                <w:color w:val="000000" w:themeColor="text1"/>
                <w:szCs w:val="21"/>
                <w:highlight w:val="none"/>
                <w:lang w:val="zh-CN"/>
                <w14:textFill>
                  <w14:solidFill>
                    <w14:schemeClr w14:val="tx1"/>
                  </w14:solidFill>
                </w14:textFill>
              </w:rPr>
              <w:t>坚持“安全第一，预防为主”的方针，积极推行全员预防性管理，经常性地开展安全日、安全周和安全知识竞赛等活动，实行安全工作责任制，建立安全规章制度，设立安全机构，</w:t>
            </w:r>
            <w:r>
              <w:rPr>
                <w:rFonts w:ascii="Times New Roman" w:hAnsi="Times New Roman" w:cs="Times New Roman"/>
                <w:color w:val="000000" w:themeColor="text1"/>
                <w:szCs w:val="21"/>
                <w:highlight w:val="none"/>
                <w14:textFill>
                  <w14:solidFill>
                    <w14:schemeClr w14:val="tx1"/>
                  </w14:solidFill>
                </w14:textFill>
              </w:rPr>
              <w:t>加强员工培训。工作</w:t>
            </w:r>
            <w:r>
              <w:rPr>
                <w:rFonts w:ascii="Times New Roman" w:hAnsi="Times New Roman" w:cs="Times New Roman"/>
                <w:color w:val="000000" w:themeColor="text1"/>
                <w:szCs w:val="21"/>
                <w:highlight w:val="none"/>
                <w:lang w:val="zh-CN"/>
                <w14:textFill>
                  <w14:solidFill>
                    <w14:schemeClr w14:val="tx1"/>
                  </w14:solidFill>
                </w14:textFill>
              </w:rPr>
              <w:t>人员必须经过专业知识培训，熟悉贮存物品的特性、事故处理办法和防护知识，必须配备有关的个人防护用品。</w:t>
            </w:r>
          </w:p>
        </w:tc>
      </w:tr>
      <w:tr w14:paraId="00D0A8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485" w:hRule="atLeast"/>
          <w:jc w:val="center"/>
        </w:trPr>
        <w:tc>
          <w:tcPr>
            <w:tcW w:w="857" w:type="pct"/>
            <w:vAlign w:val="center"/>
          </w:tcPr>
          <w:p w14:paraId="689B4279">
            <w:pPr>
              <w:spacing w:before="62" w:beforeLines="20" w:after="62" w:afterLines="20" w:line="264" w:lineRule="auto"/>
              <w:jc w:val="center"/>
              <w:rPr>
                <w:rFonts w:ascii="Times New Roman" w:hAnsi="Times New Roman" w:eastAsia="宋体" w:cs="宋体"/>
                <w:b/>
                <w:bCs/>
                <w:color w:val="000000" w:themeColor="text1"/>
                <w:spacing w:val="-8"/>
                <w:sz w:val="24"/>
                <w:highlight w:val="none"/>
                <w14:textFill>
                  <w14:solidFill>
                    <w14:schemeClr w14:val="tx1"/>
                  </w14:solidFill>
                </w14:textFill>
              </w:rPr>
            </w:pPr>
            <w:r>
              <w:rPr>
                <w:rFonts w:hint="eastAsia" w:ascii="Times New Roman" w:hAnsi="Times New Roman" w:eastAsia="宋体" w:cs="宋体"/>
                <w:b/>
                <w:bCs/>
                <w:color w:val="000000" w:themeColor="text1"/>
                <w:spacing w:val="-8"/>
                <w:sz w:val="24"/>
                <w:highlight w:val="none"/>
                <w14:textFill>
                  <w14:solidFill>
                    <w14:schemeClr w14:val="tx1"/>
                  </w14:solidFill>
                </w14:textFill>
              </w:rPr>
              <w:t>其他环境</w:t>
            </w:r>
          </w:p>
          <w:p w14:paraId="275204DC">
            <w:pPr>
              <w:spacing w:before="62" w:beforeLines="20" w:after="62" w:afterLines="20" w:line="264" w:lineRule="auto"/>
              <w:jc w:val="center"/>
              <w:rPr>
                <w:rFonts w:ascii="Times New Roman" w:hAnsi="Times New Roman" w:eastAsia="宋体" w:cs="宋体"/>
                <w:b/>
                <w:bCs/>
                <w:color w:val="000000" w:themeColor="text1"/>
                <w:spacing w:val="-8"/>
                <w:sz w:val="24"/>
                <w:highlight w:val="none"/>
                <w14:textFill>
                  <w14:solidFill>
                    <w14:schemeClr w14:val="tx1"/>
                  </w14:solidFill>
                </w14:textFill>
              </w:rPr>
            </w:pPr>
            <w:r>
              <w:rPr>
                <w:rFonts w:hint="eastAsia" w:ascii="Times New Roman" w:hAnsi="Times New Roman" w:eastAsia="宋体" w:cs="宋体"/>
                <w:b/>
                <w:bCs/>
                <w:color w:val="000000" w:themeColor="text1"/>
                <w:spacing w:val="-8"/>
                <w:sz w:val="24"/>
                <w:highlight w:val="none"/>
                <w14:textFill>
                  <w14:solidFill>
                    <w14:schemeClr w14:val="tx1"/>
                  </w14:solidFill>
                </w14:textFill>
              </w:rPr>
              <w:t>管理要求</w:t>
            </w:r>
          </w:p>
        </w:tc>
        <w:tc>
          <w:tcPr>
            <w:tcW w:w="4142" w:type="pct"/>
            <w:gridSpan w:val="4"/>
            <w:vAlign w:val="center"/>
          </w:tcPr>
          <w:p w14:paraId="10912ACA">
            <w:pPr>
              <w:spacing w:line="360" w:lineRule="auto"/>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建设单位应加强企业的环境管理，安排专人负责日常环境管理工作，配合环境保护行政主管部门做好营运期的环保工作。应对专职环保人员进行定期培训，确保环保设施的正常运行和污染物达标排放。</w:t>
            </w:r>
          </w:p>
          <w:p w14:paraId="2C234A12">
            <w:pPr>
              <w:spacing w:line="360" w:lineRule="auto"/>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应根据《排污单位污染物排放口监测点位设置技术规范要求设置》（HJ 1405-2024）要求设置排污口。排放一般污染物排污口（源），设置提示式标志牌，排放有毒有害等污染物的排污口设置警告式标志牌。标志牌设置位置在排污口（采样点）附近且醒目处，高度为标志牌上缘离地面2m。排污口附近1m范围内有建筑物的，设平面式标志牌，无建筑物的设立式标志牌。</w:t>
            </w:r>
          </w:p>
          <w:p w14:paraId="60DD6157">
            <w:pPr>
              <w:adjustRightInd w:val="0"/>
              <w:spacing w:line="360" w:lineRule="auto"/>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规范化排污口的有关设置（如图形标志牌、计量装置、监控装置等）属环保设施，排污单位必须负责日常的维护保养，任何单位和个人不得擅自拆除，如需变更的须报环境监理部门同意并办理变更手续。</w:t>
            </w:r>
          </w:p>
          <w:p w14:paraId="27EC276A">
            <w:pPr>
              <w:adjustRightInd w:val="0"/>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建设单位应在项目产生排污行为之前，按照《排污许可管理条例》要求，应当在全国排污许可证管理信息平台上</w:t>
            </w:r>
            <w:r>
              <w:rPr>
                <w:rFonts w:hint="eastAsia"/>
                <w:color w:val="000000" w:themeColor="text1"/>
                <w:highlight w:val="none"/>
                <w14:textFill>
                  <w14:solidFill>
                    <w14:schemeClr w14:val="tx1"/>
                  </w14:solidFill>
                </w14:textFill>
              </w:rPr>
              <w:t>填报或变更</w:t>
            </w:r>
            <w:r>
              <w:rPr>
                <w:color w:val="000000" w:themeColor="text1"/>
                <w:highlight w:val="none"/>
                <w14:textFill>
                  <w14:solidFill>
                    <w14:schemeClr w14:val="tx1"/>
                  </w14:solidFill>
                </w14:textFill>
              </w:rPr>
              <w:t>基本信息、污染物排放去向、执行的污染物排放标准以及采取的污染防治措施等信息。</w:t>
            </w:r>
          </w:p>
          <w:p w14:paraId="29B0DB0F">
            <w:pPr>
              <w:adjustRightInd w:val="0"/>
              <w:spacing w:line="360" w:lineRule="auto"/>
              <w:ind w:firstLine="420" w:firstLineChars="200"/>
              <w:rPr>
                <w:rFonts w:ascii="Times New Roman" w:hAnsi="Times New Roman" w:eastAsia="宋体" w:cs="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建设项目竣工后建设单位应自主开展项目环境保护验收。配套建设的环境保护设施经验收合格后，其主体工程方可投入生产或者使用；未经验收或者验收不合格的，不得投入生产或者使用</w:t>
            </w:r>
            <w:r>
              <w:rPr>
                <w:rFonts w:hint="eastAsia"/>
                <w:color w:val="000000" w:themeColor="text1"/>
                <w:highlight w:val="none"/>
                <w14:textFill>
                  <w14:solidFill>
                    <w14:schemeClr w14:val="tx1"/>
                  </w14:solidFill>
                </w14:textFill>
              </w:rPr>
              <w:t>。</w:t>
            </w:r>
          </w:p>
        </w:tc>
      </w:tr>
    </w:tbl>
    <w:p w14:paraId="5FD210AF">
      <w:pPr>
        <w:pStyle w:val="21"/>
        <w:spacing w:before="31" w:beforeLines="10" w:beforeAutospacing="0" w:after="31" w:afterLines="10" w:afterAutospacing="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pgSz w:w="11906" w:h="16838"/>
          <w:pgMar w:top="1440" w:right="1344" w:bottom="1440" w:left="1514" w:header="851" w:footer="992" w:gutter="0"/>
          <w:pgNumType w:fmt="numberInDash"/>
          <w:cols w:space="425" w:num="1"/>
          <w:docGrid w:type="lines" w:linePitch="312" w:charSpace="0"/>
        </w:sectPr>
      </w:pPr>
      <w:bookmarkStart w:id="21" w:name="_Toc20594"/>
    </w:p>
    <w:p w14:paraId="18D6E717">
      <w:pPr>
        <w:pStyle w:val="21"/>
        <w:spacing w:before="31" w:beforeLines="10" w:beforeAutospacing="0" w:after="31" w:afterLines="10" w:afterAutospacing="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hint="eastAsia" w:ascii="Times New Roman" w:hAnsi="Times New Roman" w:eastAsia="黑体"/>
          <w:snapToGrid w:val="0"/>
          <w:color w:val="000000" w:themeColor="text1"/>
          <w:sz w:val="30"/>
          <w:szCs w:val="30"/>
          <w:highlight w:val="none"/>
          <w14:textFill>
            <w14:solidFill>
              <w14:schemeClr w14:val="tx1"/>
            </w14:solidFill>
          </w14:textFill>
        </w:rPr>
        <w:t>六、结论</w:t>
      </w:r>
      <w:bookmarkEnd w:id="21"/>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9162"/>
      </w:tblGrid>
      <w:tr w14:paraId="57BA6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637" w:hRule="atLeast"/>
          <w:jc w:val="center"/>
        </w:trPr>
        <w:tc>
          <w:tcPr>
            <w:tcW w:w="5000" w:type="pct"/>
          </w:tcPr>
          <w:p w14:paraId="076C104F">
            <w:pPr>
              <w:spacing w:line="360" w:lineRule="auto"/>
              <w:ind w:firstLine="480" w:firstLineChars="200"/>
              <w:rPr>
                <w:rFonts w:ascii="Times New Roman" w:hAnsi="Times New Roman" w:cs="宋体"/>
                <w:color w:val="000000" w:themeColor="text1"/>
                <w:sz w:val="24"/>
                <w:highlight w:val="none"/>
                <w14:textFill>
                  <w14:solidFill>
                    <w14:schemeClr w14:val="tx1"/>
                  </w14:solidFill>
                </w14:textFill>
              </w:rPr>
            </w:pPr>
            <w:r>
              <w:rPr>
                <w:rFonts w:hint="eastAsia" w:ascii="Times New Roman" w:hAnsi="Times New Roman"/>
                <w:color w:val="000000" w:themeColor="text1"/>
                <w:sz w:val="24"/>
                <w:highlight w:val="none"/>
                <w14:textFill>
                  <w14:solidFill>
                    <w14:schemeClr w14:val="tx1"/>
                  </w14:solidFill>
                </w14:textFill>
              </w:rPr>
              <w:t>综上所述，项目选址合理、符合国家及地方产业政策。项目运营期如能采取积极措施不断提高企业循环经济水平，推行清洁生产，并严格执行“三同时”制度，严格控制污染物排放量，将产生的各项污染物按报告中提出的污染治理措施进行治理，加强污染治理设施和设备的运行管理，则项目营运期对周围环境不会产生明显的影响。从环境保护角度分析，项目建设是可行的。</w:t>
            </w:r>
          </w:p>
        </w:tc>
      </w:tr>
    </w:tbl>
    <w:p w14:paraId="26191FE1">
      <w:pPr>
        <w:spacing w:line="40" w:lineRule="exact"/>
        <w:rPr>
          <w:rFonts w:ascii="Times New Roman" w:hAnsi="Times New Roman" w:eastAsia="宋体"/>
          <w:color w:val="000000" w:themeColor="text1"/>
          <w:highlight w:val="none"/>
          <w14:textFill>
            <w14:solidFill>
              <w14:schemeClr w14:val="tx1"/>
            </w14:solidFill>
          </w14:textFill>
        </w:rPr>
      </w:pPr>
    </w:p>
    <w:p w14:paraId="2CE8C658">
      <w:pPr>
        <w:pStyle w:val="32"/>
        <w:spacing w:line="40" w:lineRule="exact"/>
        <w:rPr>
          <w:rFonts w:ascii="Times New Roman" w:hAnsi="Times New Roman" w:eastAsia="宋体"/>
          <w:color w:val="000000" w:themeColor="text1"/>
          <w:highlight w:val="none"/>
          <w14:textFill>
            <w14:solidFill>
              <w14:schemeClr w14:val="tx1"/>
            </w14:solidFill>
          </w14:textFill>
        </w:rPr>
        <w:sectPr>
          <w:pgSz w:w="11906" w:h="16838"/>
          <w:pgMar w:top="1440" w:right="1344" w:bottom="1440" w:left="1514" w:header="851" w:footer="992" w:gutter="0"/>
          <w:pgNumType w:fmt="numberInDash"/>
          <w:cols w:space="425" w:num="1"/>
          <w:docGrid w:type="lines" w:linePitch="312" w:charSpace="0"/>
        </w:sectPr>
      </w:pPr>
    </w:p>
    <w:p w14:paraId="790DDC02">
      <w:pPr>
        <w:pStyle w:val="21"/>
        <w:spacing w:before="0" w:beforeAutospacing="0" w:after="0" w:afterAutospacing="0" w:line="360" w:lineRule="auto"/>
        <w:outlineLvl w:val="0"/>
        <w:rPr>
          <w:rFonts w:ascii="Times New Roman" w:hAnsi="Times New Roman" w:eastAsia="黑体"/>
          <w:snapToGrid w:val="0"/>
          <w:color w:val="000000" w:themeColor="text1"/>
          <w:sz w:val="32"/>
          <w:szCs w:val="32"/>
          <w:highlight w:val="none"/>
          <w14:textFill>
            <w14:solidFill>
              <w14:schemeClr w14:val="tx1"/>
            </w14:solidFill>
          </w14:textFill>
        </w:rPr>
      </w:pPr>
      <w:bookmarkStart w:id="22" w:name="_Toc15714"/>
      <w:r>
        <w:rPr>
          <w:rFonts w:hint="eastAsia" w:ascii="Times New Roman" w:hAnsi="Times New Roman" w:eastAsia="黑体"/>
          <w:snapToGrid w:val="0"/>
          <w:color w:val="000000" w:themeColor="text1"/>
          <w:sz w:val="32"/>
          <w:szCs w:val="32"/>
          <w:highlight w:val="none"/>
          <w14:textFill>
            <w14:solidFill>
              <w14:schemeClr w14:val="tx1"/>
            </w14:solidFill>
          </w14:textFill>
        </w:rPr>
        <w:t>附表</w:t>
      </w:r>
      <w:bookmarkEnd w:id="22"/>
    </w:p>
    <w:p w14:paraId="23BE21DA">
      <w:pPr>
        <w:pStyle w:val="21"/>
        <w:spacing w:before="62" w:beforeLines="20" w:beforeAutospacing="0" w:after="62" w:afterLines="20" w:afterAutospacing="0"/>
        <w:jc w:val="center"/>
        <w:rPr>
          <w:rFonts w:ascii="Times New Roman" w:hAnsi="Times New Roman" w:eastAsia="黑体"/>
          <w:snapToGrid w:val="0"/>
          <w:color w:val="000000" w:themeColor="text1"/>
          <w:sz w:val="36"/>
          <w:szCs w:val="36"/>
          <w:highlight w:val="none"/>
          <w14:textFill>
            <w14:solidFill>
              <w14:schemeClr w14:val="tx1"/>
            </w14:solidFill>
          </w14:textFill>
        </w:rPr>
      </w:pPr>
      <w:r>
        <w:rPr>
          <w:rFonts w:hint="eastAsia" w:ascii="Times New Roman" w:hAnsi="Times New Roman" w:eastAsia="黑体"/>
          <w:snapToGrid w:val="0"/>
          <w:color w:val="000000" w:themeColor="text1"/>
          <w:sz w:val="36"/>
          <w:szCs w:val="36"/>
          <w:highlight w:val="none"/>
          <w14:textFill>
            <w14:solidFill>
              <w14:schemeClr w14:val="tx1"/>
            </w14:solidFill>
          </w14:textFill>
        </w:rPr>
        <w:t>建设项目污染物排放量汇总表</w:t>
      </w:r>
    </w:p>
    <w:tbl>
      <w:tblPr>
        <w:tblStyle w:val="26"/>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785"/>
        <w:gridCol w:w="1446"/>
        <w:gridCol w:w="1468"/>
        <w:gridCol w:w="1617"/>
        <w:gridCol w:w="1513"/>
        <w:gridCol w:w="1698"/>
        <w:gridCol w:w="1679"/>
        <w:gridCol w:w="1615"/>
      </w:tblGrid>
      <w:tr w14:paraId="0DADC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tcBorders>
              <w:tl2br w:val="single" w:color="auto" w:sz="4" w:space="0"/>
            </w:tcBorders>
            <w:tcMar>
              <w:left w:w="28" w:type="dxa"/>
              <w:right w:w="28" w:type="dxa"/>
            </w:tcMar>
            <w:vAlign w:val="center"/>
          </w:tcPr>
          <w:p w14:paraId="50257C0A">
            <w:pPr>
              <w:pStyle w:val="38"/>
              <w:adjustRightInd/>
              <w:snapToGrid/>
              <w:spacing w:beforeLines="0" w:afterLines="0" w:line="360" w:lineRule="auto"/>
              <w:ind w:firstLine="0" w:firstLineChars="0"/>
              <w:jc w:val="right"/>
              <w:rPr>
                <w:rFonts w:ascii="Times New Roman" w:cs="宋体"/>
                <w:b/>
                <w:bCs/>
                <w:snapToGrid w:val="0"/>
                <w:color w:val="000000" w:themeColor="text1"/>
                <w:spacing w:val="-6"/>
                <w:kern w:val="21"/>
                <w:szCs w:val="21"/>
                <w:highlight w:val="none"/>
                <w14:textFill>
                  <w14:solidFill>
                    <w14:schemeClr w14:val="tx1"/>
                  </w14:solidFill>
                </w14:textFill>
              </w:rPr>
            </w:pPr>
            <w:r>
              <w:rPr>
                <w:rFonts w:hint="eastAsia" w:ascii="Times New Roman" w:cs="宋体"/>
                <w:b/>
                <w:bCs/>
                <w:snapToGrid w:val="0"/>
                <w:color w:val="000000" w:themeColor="text1"/>
                <w:spacing w:val="-6"/>
                <w:kern w:val="21"/>
                <w:szCs w:val="21"/>
                <w:highlight w:val="none"/>
                <w14:textFill>
                  <w14:solidFill>
                    <w14:schemeClr w14:val="tx1"/>
                  </w14:solidFill>
                </w14:textFill>
              </w:rPr>
              <w:t>项目</w:t>
            </w:r>
          </w:p>
          <w:p w14:paraId="49146F4A">
            <w:pPr>
              <w:pStyle w:val="38"/>
              <w:adjustRightInd/>
              <w:snapToGrid/>
              <w:spacing w:beforeLines="0" w:afterLines="0" w:line="360" w:lineRule="auto"/>
              <w:ind w:firstLine="0" w:firstLineChars="0"/>
              <w:jc w:val="left"/>
              <w:rPr>
                <w:rFonts w:ascii="Times New Roman" w:cs="宋体"/>
                <w:b/>
                <w:bCs/>
                <w:snapToGrid w:val="0"/>
                <w:color w:val="000000" w:themeColor="text1"/>
                <w:spacing w:val="-6"/>
                <w:kern w:val="21"/>
                <w:szCs w:val="21"/>
                <w:highlight w:val="none"/>
                <w14:textFill>
                  <w14:solidFill>
                    <w14:schemeClr w14:val="tx1"/>
                  </w14:solidFill>
                </w14:textFill>
              </w:rPr>
            </w:pPr>
            <w:r>
              <w:rPr>
                <w:rFonts w:hint="eastAsia" w:ascii="Times New Roman" w:cs="宋体"/>
                <w:b/>
                <w:bCs/>
                <w:snapToGrid w:val="0"/>
                <w:color w:val="000000" w:themeColor="text1"/>
                <w:spacing w:val="-6"/>
                <w:kern w:val="21"/>
                <w:szCs w:val="21"/>
                <w:highlight w:val="none"/>
                <w14:textFill>
                  <w14:solidFill>
                    <w14:schemeClr w14:val="tx1"/>
                  </w14:solidFill>
                </w14:textFill>
              </w:rPr>
              <w:t>分类</w:t>
            </w:r>
          </w:p>
        </w:tc>
        <w:tc>
          <w:tcPr>
            <w:tcW w:w="637" w:type="pct"/>
            <w:tcMar>
              <w:left w:w="28" w:type="dxa"/>
              <w:right w:w="28" w:type="dxa"/>
            </w:tcMar>
            <w:vAlign w:val="center"/>
          </w:tcPr>
          <w:p w14:paraId="2FFE33B0">
            <w:pPr>
              <w:pStyle w:val="38"/>
              <w:adjustRightInd/>
              <w:snapToGrid/>
              <w:spacing w:beforeLines="0" w:afterLines="0" w:line="288" w:lineRule="auto"/>
              <w:ind w:firstLine="0" w:firstLineChars="0"/>
              <w:rPr>
                <w:rFonts w:ascii="Times New Roman" w:cs="宋体"/>
                <w:b/>
                <w:bCs/>
                <w:snapToGrid w:val="0"/>
                <w:color w:val="000000" w:themeColor="text1"/>
                <w:spacing w:val="-6"/>
                <w:kern w:val="21"/>
                <w:szCs w:val="21"/>
                <w:highlight w:val="none"/>
                <w14:textFill>
                  <w14:solidFill>
                    <w14:schemeClr w14:val="tx1"/>
                  </w14:solidFill>
                </w14:textFill>
              </w:rPr>
            </w:pPr>
            <w:r>
              <w:rPr>
                <w:rFonts w:hint="eastAsia" w:ascii="Times New Roman" w:cs="宋体"/>
                <w:b/>
                <w:bCs/>
                <w:snapToGrid w:val="0"/>
                <w:color w:val="000000" w:themeColor="text1"/>
                <w:spacing w:val="-6"/>
                <w:kern w:val="21"/>
                <w:szCs w:val="21"/>
                <w:highlight w:val="none"/>
                <w14:textFill>
                  <w14:solidFill>
                    <w14:schemeClr w14:val="tx1"/>
                  </w14:solidFill>
                </w14:textFill>
              </w:rPr>
              <w:t>污染物名称</w:t>
            </w:r>
          </w:p>
        </w:tc>
        <w:tc>
          <w:tcPr>
            <w:tcW w:w="516" w:type="pct"/>
            <w:tcMar>
              <w:left w:w="28" w:type="dxa"/>
              <w:right w:w="28" w:type="dxa"/>
            </w:tcMar>
            <w:vAlign w:val="center"/>
          </w:tcPr>
          <w:p w14:paraId="4611BD8E">
            <w:pPr>
              <w:pStyle w:val="38"/>
              <w:adjustRightInd/>
              <w:snapToGrid/>
              <w:spacing w:beforeLines="0" w:afterLines="0" w:line="288" w:lineRule="auto"/>
              <w:ind w:firstLine="0" w:firstLineChars="0"/>
              <w:rPr>
                <w:rFonts w:ascii="Times New Roman"/>
                <w:b/>
                <w:bCs/>
                <w:snapToGrid w:val="0"/>
                <w:color w:val="000000" w:themeColor="text1"/>
                <w:spacing w:val="-6"/>
                <w:kern w:val="21"/>
                <w:szCs w:val="21"/>
                <w:highlight w:val="none"/>
                <w14:textFill>
                  <w14:solidFill>
                    <w14:schemeClr w14:val="tx1"/>
                  </w14:solidFill>
                </w14:textFill>
              </w:rPr>
            </w:pPr>
            <w:r>
              <w:rPr>
                <w:rFonts w:ascii="Times New Roman"/>
                <w:b/>
                <w:bCs/>
                <w:snapToGrid w:val="0"/>
                <w:color w:val="000000" w:themeColor="text1"/>
                <w:spacing w:val="-6"/>
                <w:kern w:val="21"/>
                <w:szCs w:val="21"/>
                <w:highlight w:val="none"/>
                <w14:textFill>
                  <w14:solidFill>
                    <w14:schemeClr w14:val="tx1"/>
                  </w14:solidFill>
                </w14:textFill>
              </w:rPr>
              <w:t>现有工程</w:t>
            </w:r>
          </w:p>
          <w:p w14:paraId="31A1C987">
            <w:pPr>
              <w:pStyle w:val="38"/>
              <w:adjustRightInd/>
              <w:snapToGrid/>
              <w:spacing w:beforeLines="0" w:afterLines="0" w:line="288" w:lineRule="auto"/>
              <w:ind w:firstLine="0" w:firstLineChars="0"/>
              <w:rPr>
                <w:rFonts w:ascii="Times New Roman"/>
                <w:b/>
                <w:bCs/>
                <w:snapToGrid w:val="0"/>
                <w:color w:val="000000" w:themeColor="text1"/>
                <w:spacing w:val="-6"/>
                <w:kern w:val="21"/>
                <w:szCs w:val="21"/>
                <w:highlight w:val="none"/>
                <w14:textFill>
                  <w14:solidFill>
                    <w14:schemeClr w14:val="tx1"/>
                  </w14:solidFill>
                </w14:textFill>
              </w:rPr>
            </w:pPr>
            <w:r>
              <w:rPr>
                <w:rFonts w:ascii="Times New Roman"/>
                <w:b/>
                <w:bCs/>
                <w:snapToGrid w:val="0"/>
                <w:color w:val="000000" w:themeColor="text1"/>
                <w:spacing w:val="-6"/>
                <w:kern w:val="21"/>
                <w:szCs w:val="21"/>
                <w:highlight w:val="none"/>
                <w14:textFill>
                  <w14:solidFill>
                    <w14:schemeClr w14:val="tx1"/>
                  </w14:solidFill>
                </w14:textFill>
              </w:rPr>
              <w:t>排放量（固</w:t>
            </w:r>
            <w:r>
              <w:rPr>
                <w:rFonts w:hint="eastAsia" w:ascii="Times New Roman"/>
                <w:b/>
                <w:bCs/>
                <w:snapToGrid w:val="0"/>
                <w:color w:val="000000" w:themeColor="text1"/>
                <w:spacing w:val="-6"/>
                <w:kern w:val="21"/>
                <w:szCs w:val="21"/>
                <w:highlight w:val="none"/>
                <w14:textFill>
                  <w14:solidFill>
                    <w14:schemeClr w14:val="tx1"/>
                  </w14:solidFill>
                </w14:textFill>
              </w:rPr>
              <w:t>体</w:t>
            </w:r>
            <w:r>
              <w:rPr>
                <w:rFonts w:ascii="Times New Roman"/>
                <w:b/>
                <w:bCs/>
                <w:snapToGrid w:val="0"/>
                <w:color w:val="000000" w:themeColor="text1"/>
                <w:spacing w:val="-6"/>
                <w:kern w:val="21"/>
                <w:szCs w:val="21"/>
                <w:highlight w:val="none"/>
                <w14:textFill>
                  <w14:solidFill>
                    <w14:schemeClr w14:val="tx1"/>
                  </w14:solidFill>
                </w14:textFill>
              </w:rPr>
              <w:t>废</w:t>
            </w:r>
            <w:r>
              <w:rPr>
                <w:rFonts w:hint="eastAsia" w:ascii="Times New Roman"/>
                <w:b/>
                <w:bCs/>
                <w:snapToGrid w:val="0"/>
                <w:color w:val="000000" w:themeColor="text1"/>
                <w:spacing w:val="-6"/>
                <w:kern w:val="21"/>
                <w:szCs w:val="21"/>
                <w:highlight w:val="none"/>
                <w14:textFill>
                  <w14:solidFill>
                    <w14:schemeClr w14:val="tx1"/>
                  </w14:solidFill>
                </w14:textFill>
              </w:rPr>
              <w:t>物</w:t>
            </w:r>
            <w:r>
              <w:rPr>
                <w:rFonts w:ascii="Times New Roman"/>
                <w:b/>
                <w:bCs/>
                <w:snapToGrid w:val="0"/>
                <w:color w:val="000000" w:themeColor="text1"/>
                <w:spacing w:val="-6"/>
                <w:kern w:val="21"/>
                <w:szCs w:val="21"/>
                <w:highlight w:val="none"/>
                <w14:textFill>
                  <w14:solidFill>
                    <w14:schemeClr w14:val="tx1"/>
                  </w14:solidFill>
                </w14:textFill>
              </w:rPr>
              <w:t>产生量）</w:t>
            </w:r>
            <w:r>
              <w:rPr>
                <w:rFonts w:ascii="Times New Roman"/>
                <w:b/>
                <w:bCs/>
                <w:snapToGrid w:val="0"/>
                <w:color w:val="000000" w:themeColor="text1"/>
                <w:spacing w:val="-6"/>
                <w:kern w:val="21"/>
                <w:szCs w:val="21"/>
                <w:highlight w:val="none"/>
                <w14:textFill>
                  <w14:solidFill>
                    <w14:schemeClr w14:val="tx1"/>
                  </w14:solidFill>
                </w14:textFill>
              </w:rPr>
              <w:fldChar w:fldCharType="begin"/>
            </w:r>
            <w:r>
              <w:rPr>
                <w:rFonts w:ascii="Times New Roman"/>
                <w:b/>
                <w:bCs/>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b/>
                <w:bCs/>
                <w:snapToGrid w:val="0"/>
                <w:color w:val="000000" w:themeColor="text1"/>
                <w:spacing w:val="-6"/>
                <w:kern w:val="21"/>
                <w:szCs w:val="21"/>
                <w:highlight w:val="none"/>
                <w14:textFill>
                  <w14:solidFill>
                    <w14:schemeClr w14:val="tx1"/>
                  </w14:solidFill>
                </w14:textFill>
              </w:rPr>
              <w:fldChar w:fldCharType="separate"/>
            </w:r>
            <w:r>
              <w:rPr>
                <w:rFonts w:hint="eastAsia" w:ascii="Times New Roman" w:cs="宋体"/>
                <w:b/>
                <w:bCs/>
                <w:color w:val="000000" w:themeColor="text1"/>
                <w:kern w:val="2"/>
                <w:szCs w:val="21"/>
                <w:highlight w:val="none"/>
                <w14:textFill>
                  <w14:solidFill>
                    <w14:schemeClr w14:val="tx1"/>
                  </w14:solidFill>
                </w14:textFill>
              </w:rPr>
              <w:t>①</w:t>
            </w:r>
            <w:r>
              <w:rPr>
                <w:rFonts w:ascii="Times New Roman"/>
                <w:b/>
                <w:bCs/>
                <w:snapToGrid w:val="0"/>
                <w:color w:val="000000" w:themeColor="text1"/>
                <w:spacing w:val="-6"/>
                <w:kern w:val="21"/>
                <w:szCs w:val="21"/>
                <w:highlight w:val="none"/>
                <w14:textFill>
                  <w14:solidFill>
                    <w14:schemeClr w14:val="tx1"/>
                  </w14:solidFill>
                </w14:textFill>
              </w:rPr>
              <w:fldChar w:fldCharType="end"/>
            </w:r>
          </w:p>
        </w:tc>
        <w:tc>
          <w:tcPr>
            <w:tcW w:w="524" w:type="pct"/>
            <w:tcMar>
              <w:left w:w="28" w:type="dxa"/>
              <w:right w:w="28" w:type="dxa"/>
            </w:tcMar>
            <w:vAlign w:val="center"/>
          </w:tcPr>
          <w:p w14:paraId="26BD0AD3">
            <w:pPr>
              <w:pStyle w:val="38"/>
              <w:adjustRightInd/>
              <w:snapToGrid/>
              <w:spacing w:beforeLines="0" w:afterLines="0" w:line="288" w:lineRule="auto"/>
              <w:ind w:firstLine="0" w:firstLineChars="0"/>
              <w:rPr>
                <w:rFonts w:ascii="Times New Roman"/>
                <w:b/>
                <w:bCs/>
                <w:snapToGrid w:val="0"/>
                <w:color w:val="000000" w:themeColor="text1"/>
                <w:spacing w:val="-6"/>
                <w:kern w:val="21"/>
                <w:szCs w:val="21"/>
                <w:highlight w:val="none"/>
                <w14:textFill>
                  <w14:solidFill>
                    <w14:schemeClr w14:val="tx1"/>
                  </w14:solidFill>
                </w14:textFill>
              </w:rPr>
            </w:pPr>
            <w:r>
              <w:rPr>
                <w:rFonts w:ascii="Times New Roman"/>
                <w:b/>
                <w:bCs/>
                <w:snapToGrid w:val="0"/>
                <w:color w:val="000000" w:themeColor="text1"/>
                <w:spacing w:val="-6"/>
                <w:kern w:val="21"/>
                <w:szCs w:val="21"/>
                <w:highlight w:val="none"/>
                <w14:textFill>
                  <w14:solidFill>
                    <w14:schemeClr w14:val="tx1"/>
                  </w14:solidFill>
                </w14:textFill>
              </w:rPr>
              <w:t>现有工程</w:t>
            </w:r>
          </w:p>
          <w:p w14:paraId="3D54FEC5">
            <w:pPr>
              <w:pStyle w:val="38"/>
              <w:adjustRightInd/>
              <w:snapToGrid/>
              <w:spacing w:beforeLines="0" w:afterLines="0" w:line="288" w:lineRule="auto"/>
              <w:ind w:firstLine="0" w:firstLineChars="0"/>
              <w:rPr>
                <w:rFonts w:ascii="Times New Roman"/>
                <w:b/>
                <w:bCs/>
                <w:snapToGrid w:val="0"/>
                <w:color w:val="000000" w:themeColor="text1"/>
                <w:spacing w:val="-6"/>
                <w:kern w:val="21"/>
                <w:szCs w:val="21"/>
                <w:highlight w:val="none"/>
                <w14:textFill>
                  <w14:solidFill>
                    <w14:schemeClr w14:val="tx1"/>
                  </w14:solidFill>
                </w14:textFill>
              </w:rPr>
            </w:pPr>
            <w:r>
              <w:rPr>
                <w:rFonts w:ascii="Times New Roman"/>
                <w:b/>
                <w:bCs/>
                <w:snapToGrid w:val="0"/>
                <w:color w:val="000000" w:themeColor="text1"/>
                <w:spacing w:val="-6"/>
                <w:kern w:val="21"/>
                <w:szCs w:val="21"/>
                <w:highlight w:val="none"/>
                <w14:textFill>
                  <w14:solidFill>
                    <w14:schemeClr w14:val="tx1"/>
                  </w14:solidFill>
                </w14:textFill>
              </w:rPr>
              <w:t>许可排放量</w:t>
            </w:r>
          </w:p>
          <w:p w14:paraId="00BE954D">
            <w:pPr>
              <w:pStyle w:val="38"/>
              <w:adjustRightInd/>
              <w:snapToGrid/>
              <w:spacing w:beforeLines="0" w:afterLines="0" w:line="288" w:lineRule="auto"/>
              <w:ind w:firstLine="0" w:firstLineChars="0"/>
              <w:rPr>
                <w:rFonts w:ascii="Times New Roman"/>
                <w:b/>
                <w:bCs/>
                <w:snapToGrid w:val="0"/>
                <w:color w:val="000000" w:themeColor="text1"/>
                <w:spacing w:val="-6"/>
                <w:kern w:val="21"/>
                <w:szCs w:val="21"/>
                <w:highlight w:val="none"/>
                <w14:textFill>
                  <w14:solidFill>
                    <w14:schemeClr w14:val="tx1"/>
                  </w14:solidFill>
                </w14:textFill>
              </w:rPr>
            </w:pPr>
            <w:r>
              <w:rPr>
                <w:rFonts w:ascii="Times New Roman"/>
                <w:b/>
                <w:bCs/>
                <w:snapToGrid w:val="0"/>
                <w:color w:val="000000" w:themeColor="text1"/>
                <w:spacing w:val="-6"/>
                <w:kern w:val="21"/>
                <w:szCs w:val="21"/>
                <w:highlight w:val="none"/>
                <w14:textFill>
                  <w14:solidFill>
                    <w14:schemeClr w14:val="tx1"/>
                  </w14:solidFill>
                </w14:textFill>
              </w:rPr>
              <w:fldChar w:fldCharType="begin"/>
            </w:r>
            <w:r>
              <w:rPr>
                <w:rFonts w:ascii="Times New Roman"/>
                <w:b/>
                <w:bCs/>
                <w:snapToGrid w:val="0"/>
                <w:color w:val="000000" w:themeColor="text1"/>
                <w:spacing w:val="-6"/>
                <w:kern w:val="21"/>
                <w:szCs w:val="21"/>
                <w:highlight w:val="none"/>
                <w14:textFill>
                  <w14:solidFill>
                    <w14:schemeClr w14:val="tx1"/>
                  </w14:solidFill>
                </w14:textFill>
              </w:rPr>
              <w:instrText xml:space="preserve"> = 2 \* GB3 \* MERGEFORMAT </w:instrText>
            </w:r>
            <w:r>
              <w:rPr>
                <w:rFonts w:ascii="Times New Roman"/>
                <w:b/>
                <w:bCs/>
                <w:snapToGrid w:val="0"/>
                <w:color w:val="000000" w:themeColor="text1"/>
                <w:spacing w:val="-6"/>
                <w:kern w:val="21"/>
                <w:szCs w:val="21"/>
                <w:highlight w:val="none"/>
                <w14:textFill>
                  <w14:solidFill>
                    <w14:schemeClr w14:val="tx1"/>
                  </w14:solidFill>
                </w14:textFill>
              </w:rPr>
              <w:fldChar w:fldCharType="separate"/>
            </w:r>
            <w:r>
              <w:rPr>
                <w:rFonts w:hint="eastAsia" w:ascii="Times New Roman" w:cs="宋体"/>
                <w:b/>
                <w:bCs/>
                <w:snapToGrid w:val="0"/>
                <w:color w:val="000000" w:themeColor="text1"/>
                <w:spacing w:val="-6"/>
                <w:kern w:val="21"/>
                <w:szCs w:val="21"/>
                <w:highlight w:val="none"/>
                <w14:textFill>
                  <w14:solidFill>
                    <w14:schemeClr w14:val="tx1"/>
                  </w14:solidFill>
                </w14:textFill>
              </w:rPr>
              <w:t>②</w:t>
            </w:r>
            <w:r>
              <w:rPr>
                <w:rFonts w:ascii="Times New Roman"/>
                <w:b/>
                <w:bCs/>
                <w:snapToGrid w:val="0"/>
                <w:color w:val="000000" w:themeColor="text1"/>
                <w:spacing w:val="-6"/>
                <w:kern w:val="21"/>
                <w:szCs w:val="21"/>
                <w:highlight w:val="none"/>
                <w14:textFill>
                  <w14:solidFill>
                    <w14:schemeClr w14:val="tx1"/>
                  </w14:solidFill>
                </w14:textFill>
              </w:rPr>
              <w:fldChar w:fldCharType="end"/>
            </w:r>
          </w:p>
        </w:tc>
        <w:tc>
          <w:tcPr>
            <w:tcW w:w="577" w:type="pct"/>
            <w:tcMar>
              <w:left w:w="28" w:type="dxa"/>
              <w:right w:w="28" w:type="dxa"/>
            </w:tcMar>
            <w:vAlign w:val="center"/>
          </w:tcPr>
          <w:p w14:paraId="2A725443">
            <w:pPr>
              <w:pStyle w:val="38"/>
              <w:adjustRightInd/>
              <w:snapToGrid/>
              <w:spacing w:beforeLines="0" w:afterLines="0" w:line="288" w:lineRule="auto"/>
              <w:ind w:firstLine="0" w:firstLineChars="0"/>
              <w:rPr>
                <w:rFonts w:ascii="Times New Roman"/>
                <w:b/>
                <w:bCs/>
                <w:snapToGrid w:val="0"/>
                <w:color w:val="000000" w:themeColor="text1"/>
                <w:spacing w:val="-6"/>
                <w:kern w:val="21"/>
                <w:szCs w:val="21"/>
                <w:highlight w:val="none"/>
                <w14:textFill>
                  <w14:solidFill>
                    <w14:schemeClr w14:val="tx1"/>
                  </w14:solidFill>
                </w14:textFill>
              </w:rPr>
            </w:pPr>
            <w:r>
              <w:rPr>
                <w:rFonts w:ascii="Times New Roman"/>
                <w:b/>
                <w:bCs/>
                <w:snapToGrid w:val="0"/>
                <w:color w:val="000000" w:themeColor="text1"/>
                <w:spacing w:val="-6"/>
                <w:kern w:val="21"/>
                <w:szCs w:val="21"/>
                <w:highlight w:val="none"/>
                <w14:textFill>
                  <w14:solidFill>
                    <w14:schemeClr w14:val="tx1"/>
                  </w14:solidFill>
                </w14:textFill>
              </w:rPr>
              <w:t>在建工程</w:t>
            </w:r>
          </w:p>
          <w:p w14:paraId="7F174509">
            <w:pPr>
              <w:pStyle w:val="38"/>
              <w:adjustRightInd/>
              <w:snapToGrid/>
              <w:spacing w:beforeLines="0" w:afterLines="0" w:line="288" w:lineRule="auto"/>
              <w:ind w:firstLine="0" w:firstLineChars="0"/>
              <w:rPr>
                <w:rFonts w:ascii="Times New Roman"/>
                <w:b/>
                <w:bCs/>
                <w:snapToGrid w:val="0"/>
                <w:color w:val="000000" w:themeColor="text1"/>
                <w:spacing w:val="-6"/>
                <w:kern w:val="21"/>
                <w:szCs w:val="21"/>
                <w:highlight w:val="none"/>
                <w14:textFill>
                  <w14:solidFill>
                    <w14:schemeClr w14:val="tx1"/>
                  </w14:solidFill>
                </w14:textFill>
              </w:rPr>
            </w:pPr>
            <w:r>
              <w:rPr>
                <w:rFonts w:ascii="Times New Roman"/>
                <w:b/>
                <w:bCs/>
                <w:snapToGrid w:val="0"/>
                <w:color w:val="000000" w:themeColor="text1"/>
                <w:spacing w:val="-6"/>
                <w:kern w:val="21"/>
                <w:szCs w:val="21"/>
                <w:highlight w:val="none"/>
                <w14:textFill>
                  <w14:solidFill>
                    <w14:schemeClr w14:val="tx1"/>
                  </w14:solidFill>
                </w14:textFill>
              </w:rPr>
              <w:t>排放量（固</w:t>
            </w:r>
            <w:r>
              <w:rPr>
                <w:rFonts w:hint="eastAsia" w:ascii="Times New Roman"/>
                <w:b/>
                <w:bCs/>
                <w:snapToGrid w:val="0"/>
                <w:color w:val="000000" w:themeColor="text1"/>
                <w:spacing w:val="-6"/>
                <w:kern w:val="21"/>
                <w:szCs w:val="21"/>
                <w:highlight w:val="none"/>
                <w14:textFill>
                  <w14:solidFill>
                    <w14:schemeClr w14:val="tx1"/>
                  </w14:solidFill>
                </w14:textFill>
              </w:rPr>
              <w:t>体</w:t>
            </w:r>
            <w:r>
              <w:rPr>
                <w:rFonts w:ascii="Times New Roman"/>
                <w:b/>
                <w:bCs/>
                <w:snapToGrid w:val="0"/>
                <w:color w:val="000000" w:themeColor="text1"/>
                <w:spacing w:val="-6"/>
                <w:kern w:val="21"/>
                <w:szCs w:val="21"/>
                <w:highlight w:val="none"/>
                <w14:textFill>
                  <w14:solidFill>
                    <w14:schemeClr w14:val="tx1"/>
                  </w14:solidFill>
                </w14:textFill>
              </w:rPr>
              <w:t>废</w:t>
            </w:r>
            <w:r>
              <w:rPr>
                <w:rFonts w:hint="eastAsia" w:ascii="Times New Roman"/>
                <w:b/>
                <w:bCs/>
                <w:snapToGrid w:val="0"/>
                <w:color w:val="000000" w:themeColor="text1"/>
                <w:spacing w:val="-6"/>
                <w:kern w:val="21"/>
                <w:szCs w:val="21"/>
                <w:highlight w:val="none"/>
                <w14:textFill>
                  <w14:solidFill>
                    <w14:schemeClr w14:val="tx1"/>
                  </w14:solidFill>
                </w14:textFill>
              </w:rPr>
              <w:t>物</w:t>
            </w:r>
            <w:r>
              <w:rPr>
                <w:rFonts w:ascii="Times New Roman"/>
                <w:b/>
                <w:bCs/>
                <w:snapToGrid w:val="0"/>
                <w:color w:val="000000" w:themeColor="text1"/>
                <w:spacing w:val="-6"/>
                <w:kern w:val="21"/>
                <w:szCs w:val="21"/>
                <w:highlight w:val="none"/>
                <w14:textFill>
                  <w14:solidFill>
                    <w14:schemeClr w14:val="tx1"/>
                  </w14:solidFill>
                </w14:textFill>
              </w:rPr>
              <w:t>产生量）</w:t>
            </w:r>
            <w:r>
              <w:rPr>
                <w:rFonts w:ascii="Times New Roman"/>
                <w:b/>
                <w:bCs/>
                <w:snapToGrid w:val="0"/>
                <w:color w:val="000000" w:themeColor="text1"/>
                <w:spacing w:val="-6"/>
                <w:kern w:val="21"/>
                <w:szCs w:val="21"/>
                <w:highlight w:val="none"/>
                <w14:textFill>
                  <w14:solidFill>
                    <w14:schemeClr w14:val="tx1"/>
                  </w14:solidFill>
                </w14:textFill>
              </w:rPr>
              <w:fldChar w:fldCharType="begin"/>
            </w:r>
            <w:r>
              <w:rPr>
                <w:rFonts w:ascii="Times New Roman"/>
                <w:b/>
                <w:bCs/>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b/>
                <w:bCs/>
                <w:snapToGrid w:val="0"/>
                <w:color w:val="000000" w:themeColor="text1"/>
                <w:spacing w:val="-6"/>
                <w:kern w:val="21"/>
                <w:szCs w:val="21"/>
                <w:highlight w:val="none"/>
                <w14:textFill>
                  <w14:solidFill>
                    <w14:schemeClr w14:val="tx1"/>
                  </w14:solidFill>
                </w14:textFill>
              </w:rPr>
              <w:fldChar w:fldCharType="separate"/>
            </w:r>
            <w:r>
              <w:rPr>
                <w:rFonts w:hint="eastAsia" w:ascii="Times New Roman" w:cs="宋体"/>
                <w:b/>
                <w:bCs/>
                <w:color w:val="000000" w:themeColor="text1"/>
                <w:kern w:val="2"/>
                <w:szCs w:val="21"/>
                <w:highlight w:val="none"/>
                <w14:textFill>
                  <w14:solidFill>
                    <w14:schemeClr w14:val="tx1"/>
                  </w14:solidFill>
                </w14:textFill>
              </w:rPr>
              <w:t>③</w:t>
            </w:r>
            <w:r>
              <w:rPr>
                <w:rFonts w:ascii="Times New Roman"/>
                <w:b/>
                <w:bCs/>
                <w:snapToGrid w:val="0"/>
                <w:color w:val="000000" w:themeColor="text1"/>
                <w:spacing w:val="-6"/>
                <w:kern w:val="21"/>
                <w:szCs w:val="21"/>
                <w:highlight w:val="none"/>
                <w14:textFill>
                  <w14:solidFill>
                    <w14:schemeClr w14:val="tx1"/>
                  </w14:solidFill>
                </w14:textFill>
              </w:rPr>
              <w:fldChar w:fldCharType="end"/>
            </w:r>
          </w:p>
        </w:tc>
        <w:tc>
          <w:tcPr>
            <w:tcW w:w="540" w:type="pct"/>
            <w:tcMar>
              <w:left w:w="28" w:type="dxa"/>
              <w:right w:w="28" w:type="dxa"/>
            </w:tcMar>
            <w:vAlign w:val="center"/>
          </w:tcPr>
          <w:p w14:paraId="3AC0668A">
            <w:pPr>
              <w:pStyle w:val="38"/>
              <w:adjustRightInd/>
              <w:snapToGrid/>
              <w:spacing w:beforeLines="0" w:afterLines="0" w:line="288" w:lineRule="auto"/>
              <w:ind w:firstLine="0" w:firstLineChars="0"/>
              <w:rPr>
                <w:rFonts w:ascii="Times New Roman"/>
                <w:b/>
                <w:bCs/>
                <w:snapToGrid w:val="0"/>
                <w:color w:val="000000" w:themeColor="text1"/>
                <w:spacing w:val="-6"/>
                <w:kern w:val="21"/>
                <w:szCs w:val="21"/>
                <w:highlight w:val="none"/>
                <w14:textFill>
                  <w14:solidFill>
                    <w14:schemeClr w14:val="tx1"/>
                  </w14:solidFill>
                </w14:textFill>
              </w:rPr>
            </w:pPr>
            <w:r>
              <w:rPr>
                <w:rFonts w:ascii="Times New Roman"/>
                <w:b/>
                <w:bCs/>
                <w:snapToGrid w:val="0"/>
                <w:color w:val="000000" w:themeColor="text1"/>
                <w:spacing w:val="-6"/>
                <w:kern w:val="21"/>
                <w:szCs w:val="21"/>
                <w:highlight w:val="none"/>
                <w14:textFill>
                  <w14:solidFill>
                    <w14:schemeClr w14:val="tx1"/>
                  </w14:solidFill>
                </w14:textFill>
              </w:rPr>
              <w:t>本项目</w:t>
            </w:r>
          </w:p>
          <w:p w14:paraId="022A8C89">
            <w:pPr>
              <w:pStyle w:val="38"/>
              <w:adjustRightInd/>
              <w:snapToGrid/>
              <w:spacing w:beforeLines="0" w:afterLines="0" w:line="288" w:lineRule="auto"/>
              <w:ind w:firstLine="0" w:firstLineChars="0"/>
              <w:rPr>
                <w:rFonts w:ascii="Times New Roman"/>
                <w:b/>
                <w:bCs/>
                <w:snapToGrid w:val="0"/>
                <w:color w:val="000000" w:themeColor="text1"/>
                <w:spacing w:val="-6"/>
                <w:kern w:val="21"/>
                <w:szCs w:val="21"/>
                <w:highlight w:val="none"/>
                <w14:textFill>
                  <w14:solidFill>
                    <w14:schemeClr w14:val="tx1"/>
                  </w14:solidFill>
                </w14:textFill>
              </w:rPr>
            </w:pPr>
            <w:r>
              <w:rPr>
                <w:rFonts w:ascii="Times New Roman"/>
                <w:b/>
                <w:bCs/>
                <w:snapToGrid w:val="0"/>
                <w:color w:val="000000" w:themeColor="text1"/>
                <w:spacing w:val="-6"/>
                <w:kern w:val="21"/>
                <w:szCs w:val="21"/>
                <w:highlight w:val="none"/>
                <w14:textFill>
                  <w14:solidFill>
                    <w14:schemeClr w14:val="tx1"/>
                  </w14:solidFill>
                </w14:textFill>
              </w:rPr>
              <w:t>排放量（固</w:t>
            </w:r>
            <w:r>
              <w:rPr>
                <w:rFonts w:hint="eastAsia" w:ascii="Times New Roman"/>
                <w:b/>
                <w:bCs/>
                <w:snapToGrid w:val="0"/>
                <w:color w:val="000000" w:themeColor="text1"/>
                <w:spacing w:val="-6"/>
                <w:kern w:val="21"/>
                <w:szCs w:val="21"/>
                <w:highlight w:val="none"/>
                <w14:textFill>
                  <w14:solidFill>
                    <w14:schemeClr w14:val="tx1"/>
                  </w14:solidFill>
                </w14:textFill>
              </w:rPr>
              <w:t>体</w:t>
            </w:r>
            <w:r>
              <w:rPr>
                <w:rFonts w:ascii="Times New Roman"/>
                <w:b/>
                <w:bCs/>
                <w:snapToGrid w:val="0"/>
                <w:color w:val="000000" w:themeColor="text1"/>
                <w:spacing w:val="-6"/>
                <w:kern w:val="21"/>
                <w:szCs w:val="21"/>
                <w:highlight w:val="none"/>
                <w14:textFill>
                  <w14:solidFill>
                    <w14:schemeClr w14:val="tx1"/>
                  </w14:solidFill>
                </w14:textFill>
              </w:rPr>
              <w:t>废</w:t>
            </w:r>
            <w:r>
              <w:rPr>
                <w:rFonts w:hint="eastAsia" w:ascii="Times New Roman"/>
                <w:b/>
                <w:bCs/>
                <w:snapToGrid w:val="0"/>
                <w:color w:val="000000" w:themeColor="text1"/>
                <w:spacing w:val="-6"/>
                <w:kern w:val="21"/>
                <w:szCs w:val="21"/>
                <w:highlight w:val="none"/>
                <w14:textFill>
                  <w14:solidFill>
                    <w14:schemeClr w14:val="tx1"/>
                  </w14:solidFill>
                </w14:textFill>
              </w:rPr>
              <w:t>物</w:t>
            </w:r>
            <w:r>
              <w:rPr>
                <w:rFonts w:ascii="Times New Roman"/>
                <w:b/>
                <w:bCs/>
                <w:snapToGrid w:val="0"/>
                <w:color w:val="000000" w:themeColor="text1"/>
                <w:spacing w:val="-6"/>
                <w:kern w:val="21"/>
                <w:szCs w:val="21"/>
                <w:highlight w:val="none"/>
                <w14:textFill>
                  <w14:solidFill>
                    <w14:schemeClr w14:val="tx1"/>
                  </w14:solidFill>
                </w14:textFill>
              </w:rPr>
              <w:t>产生量）</w:t>
            </w:r>
            <w:r>
              <w:rPr>
                <w:rFonts w:ascii="Times New Roman"/>
                <w:b/>
                <w:bCs/>
                <w:snapToGrid w:val="0"/>
                <w:color w:val="000000" w:themeColor="text1"/>
                <w:spacing w:val="-6"/>
                <w:kern w:val="21"/>
                <w:szCs w:val="21"/>
                <w:highlight w:val="none"/>
                <w14:textFill>
                  <w14:solidFill>
                    <w14:schemeClr w14:val="tx1"/>
                  </w14:solidFill>
                </w14:textFill>
              </w:rPr>
              <w:fldChar w:fldCharType="begin"/>
            </w:r>
            <w:r>
              <w:rPr>
                <w:rFonts w:ascii="Times New Roman"/>
                <w:b/>
                <w:bCs/>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b/>
                <w:bCs/>
                <w:snapToGrid w:val="0"/>
                <w:color w:val="000000" w:themeColor="text1"/>
                <w:spacing w:val="-6"/>
                <w:kern w:val="21"/>
                <w:szCs w:val="21"/>
                <w:highlight w:val="none"/>
                <w14:textFill>
                  <w14:solidFill>
                    <w14:schemeClr w14:val="tx1"/>
                  </w14:solidFill>
                </w14:textFill>
              </w:rPr>
              <w:fldChar w:fldCharType="separate"/>
            </w:r>
            <w:r>
              <w:rPr>
                <w:rFonts w:hint="eastAsia" w:ascii="Times New Roman" w:cs="宋体"/>
                <w:b/>
                <w:bCs/>
                <w:color w:val="000000" w:themeColor="text1"/>
                <w:kern w:val="2"/>
                <w:szCs w:val="21"/>
                <w:highlight w:val="none"/>
                <w14:textFill>
                  <w14:solidFill>
                    <w14:schemeClr w14:val="tx1"/>
                  </w14:solidFill>
                </w14:textFill>
              </w:rPr>
              <w:t>④</w:t>
            </w:r>
            <w:r>
              <w:rPr>
                <w:rFonts w:ascii="Times New Roman"/>
                <w:b/>
                <w:bCs/>
                <w:snapToGrid w:val="0"/>
                <w:color w:val="000000" w:themeColor="text1"/>
                <w:spacing w:val="-6"/>
                <w:kern w:val="21"/>
                <w:szCs w:val="21"/>
                <w:highlight w:val="none"/>
                <w14:textFill>
                  <w14:solidFill>
                    <w14:schemeClr w14:val="tx1"/>
                  </w14:solidFill>
                </w14:textFill>
              </w:rPr>
              <w:fldChar w:fldCharType="end"/>
            </w:r>
          </w:p>
        </w:tc>
        <w:tc>
          <w:tcPr>
            <w:tcW w:w="606" w:type="pct"/>
            <w:tcMar>
              <w:left w:w="28" w:type="dxa"/>
              <w:right w:w="28" w:type="dxa"/>
            </w:tcMar>
            <w:vAlign w:val="center"/>
          </w:tcPr>
          <w:p w14:paraId="355E136D">
            <w:pPr>
              <w:pStyle w:val="38"/>
              <w:adjustRightInd/>
              <w:snapToGrid/>
              <w:spacing w:beforeLines="0" w:afterLines="0" w:line="288" w:lineRule="auto"/>
              <w:ind w:firstLine="0" w:firstLineChars="0"/>
              <w:rPr>
                <w:rFonts w:ascii="Times New Roman"/>
                <w:b/>
                <w:bCs/>
                <w:snapToGrid w:val="0"/>
                <w:color w:val="000000" w:themeColor="text1"/>
                <w:spacing w:val="-16"/>
                <w:kern w:val="21"/>
                <w:szCs w:val="21"/>
                <w:highlight w:val="none"/>
                <w14:textFill>
                  <w14:solidFill>
                    <w14:schemeClr w14:val="tx1"/>
                  </w14:solidFill>
                </w14:textFill>
              </w:rPr>
            </w:pPr>
            <w:r>
              <w:rPr>
                <w:rFonts w:ascii="Times New Roman"/>
                <w:b/>
                <w:bCs/>
                <w:snapToGrid w:val="0"/>
                <w:color w:val="000000" w:themeColor="text1"/>
                <w:spacing w:val="-16"/>
                <w:kern w:val="21"/>
                <w:szCs w:val="21"/>
                <w:highlight w:val="none"/>
                <w14:textFill>
                  <w14:solidFill>
                    <w14:schemeClr w14:val="tx1"/>
                  </w14:solidFill>
                </w14:textFill>
              </w:rPr>
              <w:t>以新带老削减量</w:t>
            </w:r>
          </w:p>
          <w:p w14:paraId="751C0427">
            <w:pPr>
              <w:pStyle w:val="38"/>
              <w:adjustRightInd/>
              <w:snapToGrid/>
              <w:spacing w:beforeLines="0" w:afterLines="0" w:line="288" w:lineRule="auto"/>
              <w:ind w:firstLine="0" w:firstLineChars="0"/>
              <w:rPr>
                <w:rFonts w:ascii="Times New Roman"/>
                <w:b/>
                <w:bCs/>
                <w:snapToGrid w:val="0"/>
                <w:color w:val="000000" w:themeColor="text1"/>
                <w:spacing w:val="-16"/>
                <w:kern w:val="21"/>
                <w:szCs w:val="21"/>
                <w:highlight w:val="none"/>
                <w14:textFill>
                  <w14:solidFill>
                    <w14:schemeClr w14:val="tx1"/>
                  </w14:solidFill>
                </w14:textFill>
              </w:rPr>
            </w:pPr>
            <w:r>
              <w:rPr>
                <w:rFonts w:ascii="Times New Roman"/>
                <w:b/>
                <w:bCs/>
                <w:snapToGrid w:val="0"/>
                <w:color w:val="000000" w:themeColor="text1"/>
                <w:spacing w:val="-16"/>
                <w:kern w:val="21"/>
                <w:szCs w:val="21"/>
                <w:highlight w:val="none"/>
                <w14:textFill>
                  <w14:solidFill>
                    <w14:schemeClr w14:val="tx1"/>
                  </w14:solidFill>
                </w14:textFill>
              </w:rPr>
              <w:t>（新建项目不填）</w:t>
            </w:r>
            <w:r>
              <w:rPr>
                <w:rFonts w:ascii="Times New Roman"/>
                <w:b/>
                <w:bCs/>
                <w:snapToGrid w:val="0"/>
                <w:color w:val="000000" w:themeColor="text1"/>
                <w:spacing w:val="-16"/>
                <w:kern w:val="21"/>
                <w:szCs w:val="21"/>
                <w:highlight w:val="none"/>
                <w14:textFill>
                  <w14:solidFill>
                    <w14:schemeClr w14:val="tx1"/>
                  </w14:solidFill>
                </w14:textFill>
              </w:rPr>
              <w:fldChar w:fldCharType="begin"/>
            </w:r>
            <w:r>
              <w:rPr>
                <w:rFonts w:ascii="Times New Roman"/>
                <w:b/>
                <w:bCs/>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b/>
                <w:bCs/>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cs="宋体"/>
                <w:b/>
                <w:bCs/>
                <w:color w:val="000000" w:themeColor="text1"/>
                <w:kern w:val="2"/>
                <w:szCs w:val="21"/>
                <w:highlight w:val="none"/>
                <w14:textFill>
                  <w14:solidFill>
                    <w14:schemeClr w14:val="tx1"/>
                  </w14:solidFill>
                </w14:textFill>
              </w:rPr>
              <w:t>⑤</w:t>
            </w:r>
            <w:r>
              <w:rPr>
                <w:rFonts w:ascii="Times New Roman"/>
                <w:b/>
                <w:bCs/>
                <w:snapToGrid w:val="0"/>
                <w:color w:val="000000" w:themeColor="text1"/>
                <w:spacing w:val="-16"/>
                <w:kern w:val="21"/>
                <w:szCs w:val="21"/>
                <w:highlight w:val="none"/>
                <w14:textFill>
                  <w14:solidFill>
                    <w14:schemeClr w14:val="tx1"/>
                  </w14:solidFill>
                </w14:textFill>
              </w:rPr>
              <w:fldChar w:fldCharType="end"/>
            </w:r>
          </w:p>
        </w:tc>
        <w:tc>
          <w:tcPr>
            <w:tcW w:w="599" w:type="pct"/>
            <w:tcMar>
              <w:left w:w="28" w:type="dxa"/>
              <w:right w:w="28" w:type="dxa"/>
            </w:tcMar>
            <w:vAlign w:val="center"/>
          </w:tcPr>
          <w:p w14:paraId="4ED84EEB">
            <w:pPr>
              <w:pStyle w:val="38"/>
              <w:adjustRightInd/>
              <w:snapToGrid/>
              <w:spacing w:beforeLines="0" w:afterLines="0" w:line="288" w:lineRule="auto"/>
              <w:ind w:firstLine="0" w:firstLineChars="0"/>
              <w:rPr>
                <w:rFonts w:ascii="Times New Roman"/>
                <w:b/>
                <w:bCs/>
                <w:snapToGrid w:val="0"/>
                <w:color w:val="000000" w:themeColor="text1"/>
                <w:spacing w:val="-16"/>
                <w:kern w:val="21"/>
                <w:szCs w:val="21"/>
                <w:highlight w:val="none"/>
                <w14:textFill>
                  <w14:solidFill>
                    <w14:schemeClr w14:val="tx1"/>
                  </w14:solidFill>
                </w14:textFill>
              </w:rPr>
            </w:pPr>
            <w:r>
              <w:rPr>
                <w:rFonts w:ascii="Times New Roman"/>
                <w:b/>
                <w:bCs/>
                <w:snapToGrid w:val="0"/>
                <w:color w:val="000000" w:themeColor="text1"/>
                <w:spacing w:val="-16"/>
                <w:kern w:val="21"/>
                <w:szCs w:val="21"/>
                <w:highlight w:val="none"/>
                <w14:textFill>
                  <w14:solidFill>
                    <w14:schemeClr w14:val="tx1"/>
                  </w14:solidFill>
                </w14:textFill>
              </w:rPr>
              <w:t>本项目建成后</w:t>
            </w:r>
          </w:p>
          <w:p w14:paraId="5B5865DC">
            <w:pPr>
              <w:pStyle w:val="38"/>
              <w:adjustRightInd/>
              <w:snapToGrid/>
              <w:spacing w:beforeLines="0" w:afterLines="0" w:line="288" w:lineRule="auto"/>
              <w:ind w:firstLine="0" w:firstLineChars="0"/>
              <w:rPr>
                <w:rFonts w:ascii="Times New Roman"/>
                <w:b/>
                <w:bCs/>
                <w:snapToGrid w:val="0"/>
                <w:color w:val="000000" w:themeColor="text1"/>
                <w:spacing w:val="-16"/>
                <w:kern w:val="21"/>
                <w:szCs w:val="21"/>
                <w:highlight w:val="none"/>
                <w14:textFill>
                  <w14:solidFill>
                    <w14:schemeClr w14:val="tx1"/>
                  </w14:solidFill>
                </w14:textFill>
              </w:rPr>
            </w:pPr>
            <w:r>
              <w:rPr>
                <w:rFonts w:hint="eastAsia" w:ascii="Times New Roman"/>
                <w:b/>
                <w:bCs/>
                <w:snapToGrid w:val="0"/>
                <w:color w:val="000000" w:themeColor="text1"/>
                <w:spacing w:val="-16"/>
                <w:kern w:val="21"/>
                <w:szCs w:val="21"/>
                <w:highlight w:val="none"/>
                <w14:textFill>
                  <w14:solidFill>
                    <w14:schemeClr w14:val="tx1"/>
                  </w14:solidFill>
                </w14:textFill>
              </w:rPr>
              <w:t>全厂</w:t>
            </w:r>
            <w:r>
              <w:rPr>
                <w:rFonts w:ascii="Times New Roman"/>
                <w:b/>
                <w:bCs/>
                <w:snapToGrid w:val="0"/>
                <w:color w:val="000000" w:themeColor="text1"/>
                <w:spacing w:val="-16"/>
                <w:kern w:val="21"/>
                <w:szCs w:val="21"/>
                <w:highlight w:val="none"/>
                <w14:textFill>
                  <w14:solidFill>
                    <w14:schemeClr w14:val="tx1"/>
                  </w14:solidFill>
                </w14:textFill>
              </w:rPr>
              <w:t>排放量（固</w:t>
            </w:r>
            <w:r>
              <w:rPr>
                <w:rFonts w:hint="eastAsia" w:ascii="Times New Roman"/>
                <w:b/>
                <w:bCs/>
                <w:snapToGrid w:val="0"/>
                <w:color w:val="000000" w:themeColor="text1"/>
                <w:spacing w:val="-16"/>
                <w:kern w:val="21"/>
                <w:szCs w:val="21"/>
                <w:highlight w:val="none"/>
                <w14:textFill>
                  <w14:solidFill>
                    <w14:schemeClr w14:val="tx1"/>
                  </w14:solidFill>
                </w14:textFill>
              </w:rPr>
              <w:t>体</w:t>
            </w:r>
            <w:r>
              <w:rPr>
                <w:rFonts w:ascii="Times New Roman"/>
                <w:b/>
                <w:bCs/>
                <w:snapToGrid w:val="0"/>
                <w:color w:val="000000" w:themeColor="text1"/>
                <w:spacing w:val="-16"/>
                <w:kern w:val="21"/>
                <w:szCs w:val="21"/>
                <w:highlight w:val="none"/>
                <w14:textFill>
                  <w14:solidFill>
                    <w14:schemeClr w14:val="tx1"/>
                  </w14:solidFill>
                </w14:textFill>
              </w:rPr>
              <w:t>废</w:t>
            </w:r>
            <w:r>
              <w:rPr>
                <w:rFonts w:hint="eastAsia" w:ascii="Times New Roman"/>
                <w:b/>
                <w:bCs/>
                <w:snapToGrid w:val="0"/>
                <w:color w:val="000000" w:themeColor="text1"/>
                <w:spacing w:val="-16"/>
                <w:kern w:val="21"/>
                <w:szCs w:val="21"/>
                <w:highlight w:val="none"/>
                <w14:textFill>
                  <w14:solidFill>
                    <w14:schemeClr w14:val="tx1"/>
                  </w14:solidFill>
                </w14:textFill>
              </w:rPr>
              <w:t>物</w:t>
            </w:r>
            <w:r>
              <w:rPr>
                <w:rFonts w:ascii="Times New Roman"/>
                <w:b/>
                <w:bCs/>
                <w:snapToGrid w:val="0"/>
                <w:color w:val="000000" w:themeColor="text1"/>
                <w:spacing w:val="-16"/>
                <w:kern w:val="21"/>
                <w:szCs w:val="21"/>
                <w:highlight w:val="none"/>
                <w14:textFill>
                  <w14:solidFill>
                    <w14:schemeClr w14:val="tx1"/>
                  </w14:solidFill>
                </w14:textFill>
              </w:rPr>
              <w:t>产生量）</w:t>
            </w:r>
            <w:r>
              <w:rPr>
                <w:rFonts w:ascii="Times New Roman"/>
                <w:b/>
                <w:bCs/>
                <w:snapToGrid w:val="0"/>
                <w:color w:val="000000" w:themeColor="text1"/>
                <w:spacing w:val="-16"/>
                <w:kern w:val="21"/>
                <w:szCs w:val="21"/>
                <w:highlight w:val="none"/>
                <w14:textFill>
                  <w14:solidFill>
                    <w14:schemeClr w14:val="tx1"/>
                  </w14:solidFill>
                </w14:textFill>
              </w:rPr>
              <w:fldChar w:fldCharType="begin"/>
            </w:r>
            <w:r>
              <w:rPr>
                <w:rFonts w:ascii="Times New Roman"/>
                <w:b/>
                <w:bCs/>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b/>
                <w:bCs/>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cs="宋体"/>
                <w:b/>
                <w:bCs/>
                <w:color w:val="000000" w:themeColor="text1"/>
                <w:kern w:val="2"/>
                <w:szCs w:val="21"/>
                <w:highlight w:val="none"/>
                <w14:textFill>
                  <w14:solidFill>
                    <w14:schemeClr w14:val="tx1"/>
                  </w14:solidFill>
                </w14:textFill>
              </w:rPr>
              <w:t>⑥</w:t>
            </w:r>
            <w:r>
              <w:rPr>
                <w:rFonts w:ascii="Times New Roman"/>
                <w:b/>
                <w:bCs/>
                <w:snapToGrid w:val="0"/>
                <w:color w:val="000000" w:themeColor="text1"/>
                <w:spacing w:val="-16"/>
                <w:kern w:val="21"/>
                <w:szCs w:val="21"/>
                <w:highlight w:val="none"/>
                <w14:textFill>
                  <w14:solidFill>
                    <w14:schemeClr w14:val="tx1"/>
                  </w14:solidFill>
                </w14:textFill>
              </w:rPr>
              <w:fldChar w:fldCharType="end"/>
            </w:r>
          </w:p>
        </w:tc>
        <w:tc>
          <w:tcPr>
            <w:tcW w:w="576" w:type="pct"/>
            <w:tcMar>
              <w:left w:w="28" w:type="dxa"/>
              <w:right w:w="28" w:type="dxa"/>
            </w:tcMar>
            <w:vAlign w:val="center"/>
          </w:tcPr>
          <w:p w14:paraId="6948969D">
            <w:pPr>
              <w:pStyle w:val="38"/>
              <w:adjustRightInd/>
              <w:snapToGrid/>
              <w:spacing w:beforeLines="0" w:afterLines="0" w:line="252" w:lineRule="auto"/>
              <w:ind w:firstLine="0" w:firstLineChars="0"/>
              <w:rPr>
                <w:rFonts w:ascii="Times New Roman"/>
                <w:b/>
                <w:bCs/>
                <w:snapToGrid w:val="0"/>
                <w:color w:val="000000" w:themeColor="text1"/>
                <w:spacing w:val="-6"/>
                <w:kern w:val="21"/>
                <w:szCs w:val="21"/>
                <w:highlight w:val="none"/>
                <w14:textFill>
                  <w14:solidFill>
                    <w14:schemeClr w14:val="tx1"/>
                  </w14:solidFill>
                </w14:textFill>
              </w:rPr>
            </w:pPr>
            <w:r>
              <w:rPr>
                <w:rFonts w:ascii="Times New Roman"/>
                <w:b/>
                <w:bCs/>
                <w:snapToGrid w:val="0"/>
                <w:color w:val="000000" w:themeColor="text1"/>
                <w:spacing w:val="-6"/>
                <w:kern w:val="21"/>
                <w:szCs w:val="21"/>
                <w:highlight w:val="none"/>
                <w14:textFill>
                  <w14:solidFill>
                    <w14:schemeClr w14:val="tx1"/>
                  </w14:solidFill>
                </w14:textFill>
              </w:rPr>
              <w:t>变化量</w:t>
            </w:r>
          </w:p>
          <w:p w14:paraId="20C7023E">
            <w:pPr>
              <w:pStyle w:val="38"/>
              <w:adjustRightInd/>
              <w:snapToGrid/>
              <w:spacing w:beforeLines="0" w:afterLines="0" w:line="252" w:lineRule="auto"/>
              <w:ind w:firstLine="0" w:firstLineChars="0"/>
              <w:rPr>
                <w:rFonts w:ascii="Times New Roman"/>
                <w:b/>
                <w:bCs/>
                <w:snapToGrid w:val="0"/>
                <w:color w:val="000000" w:themeColor="text1"/>
                <w:spacing w:val="-6"/>
                <w:kern w:val="21"/>
                <w:szCs w:val="21"/>
                <w:highlight w:val="none"/>
                <w14:textFill>
                  <w14:solidFill>
                    <w14:schemeClr w14:val="tx1"/>
                  </w14:solidFill>
                </w14:textFill>
              </w:rPr>
            </w:pPr>
            <w:r>
              <w:rPr>
                <w:rFonts w:ascii="Times New Roman"/>
                <w:b/>
                <w:bCs/>
                <w:snapToGrid w:val="0"/>
                <w:color w:val="000000" w:themeColor="text1"/>
                <w:spacing w:val="-6"/>
                <w:kern w:val="21"/>
                <w:szCs w:val="21"/>
                <w:highlight w:val="none"/>
                <w14:textFill>
                  <w14:solidFill>
                    <w14:schemeClr w14:val="tx1"/>
                  </w14:solidFill>
                </w14:textFill>
              </w:rPr>
              <w:fldChar w:fldCharType="begin"/>
            </w:r>
            <w:r>
              <w:rPr>
                <w:rFonts w:ascii="Times New Roman"/>
                <w:b/>
                <w:bCs/>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b/>
                <w:bCs/>
                <w:snapToGrid w:val="0"/>
                <w:color w:val="000000" w:themeColor="text1"/>
                <w:spacing w:val="-6"/>
                <w:kern w:val="21"/>
                <w:szCs w:val="21"/>
                <w:highlight w:val="none"/>
                <w14:textFill>
                  <w14:solidFill>
                    <w14:schemeClr w14:val="tx1"/>
                  </w14:solidFill>
                </w14:textFill>
              </w:rPr>
              <w:fldChar w:fldCharType="separate"/>
            </w:r>
            <w:r>
              <w:rPr>
                <w:rFonts w:hint="eastAsia" w:ascii="Times New Roman" w:cs="宋体"/>
                <w:b/>
                <w:bCs/>
                <w:color w:val="000000" w:themeColor="text1"/>
                <w:kern w:val="2"/>
                <w:szCs w:val="21"/>
                <w:highlight w:val="none"/>
                <w14:textFill>
                  <w14:solidFill>
                    <w14:schemeClr w14:val="tx1"/>
                  </w14:solidFill>
                </w14:textFill>
              </w:rPr>
              <w:t>⑦</w:t>
            </w:r>
            <w:r>
              <w:rPr>
                <w:rFonts w:ascii="Times New Roman"/>
                <w:b/>
                <w:bCs/>
                <w:snapToGrid w:val="0"/>
                <w:color w:val="000000" w:themeColor="text1"/>
                <w:spacing w:val="-6"/>
                <w:kern w:val="21"/>
                <w:szCs w:val="21"/>
                <w:highlight w:val="none"/>
                <w14:textFill>
                  <w14:solidFill>
                    <w14:schemeClr w14:val="tx1"/>
                  </w14:solidFill>
                </w14:textFill>
              </w:rPr>
              <w:fldChar w:fldCharType="end"/>
            </w:r>
          </w:p>
        </w:tc>
      </w:tr>
      <w:tr w14:paraId="11E61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restart"/>
            <w:vAlign w:val="center"/>
          </w:tcPr>
          <w:p w14:paraId="5F782724">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废气</w:t>
            </w:r>
          </w:p>
        </w:tc>
        <w:tc>
          <w:tcPr>
            <w:tcW w:w="637" w:type="pct"/>
            <w:vAlign w:val="center"/>
          </w:tcPr>
          <w:p w14:paraId="1F8275AF">
            <w:pPr>
              <w:pStyle w:val="38"/>
              <w:adjustRightInd/>
              <w:snapToGrid/>
              <w:spacing w:beforeLines="0" w:afterLines="0" w:line="360" w:lineRule="auto"/>
              <w:ind w:firstLine="0" w:firstLineChars="0"/>
              <w:rPr>
                <w:rFonts w:ascii="Times New Roman" w:cs="宋体"/>
                <w:snapToGrid w:val="0"/>
                <w:color w:val="000000" w:themeColor="text1"/>
                <w:kern w:val="21"/>
                <w:szCs w:val="21"/>
                <w:highlight w:val="none"/>
                <w14:textFill>
                  <w14:solidFill>
                    <w14:schemeClr w14:val="tx1"/>
                  </w14:solidFill>
                </w14:textFill>
              </w:rPr>
            </w:pPr>
            <w:r>
              <w:rPr>
                <w:rFonts w:hint="eastAsia" w:ascii="Times New Roman" w:cs="宋体"/>
                <w:snapToGrid w:val="0"/>
                <w:color w:val="000000" w:themeColor="text1"/>
                <w:kern w:val="21"/>
                <w:szCs w:val="21"/>
                <w:highlight w:val="none"/>
                <w14:textFill>
                  <w14:solidFill>
                    <w14:schemeClr w14:val="tx1"/>
                  </w14:solidFill>
                </w14:textFill>
              </w:rPr>
              <w:t>颗粒物</w:t>
            </w:r>
          </w:p>
        </w:tc>
        <w:tc>
          <w:tcPr>
            <w:tcW w:w="516" w:type="pct"/>
            <w:vAlign w:val="center"/>
          </w:tcPr>
          <w:p w14:paraId="6AE979BD">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24" w:type="pct"/>
            <w:vAlign w:val="center"/>
          </w:tcPr>
          <w:p w14:paraId="19F02639">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77" w:type="pct"/>
            <w:vAlign w:val="center"/>
          </w:tcPr>
          <w:p w14:paraId="2CF7152D">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40" w:type="pct"/>
            <w:vAlign w:val="center"/>
          </w:tcPr>
          <w:p w14:paraId="1DF4293B">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0.586</w:t>
            </w:r>
            <w:r>
              <w:rPr>
                <w:rFonts w:hint="eastAsia" w:ascii="Times New Roman" w:cs="宋体"/>
                <w:b/>
                <w:bCs/>
                <w:snapToGrid w:val="0"/>
                <w:color w:val="000000" w:themeColor="text1"/>
                <w:kern w:val="21"/>
                <w:szCs w:val="21"/>
                <w:highlight w:val="none"/>
                <w14:textFill>
                  <w14:solidFill>
                    <w14:schemeClr w14:val="tx1"/>
                  </w14:solidFill>
                </w14:textFill>
              </w:rPr>
              <w:t>t/a</w:t>
            </w:r>
          </w:p>
        </w:tc>
        <w:tc>
          <w:tcPr>
            <w:tcW w:w="606" w:type="pct"/>
            <w:vAlign w:val="center"/>
          </w:tcPr>
          <w:p w14:paraId="3ADE73A8">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599" w:type="pct"/>
            <w:vAlign w:val="center"/>
          </w:tcPr>
          <w:p w14:paraId="0307C8DB">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0.586</w:t>
            </w:r>
            <w:r>
              <w:rPr>
                <w:rFonts w:hint="eastAsia" w:ascii="Times New Roman" w:cs="宋体"/>
                <w:b/>
                <w:bCs/>
                <w:snapToGrid w:val="0"/>
                <w:color w:val="000000" w:themeColor="text1"/>
                <w:kern w:val="21"/>
                <w:szCs w:val="21"/>
                <w:highlight w:val="none"/>
                <w14:textFill>
                  <w14:solidFill>
                    <w14:schemeClr w14:val="tx1"/>
                  </w14:solidFill>
                </w14:textFill>
              </w:rPr>
              <w:t>t/a</w:t>
            </w:r>
          </w:p>
        </w:tc>
        <w:tc>
          <w:tcPr>
            <w:tcW w:w="576" w:type="pct"/>
            <w:vAlign w:val="center"/>
          </w:tcPr>
          <w:p w14:paraId="5CB11E59">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0.586</w:t>
            </w:r>
            <w:r>
              <w:rPr>
                <w:rFonts w:hint="eastAsia" w:ascii="Times New Roman" w:cs="宋体"/>
                <w:b/>
                <w:bCs/>
                <w:snapToGrid w:val="0"/>
                <w:color w:val="000000" w:themeColor="text1"/>
                <w:kern w:val="21"/>
                <w:szCs w:val="21"/>
                <w:highlight w:val="none"/>
                <w14:textFill>
                  <w14:solidFill>
                    <w14:schemeClr w14:val="tx1"/>
                  </w14:solidFill>
                </w14:textFill>
              </w:rPr>
              <w:t>t/a</w:t>
            </w:r>
          </w:p>
        </w:tc>
      </w:tr>
      <w:tr w14:paraId="37651E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continue"/>
            <w:vAlign w:val="center"/>
          </w:tcPr>
          <w:p w14:paraId="43FE9260">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vAlign w:val="center"/>
          </w:tcPr>
          <w:p w14:paraId="18423555">
            <w:pPr>
              <w:pStyle w:val="38"/>
              <w:adjustRightInd/>
              <w:snapToGrid/>
              <w:spacing w:beforeLines="0" w:afterLines="0" w:line="360" w:lineRule="auto"/>
              <w:ind w:firstLine="0" w:firstLineChars="0"/>
              <w:rPr>
                <w:rFonts w:ascii="Times New Roman" w:cs="宋体"/>
                <w:snapToGrid w:val="0"/>
                <w:color w:val="000000" w:themeColor="text1"/>
                <w:kern w:val="21"/>
                <w:szCs w:val="21"/>
                <w:highlight w:val="none"/>
                <w14:textFill>
                  <w14:solidFill>
                    <w14:schemeClr w14:val="tx1"/>
                  </w14:solidFill>
                </w14:textFill>
              </w:rPr>
            </w:pPr>
            <w:r>
              <w:rPr>
                <w:rFonts w:hint="eastAsia" w:ascii="Times New Roman" w:cs="宋体"/>
                <w:snapToGrid w:val="0"/>
                <w:color w:val="000000" w:themeColor="text1"/>
                <w:kern w:val="21"/>
                <w:szCs w:val="21"/>
                <w:highlight w:val="none"/>
                <w14:textFill>
                  <w14:solidFill>
                    <w14:schemeClr w14:val="tx1"/>
                  </w14:solidFill>
                </w14:textFill>
              </w:rPr>
              <w:t>非甲烷总烃</w:t>
            </w:r>
          </w:p>
        </w:tc>
        <w:tc>
          <w:tcPr>
            <w:tcW w:w="516" w:type="pct"/>
            <w:vAlign w:val="center"/>
          </w:tcPr>
          <w:p w14:paraId="3F04CA28">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24" w:type="pct"/>
            <w:vAlign w:val="center"/>
          </w:tcPr>
          <w:p w14:paraId="35CC36ED">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77" w:type="pct"/>
            <w:vAlign w:val="center"/>
          </w:tcPr>
          <w:p w14:paraId="7663E621">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40" w:type="pct"/>
            <w:vAlign w:val="center"/>
          </w:tcPr>
          <w:p w14:paraId="71807D7E">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0.031</w:t>
            </w:r>
            <w:r>
              <w:rPr>
                <w:rFonts w:hint="eastAsia" w:ascii="Times New Roman" w:cs="宋体"/>
                <w:b/>
                <w:bCs/>
                <w:snapToGrid w:val="0"/>
                <w:color w:val="000000" w:themeColor="text1"/>
                <w:kern w:val="21"/>
                <w:szCs w:val="21"/>
                <w:highlight w:val="none"/>
                <w14:textFill>
                  <w14:solidFill>
                    <w14:schemeClr w14:val="tx1"/>
                  </w14:solidFill>
                </w14:textFill>
              </w:rPr>
              <w:t>t/a</w:t>
            </w:r>
          </w:p>
        </w:tc>
        <w:tc>
          <w:tcPr>
            <w:tcW w:w="606" w:type="pct"/>
            <w:vAlign w:val="center"/>
          </w:tcPr>
          <w:p w14:paraId="695B2E33">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599" w:type="pct"/>
            <w:vAlign w:val="center"/>
          </w:tcPr>
          <w:p w14:paraId="6A085C3A">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0.0</w:t>
            </w: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31</w:t>
            </w:r>
            <w:r>
              <w:rPr>
                <w:rFonts w:hint="eastAsia" w:ascii="Times New Roman" w:cs="宋体"/>
                <w:b/>
                <w:bCs/>
                <w:snapToGrid w:val="0"/>
                <w:color w:val="000000" w:themeColor="text1"/>
                <w:kern w:val="21"/>
                <w:szCs w:val="21"/>
                <w:highlight w:val="none"/>
                <w14:textFill>
                  <w14:solidFill>
                    <w14:schemeClr w14:val="tx1"/>
                  </w14:solidFill>
                </w14:textFill>
              </w:rPr>
              <w:t>t/a</w:t>
            </w:r>
          </w:p>
        </w:tc>
        <w:tc>
          <w:tcPr>
            <w:tcW w:w="576" w:type="pct"/>
            <w:vAlign w:val="center"/>
          </w:tcPr>
          <w:p w14:paraId="5DC70704">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+0.0</w:t>
            </w: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31</w:t>
            </w:r>
            <w:r>
              <w:rPr>
                <w:rFonts w:hint="eastAsia" w:ascii="Times New Roman" w:cs="宋体"/>
                <w:b/>
                <w:bCs/>
                <w:snapToGrid w:val="0"/>
                <w:color w:val="000000" w:themeColor="text1"/>
                <w:kern w:val="21"/>
                <w:szCs w:val="21"/>
                <w:highlight w:val="none"/>
                <w14:textFill>
                  <w14:solidFill>
                    <w14:schemeClr w14:val="tx1"/>
                  </w14:solidFill>
                </w14:textFill>
              </w:rPr>
              <w:t>t/a</w:t>
            </w:r>
          </w:p>
        </w:tc>
      </w:tr>
      <w:tr w14:paraId="2C9E8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continue"/>
            <w:vAlign w:val="center"/>
          </w:tcPr>
          <w:p w14:paraId="3D505D4F">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vAlign w:val="center"/>
          </w:tcPr>
          <w:p w14:paraId="4F1871BF">
            <w:pPr>
              <w:pStyle w:val="38"/>
              <w:adjustRightInd/>
              <w:snapToGrid/>
              <w:spacing w:beforeLines="0" w:afterLines="0" w:line="360" w:lineRule="auto"/>
              <w:ind w:firstLine="0" w:firstLineChars="0"/>
              <w:rPr>
                <w:rFonts w:ascii="Times New Roman" w:cs="宋体"/>
                <w:snapToGrid w:val="0"/>
                <w:color w:val="000000" w:themeColor="text1"/>
                <w:kern w:val="21"/>
                <w:szCs w:val="21"/>
                <w:highlight w:val="none"/>
                <w14:textFill>
                  <w14:solidFill>
                    <w14:schemeClr w14:val="tx1"/>
                  </w14:solidFill>
                </w14:textFill>
              </w:rPr>
            </w:pPr>
            <w:r>
              <w:rPr>
                <w:rFonts w:hint="eastAsia" w:ascii="Times New Roman" w:cs="宋体"/>
                <w:snapToGrid w:val="0"/>
                <w:color w:val="000000" w:themeColor="text1"/>
                <w:kern w:val="21"/>
                <w:szCs w:val="21"/>
                <w:highlight w:val="none"/>
                <w14:textFill>
                  <w14:solidFill>
                    <w14:schemeClr w14:val="tx1"/>
                  </w14:solidFill>
                </w14:textFill>
              </w:rPr>
              <w:t>二氧化硫</w:t>
            </w:r>
          </w:p>
        </w:tc>
        <w:tc>
          <w:tcPr>
            <w:tcW w:w="516" w:type="pct"/>
            <w:vAlign w:val="center"/>
          </w:tcPr>
          <w:p w14:paraId="77D08240">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24" w:type="pct"/>
            <w:vAlign w:val="center"/>
          </w:tcPr>
          <w:p w14:paraId="1521D799">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77" w:type="pct"/>
            <w:vAlign w:val="center"/>
          </w:tcPr>
          <w:p w14:paraId="4E58D648">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40" w:type="pct"/>
            <w:vAlign w:val="center"/>
          </w:tcPr>
          <w:p w14:paraId="41216FDB">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0.093</w:t>
            </w:r>
            <w:r>
              <w:rPr>
                <w:rFonts w:hint="eastAsia" w:ascii="Times New Roman" w:cs="宋体"/>
                <w:b/>
                <w:bCs/>
                <w:snapToGrid w:val="0"/>
                <w:color w:val="000000" w:themeColor="text1"/>
                <w:kern w:val="21"/>
                <w:szCs w:val="21"/>
                <w:highlight w:val="none"/>
                <w14:textFill>
                  <w14:solidFill>
                    <w14:schemeClr w14:val="tx1"/>
                  </w14:solidFill>
                </w14:textFill>
              </w:rPr>
              <w:t>t/a</w:t>
            </w:r>
          </w:p>
        </w:tc>
        <w:tc>
          <w:tcPr>
            <w:tcW w:w="606" w:type="pct"/>
            <w:vAlign w:val="center"/>
          </w:tcPr>
          <w:p w14:paraId="3ACD0D62">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599" w:type="pct"/>
            <w:vAlign w:val="center"/>
          </w:tcPr>
          <w:p w14:paraId="678746DC">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0.093</w:t>
            </w:r>
            <w:r>
              <w:rPr>
                <w:rFonts w:hint="eastAsia" w:ascii="Times New Roman" w:cs="宋体"/>
                <w:b/>
                <w:bCs/>
                <w:snapToGrid w:val="0"/>
                <w:color w:val="000000" w:themeColor="text1"/>
                <w:kern w:val="21"/>
                <w:szCs w:val="21"/>
                <w:highlight w:val="none"/>
                <w14:textFill>
                  <w14:solidFill>
                    <w14:schemeClr w14:val="tx1"/>
                  </w14:solidFill>
                </w14:textFill>
              </w:rPr>
              <w:t>t/a</w:t>
            </w:r>
          </w:p>
        </w:tc>
        <w:tc>
          <w:tcPr>
            <w:tcW w:w="576" w:type="pct"/>
            <w:vAlign w:val="center"/>
          </w:tcPr>
          <w:p w14:paraId="4BB65318">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+0.093</w:t>
            </w:r>
            <w:r>
              <w:rPr>
                <w:rFonts w:hint="eastAsia" w:ascii="Times New Roman" w:cs="宋体"/>
                <w:b/>
                <w:bCs/>
                <w:snapToGrid w:val="0"/>
                <w:color w:val="000000" w:themeColor="text1"/>
                <w:kern w:val="21"/>
                <w:szCs w:val="21"/>
                <w:highlight w:val="none"/>
                <w14:textFill>
                  <w14:solidFill>
                    <w14:schemeClr w14:val="tx1"/>
                  </w14:solidFill>
                </w14:textFill>
              </w:rPr>
              <w:t>t/a</w:t>
            </w:r>
          </w:p>
        </w:tc>
      </w:tr>
      <w:tr w14:paraId="3273C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59734BC5">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vAlign w:val="center"/>
          </w:tcPr>
          <w:p w14:paraId="372EA6B9">
            <w:pPr>
              <w:pStyle w:val="38"/>
              <w:adjustRightInd/>
              <w:snapToGrid/>
              <w:spacing w:beforeLines="0" w:afterLines="0" w:line="360" w:lineRule="auto"/>
              <w:ind w:firstLine="0" w:firstLineChars="0"/>
              <w:rPr>
                <w:rFonts w:ascii="Times New Roman" w:cs="宋体"/>
                <w:snapToGrid w:val="0"/>
                <w:color w:val="000000" w:themeColor="text1"/>
                <w:kern w:val="21"/>
                <w:szCs w:val="21"/>
                <w:highlight w:val="none"/>
                <w14:textFill>
                  <w14:solidFill>
                    <w14:schemeClr w14:val="tx1"/>
                  </w14:solidFill>
                </w14:textFill>
              </w:rPr>
            </w:pPr>
            <w:r>
              <w:rPr>
                <w:rFonts w:hint="eastAsia" w:ascii="Times New Roman" w:cs="宋体"/>
                <w:snapToGrid w:val="0"/>
                <w:color w:val="000000" w:themeColor="text1"/>
                <w:kern w:val="21"/>
                <w:szCs w:val="21"/>
                <w:highlight w:val="none"/>
                <w14:textFill>
                  <w14:solidFill>
                    <w14:schemeClr w14:val="tx1"/>
                  </w14:solidFill>
                </w14:textFill>
              </w:rPr>
              <w:t>氮氧化物</w:t>
            </w:r>
          </w:p>
        </w:tc>
        <w:tc>
          <w:tcPr>
            <w:tcW w:w="516" w:type="pct"/>
            <w:vAlign w:val="center"/>
          </w:tcPr>
          <w:p w14:paraId="13BEDF1A">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24" w:type="pct"/>
            <w:vAlign w:val="center"/>
          </w:tcPr>
          <w:p w14:paraId="1C819E65">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77" w:type="pct"/>
            <w:vAlign w:val="center"/>
          </w:tcPr>
          <w:p w14:paraId="33A65A24">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40" w:type="pct"/>
            <w:vAlign w:val="center"/>
          </w:tcPr>
          <w:p w14:paraId="0FDCDB91">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0.277</w:t>
            </w:r>
            <w:r>
              <w:rPr>
                <w:rFonts w:hint="eastAsia" w:ascii="Times New Roman" w:cs="宋体"/>
                <w:b/>
                <w:bCs/>
                <w:snapToGrid w:val="0"/>
                <w:color w:val="000000" w:themeColor="text1"/>
                <w:kern w:val="21"/>
                <w:szCs w:val="21"/>
                <w:highlight w:val="none"/>
                <w14:textFill>
                  <w14:solidFill>
                    <w14:schemeClr w14:val="tx1"/>
                  </w14:solidFill>
                </w14:textFill>
              </w:rPr>
              <w:t>t/a</w:t>
            </w:r>
          </w:p>
        </w:tc>
        <w:tc>
          <w:tcPr>
            <w:tcW w:w="606" w:type="pct"/>
            <w:vAlign w:val="center"/>
          </w:tcPr>
          <w:p w14:paraId="26DFFDE7">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599" w:type="pct"/>
            <w:vAlign w:val="center"/>
          </w:tcPr>
          <w:p w14:paraId="7A1C518B">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0.277</w:t>
            </w:r>
            <w:r>
              <w:rPr>
                <w:rFonts w:hint="eastAsia" w:ascii="Times New Roman" w:cs="宋体"/>
                <w:b/>
                <w:bCs/>
                <w:snapToGrid w:val="0"/>
                <w:color w:val="000000" w:themeColor="text1"/>
                <w:kern w:val="21"/>
                <w:szCs w:val="21"/>
                <w:highlight w:val="none"/>
                <w14:textFill>
                  <w14:solidFill>
                    <w14:schemeClr w14:val="tx1"/>
                  </w14:solidFill>
                </w14:textFill>
              </w:rPr>
              <w:t>t/a</w:t>
            </w:r>
          </w:p>
        </w:tc>
        <w:tc>
          <w:tcPr>
            <w:tcW w:w="576" w:type="pct"/>
            <w:vAlign w:val="center"/>
          </w:tcPr>
          <w:p w14:paraId="2B713E67">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lang w:val="en-US" w:eastAsia="zh-CN"/>
                <w14:textFill>
                  <w14:solidFill>
                    <w14:schemeClr w14:val="tx1"/>
                  </w14:solidFill>
                </w14:textFill>
              </w:rPr>
              <w:t>+0.277</w:t>
            </w:r>
            <w:r>
              <w:rPr>
                <w:rFonts w:hint="eastAsia" w:ascii="Times New Roman" w:cs="宋体"/>
                <w:b/>
                <w:bCs/>
                <w:snapToGrid w:val="0"/>
                <w:color w:val="000000" w:themeColor="text1"/>
                <w:kern w:val="21"/>
                <w:szCs w:val="21"/>
                <w:highlight w:val="none"/>
                <w14:textFill>
                  <w14:solidFill>
                    <w14:schemeClr w14:val="tx1"/>
                  </w14:solidFill>
                </w14:textFill>
              </w:rPr>
              <w:t>t/a</w:t>
            </w:r>
          </w:p>
        </w:tc>
      </w:tr>
      <w:tr w14:paraId="36042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vAlign w:val="center"/>
          </w:tcPr>
          <w:p w14:paraId="1EB7F61A">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废水</w:t>
            </w:r>
          </w:p>
        </w:tc>
        <w:tc>
          <w:tcPr>
            <w:tcW w:w="637" w:type="pct"/>
            <w:vAlign w:val="center"/>
          </w:tcPr>
          <w:p w14:paraId="1268FD11">
            <w:pPr>
              <w:pStyle w:val="38"/>
              <w:adjustRightInd/>
              <w:snapToGrid/>
              <w:spacing w:beforeLines="0" w:afterLines="0" w:line="360" w:lineRule="auto"/>
              <w:ind w:firstLine="0" w:firstLineChars="0"/>
              <w:rPr>
                <w:rFonts w:ascii="Times New Roman" w:cs="宋体"/>
                <w:snapToGrid w:val="0"/>
                <w:color w:val="000000" w:themeColor="text1"/>
                <w:kern w:val="21"/>
                <w:szCs w:val="21"/>
                <w:highlight w:val="none"/>
                <w14:textFill>
                  <w14:solidFill>
                    <w14:schemeClr w14:val="tx1"/>
                  </w14:solidFill>
                </w14:textFill>
              </w:rPr>
            </w:pPr>
            <w:r>
              <w:rPr>
                <w:rFonts w:hint="eastAsia" w:ascii="Times New Roman" w:cs="宋体"/>
                <w:snapToGrid w:val="0"/>
                <w:color w:val="000000" w:themeColor="text1"/>
                <w:kern w:val="21"/>
                <w:szCs w:val="21"/>
                <w:highlight w:val="none"/>
                <w14:textFill>
                  <w14:solidFill>
                    <w14:schemeClr w14:val="tx1"/>
                  </w14:solidFill>
                </w14:textFill>
              </w:rPr>
              <w:t>COD</w:t>
            </w:r>
          </w:p>
        </w:tc>
        <w:tc>
          <w:tcPr>
            <w:tcW w:w="516" w:type="pct"/>
            <w:vAlign w:val="center"/>
          </w:tcPr>
          <w:p w14:paraId="60C142CD">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24" w:type="pct"/>
            <w:vAlign w:val="center"/>
          </w:tcPr>
          <w:p w14:paraId="712C9334">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77" w:type="pct"/>
            <w:vAlign w:val="center"/>
          </w:tcPr>
          <w:p w14:paraId="56181ED6">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40" w:type="pct"/>
            <w:vAlign w:val="center"/>
          </w:tcPr>
          <w:p w14:paraId="7663D5C6">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0.014t/a</w:t>
            </w:r>
          </w:p>
        </w:tc>
        <w:tc>
          <w:tcPr>
            <w:tcW w:w="606" w:type="pct"/>
            <w:vAlign w:val="center"/>
          </w:tcPr>
          <w:p w14:paraId="6F0D0B8E">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599" w:type="pct"/>
            <w:vAlign w:val="center"/>
          </w:tcPr>
          <w:p w14:paraId="628145E3">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0.109t/a</w:t>
            </w:r>
          </w:p>
        </w:tc>
        <w:tc>
          <w:tcPr>
            <w:tcW w:w="576" w:type="pct"/>
            <w:vAlign w:val="center"/>
          </w:tcPr>
          <w:p w14:paraId="146306AF">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+0.014t/a</w:t>
            </w:r>
          </w:p>
        </w:tc>
      </w:tr>
      <w:tr w14:paraId="3BEF2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59321500">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vAlign w:val="center"/>
          </w:tcPr>
          <w:p w14:paraId="715C9762">
            <w:pPr>
              <w:pStyle w:val="38"/>
              <w:adjustRightInd/>
              <w:snapToGrid/>
              <w:spacing w:beforeLines="0" w:afterLines="0" w:line="360" w:lineRule="auto"/>
              <w:ind w:firstLine="0" w:firstLineChars="0"/>
              <w:rPr>
                <w:rFonts w:ascii="Times New Roman" w:cs="宋体"/>
                <w:snapToGrid w:val="0"/>
                <w:color w:val="000000" w:themeColor="text1"/>
                <w:kern w:val="21"/>
                <w:szCs w:val="21"/>
                <w:highlight w:val="none"/>
                <w14:textFill>
                  <w14:solidFill>
                    <w14:schemeClr w14:val="tx1"/>
                  </w14:solidFill>
                </w14:textFill>
              </w:rPr>
            </w:pPr>
            <w:r>
              <w:rPr>
                <w:rFonts w:hint="eastAsia" w:ascii="Times New Roman" w:cs="宋体"/>
                <w:snapToGrid w:val="0"/>
                <w:color w:val="000000" w:themeColor="text1"/>
                <w:kern w:val="21"/>
                <w:szCs w:val="21"/>
                <w:highlight w:val="none"/>
                <w14:textFill>
                  <w14:solidFill>
                    <w14:schemeClr w14:val="tx1"/>
                  </w14:solidFill>
                </w14:textFill>
              </w:rPr>
              <w:t>氨氮</w:t>
            </w:r>
          </w:p>
        </w:tc>
        <w:tc>
          <w:tcPr>
            <w:tcW w:w="516" w:type="pct"/>
            <w:vAlign w:val="center"/>
          </w:tcPr>
          <w:p w14:paraId="08288A82">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24" w:type="pct"/>
            <w:vAlign w:val="center"/>
          </w:tcPr>
          <w:p w14:paraId="1656531A">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77" w:type="pct"/>
            <w:vAlign w:val="center"/>
          </w:tcPr>
          <w:p w14:paraId="08BED6EE">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p>
        </w:tc>
        <w:tc>
          <w:tcPr>
            <w:tcW w:w="540" w:type="pct"/>
            <w:vAlign w:val="center"/>
          </w:tcPr>
          <w:p w14:paraId="1C480AB5">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0.002t/a</w:t>
            </w:r>
          </w:p>
        </w:tc>
        <w:tc>
          <w:tcPr>
            <w:tcW w:w="606" w:type="pct"/>
            <w:vAlign w:val="center"/>
          </w:tcPr>
          <w:p w14:paraId="12CF759B">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599" w:type="pct"/>
            <w:vAlign w:val="center"/>
          </w:tcPr>
          <w:p w14:paraId="3BDF8976">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0.016t/a</w:t>
            </w:r>
          </w:p>
        </w:tc>
        <w:tc>
          <w:tcPr>
            <w:tcW w:w="576" w:type="pct"/>
            <w:vAlign w:val="center"/>
          </w:tcPr>
          <w:p w14:paraId="09A938A8">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+0.002t/a</w:t>
            </w:r>
          </w:p>
        </w:tc>
      </w:tr>
      <w:tr w14:paraId="6497B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vAlign w:val="center"/>
          </w:tcPr>
          <w:p w14:paraId="61E1F5B6">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一般工业</w:t>
            </w:r>
          </w:p>
          <w:p w14:paraId="349C1F29">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固体废物</w:t>
            </w:r>
          </w:p>
        </w:tc>
        <w:tc>
          <w:tcPr>
            <w:tcW w:w="637" w:type="pct"/>
            <w:vAlign w:val="center"/>
          </w:tcPr>
          <w:p w14:paraId="64642BC7">
            <w:pPr>
              <w:widowControl/>
              <w:spacing w:line="36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废边角料</w:t>
            </w:r>
          </w:p>
        </w:tc>
        <w:tc>
          <w:tcPr>
            <w:tcW w:w="516" w:type="pct"/>
            <w:vAlign w:val="center"/>
          </w:tcPr>
          <w:p w14:paraId="71F060DC">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b/>
                <w:bCs/>
                <w:color w:val="000000" w:themeColor="text1"/>
                <w:szCs w:val="21"/>
                <w:highlight w:val="none"/>
                <w14:textFill>
                  <w14:solidFill>
                    <w14:schemeClr w14:val="tx1"/>
                  </w14:solidFill>
                </w14:textFill>
              </w:rPr>
              <w:t>/</w:t>
            </w:r>
          </w:p>
        </w:tc>
        <w:tc>
          <w:tcPr>
            <w:tcW w:w="524" w:type="pct"/>
            <w:vAlign w:val="center"/>
          </w:tcPr>
          <w:p w14:paraId="2DC0C385">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b/>
                <w:bCs/>
                <w:color w:val="000000" w:themeColor="text1"/>
                <w:szCs w:val="21"/>
                <w:highlight w:val="none"/>
                <w14:textFill>
                  <w14:solidFill>
                    <w14:schemeClr w14:val="tx1"/>
                  </w14:solidFill>
                </w14:textFill>
              </w:rPr>
              <w:t>/</w:t>
            </w:r>
          </w:p>
        </w:tc>
        <w:tc>
          <w:tcPr>
            <w:tcW w:w="577" w:type="pct"/>
            <w:vAlign w:val="center"/>
          </w:tcPr>
          <w:p w14:paraId="571998DC">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b/>
                <w:bCs/>
                <w:color w:val="000000" w:themeColor="text1"/>
                <w:szCs w:val="21"/>
                <w:highlight w:val="none"/>
                <w14:textFill>
                  <w14:solidFill>
                    <w14:schemeClr w14:val="tx1"/>
                  </w14:solidFill>
                </w14:textFill>
              </w:rPr>
              <w:t>/</w:t>
            </w:r>
          </w:p>
        </w:tc>
        <w:tc>
          <w:tcPr>
            <w:tcW w:w="540" w:type="pct"/>
            <w:vAlign w:val="center"/>
          </w:tcPr>
          <w:p w14:paraId="0C0A1E12">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16t/a</w:t>
            </w:r>
          </w:p>
        </w:tc>
        <w:tc>
          <w:tcPr>
            <w:tcW w:w="606" w:type="pct"/>
            <w:vAlign w:val="center"/>
          </w:tcPr>
          <w:p w14:paraId="7B304C76">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599" w:type="pct"/>
            <w:vAlign w:val="center"/>
          </w:tcPr>
          <w:p w14:paraId="06F2465A">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16t/a</w:t>
            </w:r>
          </w:p>
        </w:tc>
        <w:tc>
          <w:tcPr>
            <w:tcW w:w="576" w:type="pct"/>
            <w:vAlign w:val="center"/>
          </w:tcPr>
          <w:p w14:paraId="1781AB5C">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16t/a</w:t>
            </w:r>
          </w:p>
        </w:tc>
      </w:tr>
      <w:tr w14:paraId="27521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2E9E15AF">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vAlign w:val="center"/>
          </w:tcPr>
          <w:p w14:paraId="01B2977F">
            <w:pPr>
              <w:widowControl/>
              <w:spacing w:line="36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不合格品</w:t>
            </w:r>
          </w:p>
        </w:tc>
        <w:tc>
          <w:tcPr>
            <w:tcW w:w="516" w:type="pct"/>
            <w:vAlign w:val="center"/>
          </w:tcPr>
          <w:p w14:paraId="3B6A8A1A">
            <w:pPr>
              <w:pStyle w:val="38"/>
              <w:adjustRightInd/>
              <w:snapToGrid/>
              <w:spacing w:beforeLines="0" w:afterLines="0" w:line="360" w:lineRule="auto"/>
              <w:ind w:firstLine="0" w:firstLineChars="0"/>
              <w:rPr>
                <w:rFonts w:ascii="Times New Roman" w:cstheme="minorBidi"/>
                <w:b/>
                <w:bCs/>
                <w:color w:val="000000" w:themeColor="text1"/>
                <w:szCs w:val="21"/>
                <w:highlight w:val="none"/>
                <w14:textFill>
                  <w14:solidFill>
                    <w14:schemeClr w14:val="tx1"/>
                  </w14:solidFill>
                </w14:textFill>
              </w:rPr>
            </w:pPr>
            <w:r>
              <w:rPr>
                <w:rFonts w:hint="eastAsia" w:ascii="Times New Roman" w:cstheme="minorBidi"/>
                <w:b/>
                <w:bCs/>
                <w:color w:val="000000" w:themeColor="text1"/>
                <w:szCs w:val="21"/>
                <w:highlight w:val="none"/>
                <w14:textFill>
                  <w14:solidFill>
                    <w14:schemeClr w14:val="tx1"/>
                  </w14:solidFill>
                </w14:textFill>
              </w:rPr>
              <w:t>/</w:t>
            </w:r>
          </w:p>
        </w:tc>
        <w:tc>
          <w:tcPr>
            <w:tcW w:w="524" w:type="pct"/>
            <w:vAlign w:val="center"/>
          </w:tcPr>
          <w:p w14:paraId="0140CC50">
            <w:pPr>
              <w:pStyle w:val="38"/>
              <w:adjustRightInd/>
              <w:snapToGrid/>
              <w:spacing w:beforeLines="0" w:afterLines="0" w:line="360" w:lineRule="auto"/>
              <w:ind w:firstLine="0" w:firstLineChars="0"/>
              <w:rPr>
                <w:rFonts w:ascii="Times New Roman" w:cstheme="minorBidi"/>
                <w:b/>
                <w:bCs/>
                <w:color w:val="000000" w:themeColor="text1"/>
                <w:szCs w:val="21"/>
                <w:highlight w:val="none"/>
                <w14:textFill>
                  <w14:solidFill>
                    <w14:schemeClr w14:val="tx1"/>
                  </w14:solidFill>
                </w14:textFill>
              </w:rPr>
            </w:pPr>
            <w:r>
              <w:rPr>
                <w:rFonts w:hint="eastAsia" w:ascii="Times New Roman" w:cstheme="minorBidi"/>
                <w:b/>
                <w:bCs/>
                <w:color w:val="000000" w:themeColor="text1"/>
                <w:szCs w:val="21"/>
                <w:highlight w:val="none"/>
                <w14:textFill>
                  <w14:solidFill>
                    <w14:schemeClr w14:val="tx1"/>
                  </w14:solidFill>
                </w14:textFill>
              </w:rPr>
              <w:t>/</w:t>
            </w:r>
          </w:p>
        </w:tc>
        <w:tc>
          <w:tcPr>
            <w:tcW w:w="577" w:type="pct"/>
            <w:vAlign w:val="center"/>
          </w:tcPr>
          <w:p w14:paraId="2DEABA68">
            <w:pPr>
              <w:pStyle w:val="38"/>
              <w:adjustRightInd/>
              <w:snapToGrid/>
              <w:spacing w:beforeLines="0" w:afterLines="0" w:line="360" w:lineRule="auto"/>
              <w:ind w:firstLine="0" w:firstLineChars="0"/>
              <w:rPr>
                <w:rFonts w:ascii="Times New Roman" w:cstheme="minorBidi"/>
                <w:b/>
                <w:bCs/>
                <w:color w:val="000000" w:themeColor="text1"/>
                <w:szCs w:val="21"/>
                <w:highlight w:val="none"/>
                <w14:textFill>
                  <w14:solidFill>
                    <w14:schemeClr w14:val="tx1"/>
                  </w14:solidFill>
                </w14:textFill>
              </w:rPr>
            </w:pPr>
            <w:r>
              <w:rPr>
                <w:rFonts w:hint="eastAsia" w:ascii="Times New Roman" w:cstheme="minorBidi"/>
                <w:b/>
                <w:bCs/>
                <w:color w:val="000000" w:themeColor="text1"/>
                <w:szCs w:val="21"/>
                <w:highlight w:val="none"/>
                <w14:textFill>
                  <w14:solidFill>
                    <w14:schemeClr w14:val="tx1"/>
                  </w14:solidFill>
                </w14:textFill>
              </w:rPr>
              <w:t>/</w:t>
            </w:r>
          </w:p>
        </w:tc>
        <w:tc>
          <w:tcPr>
            <w:tcW w:w="540" w:type="pct"/>
            <w:vAlign w:val="center"/>
          </w:tcPr>
          <w:p w14:paraId="20FDFB1B">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30</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c>
          <w:tcPr>
            <w:tcW w:w="606" w:type="pct"/>
            <w:vAlign w:val="center"/>
          </w:tcPr>
          <w:p w14:paraId="4A96F930">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599" w:type="pct"/>
            <w:vAlign w:val="center"/>
          </w:tcPr>
          <w:p w14:paraId="1CE27560">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30</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c>
          <w:tcPr>
            <w:tcW w:w="576" w:type="pct"/>
            <w:vAlign w:val="center"/>
          </w:tcPr>
          <w:p w14:paraId="36BDB83F">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w:t>
            </w: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3</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0t/a</w:t>
            </w:r>
          </w:p>
        </w:tc>
      </w:tr>
      <w:tr w14:paraId="42963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3" w:type="pct"/>
            <w:vMerge w:val="continue"/>
            <w:vAlign w:val="center"/>
          </w:tcPr>
          <w:p w14:paraId="12536A8B">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vAlign w:val="center"/>
          </w:tcPr>
          <w:p w14:paraId="252B0960">
            <w:pPr>
              <w:widowControl/>
              <w:spacing w:line="36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除尘灰</w:t>
            </w:r>
          </w:p>
        </w:tc>
        <w:tc>
          <w:tcPr>
            <w:tcW w:w="516" w:type="pct"/>
            <w:vAlign w:val="center"/>
          </w:tcPr>
          <w:p w14:paraId="7F136829">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24" w:type="pct"/>
            <w:vAlign w:val="center"/>
          </w:tcPr>
          <w:p w14:paraId="268FE741">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77" w:type="pct"/>
            <w:vAlign w:val="center"/>
          </w:tcPr>
          <w:p w14:paraId="79A773EA">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40" w:type="pct"/>
            <w:vAlign w:val="center"/>
          </w:tcPr>
          <w:p w14:paraId="2816C6E7">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b/>
                <w:bCs/>
                <w:color w:val="000000" w:themeColor="text1"/>
                <w:szCs w:val="21"/>
                <w:highlight w:val="none"/>
                <w:lang w:val="en-US" w:eastAsia="zh-CN"/>
                <w14:textFill>
                  <w14:solidFill>
                    <w14:schemeClr w14:val="tx1"/>
                  </w14:solidFill>
                </w14:textFill>
              </w:rPr>
              <w:t>1.249</w:t>
            </w:r>
            <w:r>
              <w:rPr>
                <w:rFonts w:ascii="Times New Roman" w:hAnsi="Times New Roman" w:eastAsia="宋体"/>
                <w:b/>
                <w:bCs/>
                <w:color w:val="000000" w:themeColor="text1"/>
                <w:szCs w:val="21"/>
                <w:highlight w:val="none"/>
                <w14:textFill>
                  <w14:solidFill>
                    <w14:schemeClr w14:val="tx1"/>
                  </w14:solidFill>
                </w14:textFill>
              </w:rPr>
              <w:t>t/a</w:t>
            </w:r>
          </w:p>
        </w:tc>
        <w:tc>
          <w:tcPr>
            <w:tcW w:w="606" w:type="pct"/>
            <w:vAlign w:val="center"/>
          </w:tcPr>
          <w:p w14:paraId="0CD95F2B">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599" w:type="pct"/>
            <w:vAlign w:val="center"/>
          </w:tcPr>
          <w:p w14:paraId="0A24A088">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b/>
                <w:bCs/>
                <w:color w:val="000000" w:themeColor="text1"/>
                <w:szCs w:val="21"/>
                <w:highlight w:val="none"/>
                <w:lang w:val="en-US" w:eastAsia="zh-CN"/>
                <w14:textFill>
                  <w14:solidFill>
                    <w14:schemeClr w14:val="tx1"/>
                  </w14:solidFill>
                </w14:textFill>
              </w:rPr>
              <w:t>1.249</w:t>
            </w:r>
            <w:r>
              <w:rPr>
                <w:rFonts w:ascii="Times New Roman" w:hAnsi="Times New Roman" w:eastAsia="宋体"/>
                <w:b/>
                <w:bCs/>
                <w:color w:val="000000" w:themeColor="text1"/>
                <w:szCs w:val="21"/>
                <w:highlight w:val="none"/>
                <w14:textFill>
                  <w14:solidFill>
                    <w14:schemeClr w14:val="tx1"/>
                  </w14:solidFill>
                </w14:textFill>
              </w:rPr>
              <w:t>t/a</w:t>
            </w:r>
          </w:p>
        </w:tc>
        <w:tc>
          <w:tcPr>
            <w:tcW w:w="576" w:type="pct"/>
            <w:vAlign w:val="center"/>
          </w:tcPr>
          <w:p w14:paraId="3A2F45D1">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w:t>
            </w:r>
            <w:r>
              <w:rPr>
                <w:rFonts w:hint="eastAsia" w:ascii="Times New Roman" w:hAnsi="Times New Roman" w:eastAsia="宋体"/>
                <w:b/>
                <w:bCs/>
                <w:color w:val="000000" w:themeColor="text1"/>
                <w:szCs w:val="21"/>
                <w:highlight w:val="none"/>
                <w:lang w:val="en-US" w:eastAsia="zh-CN"/>
                <w14:textFill>
                  <w14:solidFill>
                    <w14:schemeClr w14:val="tx1"/>
                  </w14:solidFill>
                </w14:textFill>
              </w:rPr>
              <w:t>1.249</w:t>
            </w:r>
            <w:r>
              <w:rPr>
                <w:rFonts w:ascii="Times New Roman" w:hAnsi="Times New Roman" w:eastAsia="宋体"/>
                <w:b/>
                <w:bCs/>
                <w:color w:val="000000" w:themeColor="text1"/>
                <w:szCs w:val="21"/>
                <w:highlight w:val="none"/>
                <w14:textFill>
                  <w14:solidFill>
                    <w14:schemeClr w14:val="tx1"/>
                  </w14:solidFill>
                </w14:textFill>
              </w:rPr>
              <w:t>t/a</w:t>
            </w:r>
          </w:p>
        </w:tc>
      </w:tr>
      <w:tr w14:paraId="410B7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17B7679D">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vAlign w:val="center"/>
          </w:tcPr>
          <w:p w14:paraId="720EA1D6">
            <w:pPr>
              <w:widowControl/>
              <w:spacing w:line="36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废钢丸</w:t>
            </w:r>
          </w:p>
        </w:tc>
        <w:tc>
          <w:tcPr>
            <w:tcW w:w="516" w:type="pct"/>
            <w:vAlign w:val="center"/>
          </w:tcPr>
          <w:p w14:paraId="36638A99">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24" w:type="pct"/>
            <w:vAlign w:val="center"/>
          </w:tcPr>
          <w:p w14:paraId="23C8F32A">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77" w:type="pct"/>
            <w:vAlign w:val="center"/>
          </w:tcPr>
          <w:p w14:paraId="6F255517">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40" w:type="pct"/>
            <w:vAlign w:val="center"/>
          </w:tcPr>
          <w:p w14:paraId="063E5476">
            <w:pPr>
              <w:widowControl/>
              <w:spacing w:line="36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0.2t/a</w:t>
            </w:r>
          </w:p>
        </w:tc>
        <w:tc>
          <w:tcPr>
            <w:tcW w:w="606" w:type="pct"/>
            <w:vAlign w:val="center"/>
          </w:tcPr>
          <w:p w14:paraId="203AE525">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599" w:type="pct"/>
            <w:vAlign w:val="center"/>
          </w:tcPr>
          <w:p w14:paraId="0E7591B7">
            <w:pPr>
              <w:widowControl/>
              <w:spacing w:line="36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0.2t/a</w:t>
            </w:r>
          </w:p>
        </w:tc>
        <w:tc>
          <w:tcPr>
            <w:tcW w:w="576" w:type="pct"/>
            <w:vAlign w:val="center"/>
          </w:tcPr>
          <w:p w14:paraId="4F63C1B7">
            <w:pPr>
              <w:widowControl/>
              <w:spacing w:line="36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+0.2t/a</w:t>
            </w:r>
          </w:p>
        </w:tc>
      </w:tr>
      <w:tr w14:paraId="5F3AE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700A4EA3">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vAlign w:val="center"/>
          </w:tcPr>
          <w:p w14:paraId="5677A5F8">
            <w:pPr>
              <w:widowControl/>
              <w:spacing w:line="360" w:lineRule="auto"/>
              <w:jc w:val="center"/>
              <w:rPr>
                <w:rFonts w:ascii="Times New Roman" w:hAnsi="Times New Roman" w:eastAsia="宋体" w:cs="宋体"/>
                <w:color w:val="000000" w:themeColor="text1"/>
                <w:kern w:val="0"/>
                <w:szCs w:val="21"/>
                <w:highlight w:val="none"/>
                <w:lang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废包装</w:t>
            </w:r>
          </w:p>
        </w:tc>
        <w:tc>
          <w:tcPr>
            <w:tcW w:w="516" w:type="pct"/>
            <w:vAlign w:val="center"/>
          </w:tcPr>
          <w:p w14:paraId="47270485">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24" w:type="pct"/>
            <w:vAlign w:val="center"/>
          </w:tcPr>
          <w:p w14:paraId="3EE52B99">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77" w:type="pct"/>
            <w:vAlign w:val="center"/>
          </w:tcPr>
          <w:p w14:paraId="78C658C8">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40" w:type="pct"/>
            <w:vAlign w:val="center"/>
          </w:tcPr>
          <w:p w14:paraId="6C48E671">
            <w:pPr>
              <w:widowControl/>
              <w:spacing w:line="36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0.1t/a</w:t>
            </w:r>
          </w:p>
        </w:tc>
        <w:tc>
          <w:tcPr>
            <w:tcW w:w="606" w:type="pct"/>
            <w:vAlign w:val="center"/>
          </w:tcPr>
          <w:p w14:paraId="43BD6B92">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599" w:type="pct"/>
            <w:vAlign w:val="center"/>
          </w:tcPr>
          <w:p w14:paraId="54D496E1">
            <w:pPr>
              <w:widowControl/>
              <w:spacing w:line="36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0.1t/a</w:t>
            </w:r>
          </w:p>
        </w:tc>
        <w:tc>
          <w:tcPr>
            <w:tcW w:w="576" w:type="pct"/>
            <w:vAlign w:val="center"/>
          </w:tcPr>
          <w:p w14:paraId="7AAD2394">
            <w:pPr>
              <w:widowControl/>
              <w:spacing w:line="360" w:lineRule="auto"/>
              <w:jc w:val="center"/>
              <w:rPr>
                <w:rFonts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+0.1t/a</w:t>
            </w:r>
          </w:p>
        </w:tc>
      </w:tr>
      <w:tr w14:paraId="0D872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vAlign w:val="center"/>
          </w:tcPr>
          <w:p w14:paraId="73127CF5">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危险废物</w:t>
            </w:r>
          </w:p>
        </w:tc>
        <w:tc>
          <w:tcPr>
            <w:tcW w:w="637" w:type="pct"/>
            <w:shd w:val="clear" w:color="auto" w:fill="auto"/>
            <w:vAlign w:val="center"/>
          </w:tcPr>
          <w:p w14:paraId="2750AF80">
            <w:pPr>
              <w:widowControl/>
              <w:spacing w:before="78" w:beforeLines="25" w:after="78" w:afterLines="25" w:line="300" w:lineRule="auto"/>
              <w:jc w:val="center"/>
              <w:rPr>
                <w:rFonts w:ascii="Times New Roman" w:hAnsi="Times New Roman" w:eastAsia="宋体" w:cs="宋体"/>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 机 油</w:t>
            </w:r>
          </w:p>
        </w:tc>
        <w:tc>
          <w:tcPr>
            <w:tcW w:w="516" w:type="pct"/>
            <w:vAlign w:val="center"/>
          </w:tcPr>
          <w:p w14:paraId="5D699BF0">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24" w:type="pct"/>
            <w:vAlign w:val="center"/>
          </w:tcPr>
          <w:p w14:paraId="3790293E">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77" w:type="pct"/>
            <w:vAlign w:val="center"/>
          </w:tcPr>
          <w:p w14:paraId="308B0E4F">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40" w:type="pct"/>
            <w:vAlign w:val="center"/>
          </w:tcPr>
          <w:p w14:paraId="61B0BDEB">
            <w:pPr>
              <w:widowControl/>
              <w:spacing w:line="360" w:lineRule="auto"/>
              <w:jc w:val="center"/>
              <w:rPr>
                <w:rFonts w:hint="default" w:ascii="Times New Roman" w:hAnsi="Times New Roman" w:eastAsia="宋体" w:cs="宋体"/>
                <w:b/>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0.1</w:t>
            </w:r>
            <w:r>
              <w:rPr>
                <w:rFonts w:hint="eastAsia" w:ascii="Times New Roman" w:hAnsi="Times New Roman" w:eastAsia="宋体"/>
                <w:b/>
                <w:bCs/>
                <w:color w:val="000000" w:themeColor="text1"/>
                <w:szCs w:val="21"/>
                <w:highlight w:val="none"/>
                <w14:textFill>
                  <w14:solidFill>
                    <w14:schemeClr w14:val="tx1"/>
                  </w14:solidFill>
                </w14:textFill>
              </w:rPr>
              <w:t>t/a</w:t>
            </w:r>
          </w:p>
        </w:tc>
        <w:tc>
          <w:tcPr>
            <w:tcW w:w="606" w:type="pct"/>
            <w:vAlign w:val="center"/>
          </w:tcPr>
          <w:p w14:paraId="5472DCAD">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1679" w:type="dxa"/>
            <w:vAlign w:val="center"/>
          </w:tcPr>
          <w:p w14:paraId="5588BFCC">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0.1</w:t>
            </w:r>
            <w:r>
              <w:rPr>
                <w:rFonts w:hint="eastAsia" w:ascii="Times New Roman" w:hAnsi="Times New Roman" w:eastAsia="宋体"/>
                <w:b/>
                <w:bCs/>
                <w:color w:val="000000" w:themeColor="text1"/>
                <w:szCs w:val="21"/>
                <w:highlight w:val="none"/>
                <w14:textFill>
                  <w14:solidFill>
                    <w14:schemeClr w14:val="tx1"/>
                  </w14:solidFill>
                </w14:textFill>
              </w:rPr>
              <w:t>t/a</w:t>
            </w:r>
          </w:p>
        </w:tc>
        <w:tc>
          <w:tcPr>
            <w:tcW w:w="1615" w:type="dxa"/>
            <w:vAlign w:val="center"/>
          </w:tcPr>
          <w:p w14:paraId="7A32E4F9">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w:t>
            </w: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0.1</w:t>
            </w:r>
            <w:r>
              <w:rPr>
                <w:rFonts w:hint="eastAsia" w:ascii="Times New Roman" w:hAnsi="Times New Roman" w:eastAsia="宋体"/>
                <w:b/>
                <w:bCs/>
                <w:color w:val="000000" w:themeColor="text1"/>
                <w:szCs w:val="21"/>
                <w:highlight w:val="none"/>
                <w14:textFill>
                  <w14:solidFill>
                    <w14:schemeClr w14:val="tx1"/>
                  </w14:solidFill>
                </w14:textFill>
              </w:rPr>
              <w:t>t/a</w:t>
            </w:r>
          </w:p>
        </w:tc>
      </w:tr>
      <w:tr w14:paraId="1EAA8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15AD0C86">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shd w:val="clear" w:color="auto" w:fill="auto"/>
            <w:vAlign w:val="center"/>
          </w:tcPr>
          <w:p w14:paraId="2AC639F6">
            <w:pPr>
              <w:widowControl/>
              <w:spacing w:before="78" w:beforeLines="25" w:after="78" w:afterLines="25" w:line="300" w:lineRule="auto"/>
              <w:jc w:val="center"/>
              <w:rPr>
                <w:rFonts w:ascii="Times New Roman" w:hAnsi="Times New Roman" w:eastAsia="宋体" w:cs="宋体"/>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 油 桶</w:t>
            </w:r>
          </w:p>
        </w:tc>
        <w:tc>
          <w:tcPr>
            <w:tcW w:w="516" w:type="pct"/>
            <w:vAlign w:val="center"/>
          </w:tcPr>
          <w:p w14:paraId="11AA5E93">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24" w:type="pct"/>
            <w:vAlign w:val="center"/>
          </w:tcPr>
          <w:p w14:paraId="4FFAD676">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77" w:type="pct"/>
            <w:vAlign w:val="center"/>
          </w:tcPr>
          <w:p w14:paraId="65025B62">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40" w:type="pct"/>
            <w:vAlign w:val="center"/>
          </w:tcPr>
          <w:p w14:paraId="2678BBBC">
            <w:pPr>
              <w:widowControl/>
              <w:spacing w:line="360" w:lineRule="auto"/>
              <w:jc w:val="center"/>
              <w:rPr>
                <w:rFonts w:hint="default" w:ascii="Times New Roman" w:hAnsi="Times New Roman" w:eastAsia="宋体" w:cs="宋体"/>
                <w:b/>
                <w:bCs/>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0.02</w:t>
            </w:r>
            <w:r>
              <w:rPr>
                <w:rFonts w:hint="eastAsia" w:ascii="Times New Roman" w:hAnsi="Times New Roman" w:eastAsia="宋体"/>
                <w:b/>
                <w:bCs/>
                <w:color w:val="000000" w:themeColor="text1"/>
                <w:szCs w:val="21"/>
                <w:highlight w:val="none"/>
                <w14:textFill>
                  <w14:solidFill>
                    <w14:schemeClr w14:val="tx1"/>
                  </w14:solidFill>
                </w14:textFill>
              </w:rPr>
              <w:t>t/a</w:t>
            </w:r>
          </w:p>
        </w:tc>
        <w:tc>
          <w:tcPr>
            <w:tcW w:w="606" w:type="pct"/>
            <w:vAlign w:val="center"/>
          </w:tcPr>
          <w:p w14:paraId="00C6DBD0">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1679" w:type="dxa"/>
            <w:vAlign w:val="center"/>
          </w:tcPr>
          <w:p w14:paraId="67EB7D19">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0.02</w:t>
            </w:r>
            <w:r>
              <w:rPr>
                <w:rFonts w:hint="eastAsia" w:ascii="Times New Roman" w:hAnsi="Times New Roman" w:eastAsia="宋体"/>
                <w:b/>
                <w:bCs/>
                <w:color w:val="000000" w:themeColor="text1"/>
                <w:szCs w:val="21"/>
                <w:highlight w:val="none"/>
                <w14:textFill>
                  <w14:solidFill>
                    <w14:schemeClr w14:val="tx1"/>
                  </w14:solidFill>
                </w14:textFill>
              </w:rPr>
              <w:t>t/a</w:t>
            </w:r>
          </w:p>
        </w:tc>
        <w:tc>
          <w:tcPr>
            <w:tcW w:w="1615" w:type="dxa"/>
            <w:vAlign w:val="center"/>
          </w:tcPr>
          <w:p w14:paraId="502B0D50">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w:t>
            </w: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0.02</w:t>
            </w:r>
            <w:r>
              <w:rPr>
                <w:rFonts w:hint="eastAsia" w:ascii="Times New Roman" w:hAnsi="Times New Roman" w:eastAsia="宋体"/>
                <w:b/>
                <w:bCs/>
                <w:color w:val="000000" w:themeColor="text1"/>
                <w:szCs w:val="21"/>
                <w:highlight w:val="none"/>
                <w14:textFill>
                  <w14:solidFill>
                    <w14:schemeClr w14:val="tx1"/>
                  </w14:solidFill>
                </w14:textFill>
              </w:rPr>
              <w:t>t/a</w:t>
            </w:r>
          </w:p>
        </w:tc>
      </w:tr>
      <w:tr w14:paraId="060E5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23" w:type="pct"/>
            <w:vMerge w:val="continue"/>
            <w:vAlign w:val="center"/>
          </w:tcPr>
          <w:p w14:paraId="0E9EF6C5">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shd w:val="clear" w:color="auto" w:fill="auto"/>
            <w:vAlign w:val="center"/>
          </w:tcPr>
          <w:p w14:paraId="036D8D4E">
            <w:pPr>
              <w:widowControl/>
              <w:spacing w:before="78" w:beforeLines="25" w:after="78" w:afterLines="25" w:line="300" w:lineRule="auto"/>
              <w:jc w:val="center"/>
              <w:rPr>
                <w:rFonts w:ascii="Times New Roman" w:hAnsi="Times New Roman" w:eastAsia="宋体" w:cs="宋体"/>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含油废棉纱手套</w:t>
            </w:r>
          </w:p>
        </w:tc>
        <w:tc>
          <w:tcPr>
            <w:tcW w:w="516" w:type="pct"/>
            <w:vAlign w:val="center"/>
          </w:tcPr>
          <w:p w14:paraId="1CD2A37C">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24" w:type="pct"/>
            <w:vAlign w:val="center"/>
          </w:tcPr>
          <w:p w14:paraId="57D67DB9">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77" w:type="pct"/>
            <w:vAlign w:val="center"/>
          </w:tcPr>
          <w:p w14:paraId="5AA20C74">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40" w:type="pct"/>
            <w:vAlign w:val="center"/>
          </w:tcPr>
          <w:p w14:paraId="15C4ADB6">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0.05</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c>
          <w:tcPr>
            <w:tcW w:w="606" w:type="pct"/>
            <w:vAlign w:val="center"/>
          </w:tcPr>
          <w:p w14:paraId="3548E45A">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1679" w:type="dxa"/>
            <w:vAlign w:val="center"/>
          </w:tcPr>
          <w:p w14:paraId="486D243D">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0.05</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c>
          <w:tcPr>
            <w:tcW w:w="1615" w:type="dxa"/>
            <w:vAlign w:val="center"/>
          </w:tcPr>
          <w:p w14:paraId="1E14264F">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w:t>
            </w: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0.05</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r>
      <w:tr w14:paraId="346B7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5F1EEAD9">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shd w:val="clear" w:color="auto" w:fill="auto"/>
            <w:vAlign w:val="center"/>
          </w:tcPr>
          <w:p w14:paraId="4024653E">
            <w:pPr>
              <w:widowControl/>
              <w:spacing w:before="78" w:beforeLines="25" w:after="78" w:afterLines="25" w:line="300" w:lineRule="auto"/>
              <w:jc w:val="center"/>
              <w:rPr>
                <w:rFonts w:ascii="Times New Roman" w:hAnsi="Times New Roman" w:eastAsia="宋体" w:cs="宋体"/>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废活性炭</w:t>
            </w:r>
          </w:p>
        </w:tc>
        <w:tc>
          <w:tcPr>
            <w:tcW w:w="516" w:type="pct"/>
            <w:vAlign w:val="center"/>
          </w:tcPr>
          <w:p w14:paraId="4F4CD044">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24" w:type="pct"/>
            <w:vAlign w:val="center"/>
          </w:tcPr>
          <w:p w14:paraId="50DEAB40">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77" w:type="pct"/>
            <w:vAlign w:val="center"/>
          </w:tcPr>
          <w:p w14:paraId="095C9B55">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40" w:type="pct"/>
            <w:vAlign w:val="center"/>
          </w:tcPr>
          <w:p w14:paraId="40BFC0A1">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0.966</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c>
          <w:tcPr>
            <w:tcW w:w="606" w:type="pct"/>
            <w:vAlign w:val="center"/>
          </w:tcPr>
          <w:p w14:paraId="174DB589">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1679" w:type="dxa"/>
            <w:vAlign w:val="center"/>
          </w:tcPr>
          <w:p w14:paraId="1B3A0278">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0.966</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c>
          <w:tcPr>
            <w:tcW w:w="1615" w:type="dxa"/>
            <w:vAlign w:val="center"/>
          </w:tcPr>
          <w:p w14:paraId="1B7D63D4">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w:t>
            </w: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0.966</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r>
      <w:tr w14:paraId="46C47C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190B61AA">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shd w:val="clear" w:color="auto" w:fill="auto"/>
            <w:vAlign w:val="center"/>
          </w:tcPr>
          <w:p w14:paraId="64AE6AC2">
            <w:pPr>
              <w:widowControl/>
              <w:spacing w:before="78" w:beforeLines="25" w:after="78" w:afterLines="25" w:line="300" w:lineRule="auto"/>
              <w:jc w:val="center"/>
              <w:rPr>
                <w:rFonts w:ascii="Times New Roman" w:hAnsi="Times New Roman" w:eastAsia="宋体" w:cs="宋体"/>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bidi="ar"/>
                <w14:textFill>
                  <w14:solidFill>
                    <w14:schemeClr w14:val="tx1"/>
                  </w14:solidFill>
                </w14:textFill>
              </w:rPr>
              <w:t>废过滤棉</w:t>
            </w:r>
          </w:p>
        </w:tc>
        <w:tc>
          <w:tcPr>
            <w:tcW w:w="516" w:type="pct"/>
            <w:vAlign w:val="center"/>
          </w:tcPr>
          <w:p w14:paraId="12427091">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24" w:type="pct"/>
            <w:vAlign w:val="center"/>
          </w:tcPr>
          <w:p w14:paraId="19E52738">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77" w:type="pct"/>
            <w:vAlign w:val="center"/>
          </w:tcPr>
          <w:p w14:paraId="071E6032">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40" w:type="pct"/>
            <w:vAlign w:val="center"/>
          </w:tcPr>
          <w:p w14:paraId="335D1144">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0.0</w:t>
            </w: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5</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c>
          <w:tcPr>
            <w:tcW w:w="606" w:type="pct"/>
            <w:vAlign w:val="center"/>
          </w:tcPr>
          <w:p w14:paraId="146C32E6">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1679" w:type="dxa"/>
            <w:vAlign w:val="center"/>
          </w:tcPr>
          <w:p w14:paraId="15E96930">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0.0</w:t>
            </w: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5</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c>
          <w:tcPr>
            <w:tcW w:w="1615" w:type="dxa"/>
            <w:vAlign w:val="center"/>
          </w:tcPr>
          <w:p w14:paraId="367522CA">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0.0</w:t>
            </w: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5</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r>
      <w:tr w14:paraId="3F998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continue"/>
            <w:vAlign w:val="center"/>
          </w:tcPr>
          <w:p w14:paraId="5AF68FD0">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p>
        </w:tc>
        <w:tc>
          <w:tcPr>
            <w:tcW w:w="637" w:type="pct"/>
            <w:vAlign w:val="center"/>
          </w:tcPr>
          <w:p w14:paraId="3FF7F40E">
            <w:pPr>
              <w:widowControl/>
              <w:spacing w:line="360" w:lineRule="auto"/>
              <w:jc w:val="center"/>
              <w:rPr>
                <w:rFonts w:hint="eastAsia" w:ascii="Times New Roman" w:hAnsi="Times New Roman" w:eastAsia="宋体" w:cs="宋体"/>
                <w:color w:val="000000" w:themeColor="text1"/>
                <w:kern w:val="0"/>
                <w:szCs w:val="21"/>
                <w:highlight w:val="none"/>
                <w:lang w:eastAsia="zh-CN" w:bidi="ar"/>
                <w14:textFill>
                  <w14:solidFill>
                    <w14:schemeClr w14:val="tx1"/>
                  </w14:solidFill>
                </w14:textFill>
              </w:rPr>
            </w:pPr>
            <w:r>
              <w:rPr>
                <w:rFonts w:hint="eastAsia" w:ascii="Times New Roman" w:hAnsi="Times New Roman" w:eastAsia="宋体" w:cs="宋体"/>
                <w:color w:val="000000" w:themeColor="text1"/>
                <w:kern w:val="0"/>
                <w:szCs w:val="21"/>
                <w:highlight w:val="none"/>
                <w:lang w:eastAsia="zh-CN" w:bidi="ar"/>
                <w14:textFill>
                  <w14:solidFill>
                    <w14:schemeClr w14:val="tx1"/>
                  </w14:solidFill>
                </w14:textFill>
              </w:rPr>
              <w:t>空压机废油液</w:t>
            </w:r>
          </w:p>
        </w:tc>
        <w:tc>
          <w:tcPr>
            <w:tcW w:w="516" w:type="pct"/>
            <w:vAlign w:val="center"/>
          </w:tcPr>
          <w:p w14:paraId="265AA098">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24" w:type="pct"/>
            <w:vAlign w:val="center"/>
          </w:tcPr>
          <w:p w14:paraId="7DCFA315">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77" w:type="pct"/>
            <w:vAlign w:val="center"/>
          </w:tcPr>
          <w:p w14:paraId="21B061DB">
            <w:pPr>
              <w:pStyle w:val="38"/>
              <w:adjustRightInd/>
              <w:snapToGrid/>
              <w:spacing w:beforeLines="0" w:afterLines="0" w:line="360" w:lineRule="auto"/>
              <w:ind w:firstLine="0" w:firstLineChars="0"/>
              <w:rPr>
                <w:rFonts w:ascii="Times New Roman" w:cs="宋体"/>
                <w:b/>
                <w:bCs/>
                <w:color w:val="000000" w:themeColor="text1"/>
                <w:szCs w:val="21"/>
                <w:highlight w:val="none"/>
                <w:lang w:bidi="ar"/>
                <w14:textFill>
                  <w14:solidFill>
                    <w14:schemeClr w14:val="tx1"/>
                  </w14:solidFill>
                </w14:textFill>
              </w:rPr>
            </w:pPr>
            <w:r>
              <w:rPr>
                <w:rFonts w:hint="eastAsia" w:ascii="Times New Roman" w:cs="宋体"/>
                <w:b/>
                <w:bCs/>
                <w:color w:val="000000" w:themeColor="text1"/>
                <w:szCs w:val="21"/>
                <w:highlight w:val="none"/>
                <w:lang w:bidi="ar"/>
                <w14:textFill>
                  <w14:solidFill>
                    <w14:schemeClr w14:val="tx1"/>
                  </w14:solidFill>
                </w14:textFill>
              </w:rPr>
              <w:t>/</w:t>
            </w:r>
          </w:p>
        </w:tc>
        <w:tc>
          <w:tcPr>
            <w:tcW w:w="540" w:type="pct"/>
            <w:vAlign w:val="center"/>
          </w:tcPr>
          <w:p w14:paraId="06A6C08A">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0.1</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c>
          <w:tcPr>
            <w:tcW w:w="606" w:type="pct"/>
            <w:vAlign w:val="center"/>
          </w:tcPr>
          <w:p w14:paraId="46352787">
            <w:pPr>
              <w:pStyle w:val="38"/>
              <w:adjustRightInd/>
              <w:snapToGrid/>
              <w:spacing w:beforeLines="0" w:afterLines="0" w:line="360" w:lineRule="auto"/>
              <w:ind w:firstLine="0" w:firstLineChars="0"/>
              <w:rPr>
                <w:rFonts w:ascii="Times New Roman" w:cs="宋体"/>
                <w:b/>
                <w:bCs/>
                <w:snapToGrid w:val="0"/>
                <w:color w:val="000000" w:themeColor="text1"/>
                <w:kern w:val="21"/>
                <w:szCs w:val="21"/>
                <w:highlight w:val="none"/>
                <w14:textFill>
                  <w14:solidFill>
                    <w14:schemeClr w14:val="tx1"/>
                  </w14:solidFill>
                </w14:textFill>
              </w:rPr>
            </w:pPr>
            <w:r>
              <w:rPr>
                <w:rFonts w:hint="eastAsia" w:ascii="Times New Roman" w:cs="宋体"/>
                <w:b/>
                <w:bCs/>
                <w:snapToGrid w:val="0"/>
                <w:color w:val="000000" w:themeColor="text1"/>
                <w:kern w:val="21"/>
                <w:szCs w:val="21"/>
                <w:highlight w:val="none"/>
                <w14:textFill>
                  <w14:solidFill>
                    <w14:schemeClr w14:val="tx1"/>
                  </w14:solidFill>
                </w14:textFill>
              </w:rPr>
              <w:t>0</w:t>
            </w:r>
          </w:p>
        </w:tc>
        <w:tc>
          <w:tcPr>
            <w:tcW w:w="1679" w:type="dxa"/>
            <w:vAlign w:val="center"/>
          </w:tcPr>
          <w:p w14:paraId="003A4522">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0.1</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c>
          <w:tcPr>
            <w:tcW w:w="1615" w:type="dxa"/>
            <w:vAlign w:val="center"/>
          </w:tcPr>
          <w:p w14:paraId="567AC9B8">
            <w:pPr>
              <w:widowControl/>
              <w:spacing w:line="360" w:lineRule="auto"/>
              <w:jc w:val="center"/>
              <w:rPr>
                <w:rFonts w:ascii="Times New Roman" w:hAnsi="Times New Roman" w:eastAsia="宋体" w:cs="宋体"/>
                <w:b/>
                <w:bCs/>
                <w:color w:val="000000" w:themeColor="text1"/>
                <w:kern w:val="0"/>
                <w:szCs w:val="21"/>
                <w:highlight w:val="none"/>
                <w:lang w:bidi="ar"/>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w:t>
            </w:r>
            <w:r>
              <w:rPr>
                <w:rFonts w:hint="eastAsia" w:ascii="Times New Roman" w:hAnsi="Times New Roman" w:eastAsia="宋体" w:cs="宋体"/>
                <w:b/>
                <w:bCs/>
                <w:color w:val="000000" w:themeColor="text1"/>
                <w:kern w:val="0"/>
                <w:szCs w:val="21"/>
                <w:highlight w:val="none"/>
                <w:lang w:val="en-US" w:eastAsia="zh-CN" w:bidi="ar"/>
                <w14:textFill>
                  <w14:solidFill>
                    <w14:schemeClr w14:val="tx1"/>
                  </w14:solidFill>
                </w14:textFill>
              </w:rPr>
              <w:t>0.1</w:t>
            </w:r>
            <w:r>
              <w:rPr>
                <w:rFonts w:hint="eastAsia" w:ascii="Times New Roman" w:hAnsi="Times New Roman" w:eastAsia="宋体" w:cs="宋体"/>
                <w:b/>
                <w:bCs/>
                <w:color w:val="000000" w:themeColor="text1"/>
                <w:kern w:val="0"/>
                <w:szCs w:val="21"/>
                <w:highlight w:val="none"/>
                <w:lang w:bidi="ar"/>
                <w14:textFill>
                  <w14:solidFill>
                    <w14:schemeClr w14:val="tx1"/>
                  </w14:solidFill>
                </w14:textFill>
              </w:rPr>
              <w:t>t/a</w:t>
            </w:r>
          </w:p>
        </w:tc>
      </w:tr>
    </w:tbl>
    <w:p w14:paraId="7F5D0797">
      <w:pPr>
        <w:pStyle w:val="38"/>
        <w:adjustRightInd/>
        <w:snapToGrid/>
        <w:spacing w:beforeLines="0" w:afterLines="0" w:line="360" w:lineRule="auto"/>
        <w:jc w:val="both"/>
        <w:rPr>
          <w:rFonts w:ascii="Times New Roman"/>
          <w:color w:val="000000" w:themeColor="text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注：</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ascii="Times New Roman"/>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ascii="Times New Roman"/>
          <w:color w:val="000000" w:themeColor="text1"/>
          <w:szCs w:val="21"/>
          <w:highlight w:val="none"/>
          <w14:textFill>
            <w14:solidFill>
              <w14:schemeClr w14:val="tx1"/>
            </w14:solidFill>
          </w14:textFill>
        </w:rPr>
        <w:t>③</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ascii="Times New Roman"/>
          <w:color w:val="000000" w:themeColor="text1"/>
          <w:szCs w:val="21"/>
          <w:highlight w:val="none"/>
          <w14:textFill>
            <w14:solidFill>
              <w14:schemeClr w14:val="tx1"/>
            </w14:solidFill>
          </w14:textFill>
        </w:rPr>
        <w:t>④</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color w:val="000000" w:themeColor="text1"/>
          <w:szCs w:val="21"/>
          <w:highlight w:val="none"/>
          <w14:textFill>
            <w14:solidFill>
              <w14:schemeClr w14:val="tx1"/>
            </w14:solidFill>
          </w14:textFill>
        </w:rPr>
        <w:t>⑤</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ascii="Times New Roman"/>
          <w:color w:val="000000" w:themeColor="text1"/>
          <w:szCs w:val="21"/>
          <w:highlight w:val="none"/>
          <w14:textFill>
            <w14:solidFill>
              <w14:schemeClr w14:val="tx1"/>
            </w14:solidFill>
          </w14:textFill>
        </w:rPr>
        <w:t>⑦</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ascii="Times New Roman"/>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p>
    <w:sectPr>
      <w:footerReference r:id="rId4" w:type="default"/>
      <w:pgSz w:w="16838" w:h="11906" w:orient="landscape"/>
      <w:pgMar w:top="1514" w:right="1440" w:bottom="1344"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10" w:usb3="00000000" w:csb0="0006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155B2">
    <w:pPr>
      <w:pStyle w:val="14"/>
    </w:pPr>
    <w:r>
      <mc:AlternateContent>
        <mc:Choice Requires="wps">
          <w:drawing>
            <wp:anchor distT="0" distB="0" distL="114300" distR="114300" simplePos="0" relativeHeight="251659264" behindDoc="0" locked="0" layoutInCell="1" allowOverlap="1">
              <wp:simplePos x="0" y="0"/>
              <wp:positionH relativeFrom="margin">
                <wp:posOffset>2742565</wp:posOffset>
              </wp:positionH>
              <wp:positionV relativeFrom="paragraph">
                <wp:posOffset>-25400</wp:posOffset>
              </wp:positionV>
              <wp:extent cx="50673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067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E94E13">
                          <w:pPr>
                            <w:pStyle w:val="14"/>
                            <w:snapToGrid/>
                            <w:spacing w:line="360" w:lineRule="auto"/>
                            <w:jc w:val="center"/>
                            <w:rPr>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sz w:val="24"/>
                            </w:rPr>
                            <w:t>1</w:t>
                          </w:r>
                          <w:r>
                            <w:rPr>
                              <w:rFonts w:ascii="Times New Roman" w:hAnsi="Times New Roman"/>
                              <w:sz w:val="24"/>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5.95pt;margin-top:-2pt;height:144pt;width:39.9pt;mso-position-horizontal-relative:margin;z-index:251659264;mso-width-relative:page;mso-height-relative:page;" filled="f" stroked="f" coordsize="21600,21600" o:gfxdata="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1IZRj2QAAAAoBAAAPAAAAAAAAAAEAIAAAACIAAABkcnMvZG93bnJldi54&#10;bWxQSwECFAAUAAAACACHTuJAQ2uwLjICAABWBAAADgAAAAAAAAABACAAAAAoAQAAZHJzL2Uyb0Rv&#10;Yy54bWxQSwUGAAAAAAYABgBZAQAAzAUAAAAA&#10;">
              <v:fill on="f" focussize="0,0"/>
              <v:stroke on="f" weight="0.5pt"/>
              <v:imagedata o:title=""/>
              <o:lock v:ext="edit" aspectratio="f"/>
              <v:textbox inset="0mm,0mm,0mm,0mm" style="mso-fit-shape-to-text:t;">
                <w:txbxContent>
                  <w:p w14:paraId="7AE94E13">
                    <w:pPr>
                      <w:pStyle w:val="14"/>
                      <w:snapToGrid/>
                      <w:spacing w:line="360" w:lineRule="auto"/>
                      <w:jc w:val="center"/>
                      <w:rPr>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sz w:val="24"/>
                      </w:rPr>
                      <w:t>1</w:t>
                    </w:r>
                    <w:r>
                      <w:rPr>
                        <w:rFonts w:ascii="Times New Roman" w:hAnsi="Times New Roman"/>
                        <w:sz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0490F">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C0EC0"/>
    <w:multiLevelType w:val="singleLevel"/>
    <w:tmpl w:val="8A0C0EC0"/>
    <w:lvl w:ilvl="0" w:tentative="0">
      <w:start w:val="1"/>
      <w:numFmt w:val="decimal"/>
      <w:lvlText w:val="%1."/>
      <w:lvlJc w:val="left"/>
      <w:pPr>
        <w:tabs>
          <w:tab w:val="left" w:pos="312"/>
        </w:tabs>
      </w:pPr>
    </w:lvl>
  </w:abstractNum>
  <w:abstractNum w:abstractNumId="1">
    <w:nsid w:val="993ABDE9"/>
    <w:multiLevelType w:val="singleLevel"/>
    <w:tmpl w:val="993ABDE9"/>
    <w:lvl w:ilvl="0" w:tentative="0">
      <w:start w:val="1"/>
      <w:numFmt w:val="decimal"/>
      <w:suff w:val="nothing"/>
      <w:lvlText w:val="%1、"/>
      <w:lvlJc w:val="left"/>
    </w:lvl>
  </w:abstractNum>
  <w:abstractNum w:abstractNumId="2">
    <w:nsid w:val="D5412BB8"/>
    <w:multiLevelType w:val="singleLevel"/>
    <w:tmpl w:val="D5412BB8"/>
    <w:lvl w:ilvl="0" w:tentative="0">
      <w:start w:val="1"/>
      <w:numFmt w:val="decimal"/>
      <w:lvlText w:val="%1."/>
      <w:lvlJc w:val="left"/>
      <w:pPr>
        <w:tabs>
          <w:tab w:val="left" w:pos="312"/>
        </w:tabs>
      </w:pPr>
    </w:lvl>
  </w:abstractNum>
  <w:abstractNum w:abstractNumId="3">
    <w:nsid w:val="0732809E"/>
    <w:multiLevelType w:val="singleLevel"/>
    <w:tmpl w:val="0732809E"/>
    <w:lvl w:ilvl="0" w:tentative="0">
      <w:start w:val="1"/>
      <w:numFmt w:val="decimal"/>
      <w:lvlText w:val="%1."/>
      <w:lvlJc w:val="left"/>
      <w:pPr>
        <w:tabs>
          <w:tab w:val="left" w:pos="312"/>
        </w:tabs>
      </w:pPr>
    </w:lvl>
  </w:abstractNum>
  <w:abstractNum w:abstractNumId="4">
    <w:nsid w:val="14942DD2"/>
    <w:multiLevelType w:val="singleLevel"/>
    <w:tmpl w:val="14942DD2"/>
    <w:lvl w:ilvl="0" w:tentative="0">
      <w:start w:val="1"/>
      <w:numFmt w:val="decimal"/>
      <w:suff w:val="nothing"/>
      <w:lvlText w:val="%1）"/>
      <w:lvlJc w:val="left"/>
    </w:lvl>
  </w:abstractNum>
  <w:abstractNum w:abstractNumId="5">
    <w:nsid w:val="23AF70FD"/>
    <w:multiLevelType w:val="singleLevel"/>
    <w:tmpl w:val="23AF70FD"/>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6">
    <w:nsid w:val="4B69313E"/>
    <w:multiLevelType w:val="singleLevel"/>
    <w:tmpl w:val="4B69313E"/>
    <w:lvl w:ilvl="0" w:tentative="0">
      <w:start w:val="3"/>
      <w:numFmt w:val="decimal"/>
      <w:suff w:val="nothing"/>
      <w:lvlText w:val="%1）"/>
      <w:lvlJc w:val="left"/>
    </w:lvl>
  </w:abstractNum>
  <w:abstractNum w:abstractNumId="7">
    <w:nsid w:val="7223DCE3"/>
    <w:multiLevelType w:val="singleLevel"/>
    <w:tmpl w:val="7223DCE3"/>
    <w:lvl w:ilvl="0" w:tentative="0">
      <w:start w:val="1"/>
      <w:numFmt w:val="bullet"/>
      <w:lvlText w:val=""/>
      <w:lvlJc w:val="left"/>
      <w:pPr>
        <w:ind w:left="420" w:hanging="420"/>
      </w:pPr>
      <w:rPr>
        <w:rFonts w:hint="default" w:ascii="Wingdings" w:hAnsi="Wingdings"/>
      </w:rPr>
    </w:lvl>
  </w:abstractNum>
  <w:num w:numId="1">
    <w:abstractNumId w:val="5"/>
  </w:num>
  <w:num w:numId="2">
    <w:abstractNumId w:val="3"/>
  </w:num>
  <w:num w:numId="3">
    <w:abstractNumId w:val="2"/>
  </w:num>
  <w:num w:numId="4">
    <w:abstractNumId w:val="0"/>
  </w:num>
  <w:num w:numId="5">
    <w:abstractNumId w:val="4"/>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4ZWJiMTk3ZDc4ZDhiMGI4MzhlOGUxZDFjZTNmNGUifQ=="/>
  </w:docVars>
  <w:rsids>
    <w:rsidRoot w:val="59432FD2"/>
    <w:rsid w:val="000273EC"/>
    <w:rsid w:val="0002776C"/>
    <w:rsid w:val="00053F92"/>
    <w:rsid w:val="00056E9B"/>
    <w:rsid w:val="00076FFB"/>
    <w:rsid w:val="0011760F"/>
    <w:rsid w:val="00124228"/>
    <w:rsid w:val="001B30A2"/>
    <w:rsid w:val="001E0884"/>
    <w:rsid w:val="001E39D2"/>
    <w:rsid w:val="0021759E"/>
    <w:rsid w:val="002200F8"/>
    <w:rsid w:val="002232FE"/>
    <w:rsid w:val="0023190F"/>
    <w:rsid w:val="00257CE8"/>
    <w:rsid w:val="00272266"/>
    <w:rsid w:val="00313F91"/>
    <w:rsid w:val="003C4C8A"/>
    <w:rsid w:val="00423F72"/>
    <w:rsid w:val="004C2262"/>
    <w:rsid w:val="004E2418"/>
    <w:rsid w:val="00575E70"/>
    <w:rsid w:val="00597433"/>
    <w:rsid w:val="005A4686"/>
    <w:rsid w:val="005C13A3"/>
    <w:rsid w:val="005C74BF"/>
    <w:rsid w:val="00666E5B"/>
    <w:rsid w:val="00712B7C"/>
    <w:rsid w:val="00734E3E"/>
    <w:rsid w:val="007D470B"/>
    <w:rsid w:val="007E55BB"/>
    <w:rsid w:val="008322BB"/>
    <w:rsid w:val="0083333F"/>
    <w:rsid w:val="0089540A"/>
    <w:rsid w:val="00907E67"/>
    <w:rsid w:val="009339CD"/>
    <w:rsid w:val="00963AC9"/>
    <w:rsid w:val="00986A9B"/>
    <w:rsid w:val="009B2C03"/>
    <w:rsid w:val="009F3231"/>
    <w:rsid w:val="009F49BA"/>
    <w:rsid w:val="00A16861"/>
    <w:rsid w:val="00AA7CFF"/>
    <w:rsid w:val="00AB7CAF"/>
    <w:rsid w:val="00AC6BF1"/>
    <w:rsid w:val="00B5311A"/>
    <w:rsid w:val="00B814F0"/>
    <w:rsid w:val="00B86D8C"/>
    <w:rsid w:val="00BD08F9"/>
    <w:rsid w:val="00D95977"/>
    <w:rsid w:val="00E92BEC"/>
    <w:rsid w:val="00ED2098"/>
    <w:rsid w:val="00F7024C"/>
    <w:rsid w:val="00FC4FB8"/>
    <w:rsid w:val="00FF7C0E"/>
    <w:rsid w:val="01072267"/>
    <w:rsid w:val="01273BEB"/>
    <w:rsid w:val="01437051"/>
    <w:rsid w:val="015152F8"/>
    <w:rsid w:val="016C6E37"/>
    <w:rsid w:val="01D505DE"/>
    <w:rsid w:val="01DE4F25"/>
    <w:rsid w:val="01EB1405"/>
    <w:rsid w:val="01F276D2"/>
    <w:rsid w:val="01F57643"/>
    <w:rsid w:val="01F80A87"/>
    <w:rsid w:val="02314B61"/>
    <w:rsid w:val="025B5E97"/>
    <w:rsid w:val="02624152"/>
    <w:rsid w:val="0297204E"/>
    <w:rsid w:val="02B26E88"/>
    <w:rsid w:val="02BF0D61"/>
    <w:rsid w:val="02C44E0D"/>
    <w:rsid w:val="02E334E5"/>
    <w:rsid w:val="030F4150"/>
    <w:rsid w:val="031217FD"/>
    <w:rsid w:val="031A4A2D"/>
    <w:rsid w:val="032558AB"/>
    <w:rsid w:val="033F2F13"/>
    <w:rsid w:val="034D4E02"/>
    <w:rsid w:val="035F22B0"/>
    <w:rsid w:val="03653EFA"/>
    <w:rsid w:val="037D61DE"/>
    <w:rsid w:val="03967E96"/>
    <w:rsid w:val="03B66B3A"/>
    <w:rsid w:val="03D1333D"/>
    <w:rsid w:val="03D177FD"/>
    <w:rsid w:val="042C0EBC"/>
    <w:rsid w:val="045A1585"/>
    <w:rsid w:val="04A24CDA"/>
    <w:rsid w:val="04A71B2E"/>
    <w:rsid w:val="04C9670A"/>
    <w:rsid w:val="05071DB4"/>
    <w:rsid w:val="05214BE3"/>
    <w:rsid w:val="05232E4B"/>
    <w:rsid w:val="05341DD6"/>
    <w:rsid w:val="05427A88"/>
    <w:rsid w:val="05AA02EA"/>
    <w:rsid w:val="05ED58B4"/>
    <w:rsid w:val="05F002E4"/>
    <w:rsid w:val="06067F94"/>
    <w:rsid w:val="060D0FFA"/>
    <w:rsid w:val="064650C7"/>
    <w:rsid w:val="065C6991"/>
    <w:rsid w:val="067D59FE"/>
    <w:rsid w:val="06A04125"/>
    <w:rsid w:val="06A80EB6"/>
    <w:rsid w:val="06B37672"/>
    <w:rsid w:val="06E10084"/>
    <w:rsid w:val="06E20D47"/>
    <w:rsid w:val="0730192B"/>
    <w:rsid w:val="074A3B33"/>
    <w:rsid w:val="075515E9"/>
    <w:rsid w:val="075D7DCE"/>
    <w:rsid w:val="07A34FF1"/>
    <w:rsid w:val="07A93109"/>
    <w:rsid w:val="07AC3A8E"/>
    <w:rsid w:val="07FF744E"/>
    <w:rsid w:val="082878F9"/>
    <w:rsid w:val="084542FA"/>
    <w:rsid w:val="08602580"/>
    <w:rsid w:val="087B41C0"/>
    <w:rsid w:val="088968DD"/>
    <w:rsid w:val="08955281"/>
    <w:rsid w:val="08A74FB5"/>
    <w:rsid w:val="08CF72C6"/>
    <w:rsid w:val="08F403BC"/>
    <w:rsid w:val="08FD4BD5"/>
    <w:rsid w:val="09006494"/>
    <w:rsid w:val="09075A53"/>
    <w:rsid w:val="0920478D"/>
    <w:rsid w:val="09246605"/>
    <w:rsid w:val="09657E30"/>
    <w:rsid w:val="09773D0A"/>
    <w:rsid w:val="09955E1A"/>
    <w:rsid w:val="09972CBF"/>
    <w:rsid w:val="09C1299A"/>
    <w:rsid w:val="09DE0562"/>
    <w:rsid w:val="09E42637"/>
    <w:rsid w:val="09ED2E9B"/>
    <w:rsid w:val="0A195A3E"/>
    <w:rsid w:val="0A310FDA"/>
    <w:rsid w:val="0A924302"/>
    <w:rsid w:val="0A9C17F9"/>
    <w:rsid w:val="0ABA6B90"/>
    <w:rsid w:val="0AED7922"/>
    <w:rsid w:val="0B3F14D4"/>
    <w:rsid w:val="0B3F4299"/>
    <w:rsid w:val="0B472961"/>
    <w:rsid w:val="0B7A250D"/>
    <w:rsid w:val="0B8B45C5"/>
    <w:rsid w:val="0B980BE5"/>
    <w:rsid w:val="0B9E444D"/>
    <w:rsid w:val="0BC67500"/>
    <w:rsid w:val="0BFD4C00"/>
    <w:rsid w:val="0C0E7CC4"/>
    <w:rsid w:val="0C3A2BCE"/>
    <w:rsid w:val="0C450D6C"/>
    <w:rsid w:val="0C48260B"/>
    <w:rsid w:val="0C651B4A"/>
    <w:rsid w:val="0C7C6B53"/>
    <w:rsid w:val="0CA23699"/>
    <w:rsid w:val="0CAA3BC4"/>
    <w:rsid w:val="0CC33225"/>
    <w:rsid w:val="0CE822DB"/>
    <w:rsid w:val="0D2A2B52"/>
    <w:rsid w:val="0D2D5468"/>
    <w:rsid w:val="0D3025D6"/>
    <w:rsid w:val="0D4525A2"/>
    <w:rsid w:val="0DB77A48"/>
    <w:rsid w:val="0DBA1AAF"/>
    <w:rsid w:val="0E26003F"/>
    <w:rsid w:val="0E2A1FC8"/>
    <w:rsid w:val="0E356576"/>
    <w:rsid w:val="0E3966AF"/>
    <w:rsid w:val="0E7742F1"/>
    <w:rsid w:val="0E7C4A20"/>
    <w:rsid w:val="0EAA1260"/>
    <w:rsid w:val="0EE23282"/>
    <w:rsid w:val="0EF14996"/>
    <w:rsid w:val="0F0071CD"/>
    <w:rsid w:val="0F051746"/>
    <w:rsid w:val="0F184516"/>
    <w:rsid w:val="0F57387A"/>
    <w:rsid w:val="0FAD1102"/>
    <w:rsid w:val="0FB75ADD"/>
    <w:rsid w:val="0FBD54FC"/>
    <w:rsid w:val="0FC65D20"/>
    <w:rsid w:val="0FDA5C70"/>
    <w:rsid w:val="0FF80960"/>
    <w:rsid w:val="0FFD6F1F"/>
    <w:rsid w:val="1006130B"/>
    <w:rsid w:val="102C164B"/>
    <w:rsid w:val="10341769"/>
    <w:rsid w:val="105053C6"/>
    <w:rsid w:val="10524978"/>
    <w:rsid w:val="1097590F"/>
    <w:rsid w:val="10DB1CB0"/>
    <w:rsid w:val="11047F88"/>
    <w:rsid w:val="1110186D"/>
    <w:rsid w:val="11211F84"/>
    <w:rsid w:val="1131366D"/>
    <w:rsid w:val="113B6AD9"/>
    <w:rsid w:val="114F7F97"/>
    <w:rsid w:val="116D2210"/>
    <w:rsid w:val="116F37FB"/>
    <w:rsid w:val="11701DC9"/>
    <w:rsid w:val="117B5139"/>
    <w:rsid w:val="11B84B99"/>
    <w:rsid w:val="11CA3CC3"/>
    <w:rsid w:val="11D20C23"/>
    <w:rsid w:val="11E76422"/>
    <w:rsid w:val="1235718D"/>
    <w:rsid w:val="12464D80"/>
    <w:rsid w:val="12575356"/>
    <w:rsid w:val="12595987"/>
    <w:rsid w:val="12891287"/>
    <w:rsid w:val="129D771A"/>
    <w:rsid w:val="12BB2F1D"/>
    <w:rsid w:val="12CB18A0"/>
    <w:rsid w:val="12D544CC"/>
    <w:rsid w:val="12E65B46"/>
    <w:rsid w:val="130328E2"/>
    <w:rsid w:val="131955DF"/>
    <w:rsid w:val="131B71D5"/>
    <w:rsid w:val="133828A6"/>
    <w:rsid w:val="13BA3984"/>
    <w:rsid w:val="13CE1647"/>
    <w:rsid w:val="13D22566"/>
    <w:rsid w:val="13DA543F"/>
    <w:rsid w:val="13E7095B"/>
    <w:rsid w:val="13E70E2E"/>
    <w:rsid w:val="14225C3D"/>
    <w:rsid w:val="142676D5"/>
    <w:rsid w:val="14477D6F"/>
    <w:rsid w:val="14481D3D"/>
    <w:rsid w:val="144C103D"/>
    <w:rsid w:val="144D4C62"/>
    <w:rsid w:val="14576279"/>
    <w:rsid w:val="14830684"/>
    <w:rsid w:val="1485628D"/>
    <w:rsid w:val="148A7C64"/>
    <w:rsid w:val="149B39D2"/>
    <w:rsid w:val="14A718D7"/>
    <w:rsid w:val="14A75934"/>
    <w:rsid w:val="14B04F4C"/>
    <w:rsid w:val="14C52A4A"/>
    <w:rsid w:val="14CB5B87"/>
    <w:rsid w:val="14F96B98"/>
    <w:rsid w:val="152D1520"/>
    <w:rsid w:val="153951E6"/>
    <w:rsid w:val="154F6D36"/>
    <w:rsid w:val="15934D58"/>
    <w:rsid w:val="15D31197"/>
    <w:rsid w:val="15E45152"/>
    <w:rsid w:val="15F4486A"/>
    <w:rsid w:val="164A04E0"/>
    <w:rsid w:val="164E20A4"/>
    <w:rsid w:val="16504596"/>
    <w:rsid w:val="16585B40"/>
    <w:rsid w:val="16B07EDF"/>
    <w:rsid w:val="16CF7BB0"/>
    <w:rsid w:val="16DC74A2"/>
    <w:rsid w:val="172D2A2F"/>
    <w:rsid w:val="17C81D4D"/>
    <w:rsid w:val="17D7417D"/>
    <w:rsid w:val="17DB07D7"/>
    <w:rsid w:val="17ED4832"/>
    <w:rsid w:val="17F92A89"/>
    <w:rsid w:val="18097A97"/>
    <w:rsid w:val="18393634"/>
    <w:rsid w:val="189D5A8C"/>
    <w:rsid w:val="18D771EB"/>
    <w:rsid w:val="191304FC"/>
    <w:rsid w:val="19265A82"/>
    <w:rsid w:val="19285D6D"/>
    <w:rsid w:val="19567F39"/>
    <w:rsid w:val="19631874"/>
    <w:rsid w:val="197E67D1"/>
    <w:rsid w:val="19C5529B"/>
    <w:rsid w:val="19F5349B"/>
    <w:rsid w:val="1A0873EE"/>
    <w:rsid w:val="1A0B783C"/>
    <w:rsid w:val="1A1862D0"/>
    <w:rsid w:val="1A25318C"/>
    <w:rsid w:val="1A3B010B"/>
    <w:rsid w:val="1A3E70D7"/>
    <w:rsid w:val="1A6C5716"/>
    <w:rsid w:val="1A9315F3"/>
    <w:rsid w:val="1AAD645B"/>
    <w:rsid w:val="1AB34182"/>
    <w:rsid w:val="1AE50ED5"/>
    <w:rsid w:val="1AEE0919"/>
    <w:rsid w:val="1AF8344E"/>
    <w:rsid w:val="1AFF4CA5"/>
    <w:rsid w:val="1B242214"/>
    <w:rsid w:val="1B410951"/>
    <w:rsid w:val="1B8847D2"/>
    <w:rsid w:val="1B8B03B5"/>
    <w:rsid w:val="1BBE091B"/>
    <w:rsid w:val="1BFB31F6"/>
    <w:rsid w:val="1C121F5C"/>
    <w:rsid w:val="1C38023E"/>
    <w:rsid w:val="1C44743E"/>
    <w:rsid w:val="1C4B07BF"/>
    <w:rsid w:val="1C4B5294"/>
    <w:rsid w:val="1C7F4184"/>
    <w:rsid w:val="1C9A0C60"/>
    <w:rsid w:val="1CA23D6F"/>
    <w:rsid w:val="1D201627"/>
    <w:rsid w:val="1D24677C"/>
    <w:rsid w:val="1D41732E"/>
    <w:rsid w:val="1D4806BC"/>
    <w:rsid w:val="1D493750"/>
    <w:rsid w:val="1D5B3188"/>
    <w:rsid w:val="1DA95085"/>
    <w:rsid w:val="1DB44EAA"/>
    <w:rsid w:val="1DD7559C"/>
    <w:rsid w:val="1DE27A9B"/>
    <w:rsid w:val="1E396257"/>
    <w:rsid w:val="1E401394"/>
    <w:rsid w:val="1E7135D0"/>
    <w:rsid w:val="1E7A67ED"/>
    <w:rsid w:val="1EA21FDF"/>
    <w:rsid w:val="1EEA3E98"/>
    <w:rsid w:val="1EEE63C4"/>
    <w:rsid w:val="1EFB4FE8"/>
    <w:rsid w:val="1EFC5B76"/>
    <w:rsid w:val="1F074B01"/>
    <w:rsid w:val="1F3516FD"/>
    <w:rsid w:val="1F4B6242"/>
    <w:rsid w:val="1F503858"/>
    <w:rsid w:val="1F521022"/>
    <w:rsid w:val="1F670A9D"/>
    <w:rsid w:val="1FB1462D"/>
    <w:rsid w:val="1FB635F7"/>
    <w:rsid w:val="1FCA6C57"/>
    <w:rsid w:val="20003331"/>
    <w:rsid w:val="202C43E4"/>
    <w:rsid w:val="203A702A"/>
    <w:rsid w:val="203E5453"/>
    <w:rsid w:val="204C5B97"/>
    <w:rsid w:val="206E2046"/>
    <w:rsid w:val="20A7060F"/>
    <w:rsid w:val="20DF4E94"/>
    <w:rsid w:val="211344C0"/>
    <w:rsid w:val="21162880"/>
    <w:rsid w:val="217428B7"/>
    <w:rsid w:val="217A4BBD"/>
    <w:rsid w:val="21862017"/>
    <w:rsid w:val="2194133D"/>
    <w:rsid w:val="21C978F2"/>
    <w:rsid w:val="21D51EED"/>
    <w:rsid w:val="21F44C63"/>
    <w:rsid w:val="21FC1A76"/>
    <w:rsid w:val="222D60D3"/>
    <w:rsid w:val="223B69ED"/>
    <w:rsid w:val="2277734E"/>
    <w:rsid w:val="228F46A5"/>
    <w:rsid w:val="22A04AF7"/>
    <w:rsid w:val="22AD0665"/>
    <w:rsid w:val="22C00CF5"/>
    <w:rsid w:val="22FE16EC"/>
    <w:rsid w:val="23140EEC"/>
    <w:rsid w:val="23157720"/>
    <w:rsid w:val="23303578"/>
    <w:rsid w:val="23836CCE"/>
    <w:rsid w:val="23AC6A02"/>
    <w:rsid w:val="23AE0B4E"/>
    <w:rsid w:val="23DD70FB"/>
    <w:rsid w:val="23F70746"/>
    <w:rsid w:val="2422439F"/>
    <w:rsid w:val="24424E18"/>
    <w:rsid w:val="246165B7"/>
    <w:rsid w:val="24743B45"/>
    <w:rsid w:val="24BD18D5"/>
    <w:rsid w:val="24EA2C30"/>
    <w:rsid w:val="24FC4CE5"/>
    <w:rsid w:val="2526735F"/>
    <w:rsid w:val="253A5C70"/>
    <w:rsid w:val="25457290"/>
    <w:rsid w:val="254C6FAD"/>
    <w:rsid w:val="255C0ABF"/>
    <w:rsid w:val="256516E0"/>
    <w:rsid w:val="2579278C"/>
    <w:rsid w:val="25AB3597"/>
    <w:rsid w:val="25B173A7"/>
    <w:rsid w:val="25E43467"/>
    <w:rsid w:val="26263565"/>
    <w:rsid w:val="265754CC"/>
    <w:rsid w:val="265A6D6B"/>
    <w:rsid w:val="266516BA"/>
    <w:rsid w:val="268E4D63"/>
    <w:rsid w:val="269229A8"/>
    <w:rsid w:val="26975780"/>
    <w:rsid w:val="270F6E0D"/>
    <w:rsid w:val="27105248"/>
    <w:rsid w:val="2730596F"/>
    <w:rsid w:val="273332C4"/>
    <w:rsid w:val="275E042F"/>
    <w:rsid w:val="27642C26"/>
    <w:rsid w:val="27653C19"/>
    <w:rsid w:val="277567C0"/>
    <w:rsid w:val="277B51EB"/>
    <w:rsid w:val="277D1809"/>
    <w:rsid w:val="27871DE1"/>
    <w:rsid w:val="2790513A"/>
    <w:rsid w:val="27D175DC"/>
    <w:rsid w:val="27DA3C53"/>
    <w:rsid w:val="28151FC1"/>
    <w:rsid w:val="28212236"/>
    <w:rsid w:val="28381C5F"/>
    <w:rsid w:val="28417C31"/>
    <w:rsid w:val="28483005"/>
    <w:rsid w:val="288B3B53"/>
    <w:rsid w:val="28AA20CB"/>
    <w:rsid w:val="28B26B0F"/>
    <w:rsid w:val="28B93C10"/>
    <w:rsid w:val="28CD1EBE"/>
    <w:rsid w:val="28D73993"/>
    <w:rsid w:val="29694E58"/>
    <w:rsid w:val="296D0CD1"/>
    <w:rsid w:val="2996455E"/>
    <w:rsid w:val="29A75078"/>
    <w:rsid w:val="29CF13F3"/>
    <w:rsid w:val="29E90B31"/>
    <w:rsid w:val="29F92BBD"/>
    <w:rsid w:val="29FF7471"/>
    <w:rsid w:val="2A0B4A8F"/>
    <w:rsid w:val="2A1D2496"/>
    <w:rsid w:val="2A21637A"/>
    <w:rsid w:val="2A2878AC"/>
    <w:rsid w:val="2A2B739C"/>
    <w:rsid w:val="2A6C7EF6"/>
    <w:rsid w:val="2A8B4C8A"/>
    <w:rsid w:val="2ADD37A4"/>
    <w:rsid w:val="2B121E9A"/>
    <w:rsid w:val="2B91654B"/>
    <w:rsid w:val="2B9A7E5F"/>
    <w:rsid w:val="2BBE50F8"/>
    <w:rsid w:val="2C484A78"/>
    <w:rsid w:val="2C700C92"/>
    <w:rsid w:val="2C7728FD"/>
    <w:rsid w:val="2C793980"/>
    <w:rsid w:val="2CE4727B"/>
    <w:rsid w:val="2CED77DE"/>
    <w:rsid w:val="2CF54038"/>
    <w:rsid w:val="2D0637A8"/>
    <w:rsid w:val="2D1E6D44"/>
    <w:rsid w:val="2D2F0F51"/>
    <w:rsid w:val="2D811081"/>
    <w:rsid w:val="2DD815E9"/>
    <w:rsid w:val="2DDC0906"/>
    <w:rsid w:val="2DFA703E"/>
    <w:rsid w:val="2E0C3DEB"/>
    <w:rsid w:val="2E272F6B"/>
    <w:rsid w:val="2E2E4DE6"/>
    <w:rsid w:val="2E490532"/>
    <w:rsid w:val="2E62055B"/>
    <w:rsid w:val="2E652751"/>
    <w:rsid w:val="2E841394"/>
    <w:rsid w:val="2E8928E3"/>
    <w:rsid w:val="2EB103AC"/>
    <w:rsid w:val="2F0361F1"/>
    <w:rsid w:val="2F281646"/>
    <w:rsid w:val="2F2F5238"/>
    <w:rsid w:val="2F3A598B"/>
    <w:rsid w:val="2FEE3B30"/>
    <w:rsid w:val="2FF558A8"/>
    <w:rsid w:val="30234671"/>
    <w:rsid w:val="30422D49"/>
    <w:rsid w:val="30532F8E"/>
    <w:rsid w:val="3062163D"/>
    <w:rsid w:val="30710775"/>
    <w:rsid w:val="3093171A"/>
    <w:rsid w:val="30BB7C42"/>
    <w:rsid w:val="312863E3"/>
    <w:rsid w:val="316311C9"/>
    <w:rsid w:val="31FA3731"/>
    <w:rsid w:val="320F30FF"/>
    <w:rsid w:val="321330B3"/>
    <w:rsid w:val="321B497C"/>
    <w:rsid w:val="3263489C"/>
    <w:rsid w:val="32763509"/>
    <w:rsid w:val="328E083B"/>
    <w:rsid w:val="32AB72CC"/>
    <w:rsid w:val="32B326B3"/>
    <w:rsid w:val="32D2023D"/>
    <w:rsid w:val="32DF2AD1"/>
    <w:rsid w:val="330E785B"/>
    <w:rsid w:val="33226BEB"/>
    <w:rsid w:val="332D08D7"/>
    <w:rsid w:val="33505FAA"/>
    <w:rsid w:val="335A6721"/>
    <w:rsid w:val="336B0809"/>
    <w:rsid w:val="33770F5C"/>
    <w:rsid w:val="33865643"/>
    <w:rsid w:val="33955886"/>
    <w:rsid w:val="33A866C0"/>
    <w:rsid w:val="33C817B8"/>
    <w:rsid w:val="33E83C39"/>
    <w:rsid w:val="341A0655"/>
    <w:rsid w:val="34392647"/>
    <w:rsid w:val="34483255"/>
    <w:rsid w:val="348479D5"/>
    <w:rsid w:val="34993154"/>
    <w:rsid w:val="349B45D8"/>
    <w:rsid w:val="34BE1E25"/>
    <w:rsid w:val="34EA00F5"/>
    <w:rsid w:val="34F62354"/>
    <w:rsid w:val="35133C86"/>
    <w:rsid w:val="35335662"/>
    <w:rsid w:val="354C1729"/>
    <w:rsid w:val="355500F2"/>
    <w:rsid w:val="35854DD5"/>
    <w:rsid w:val="3587712D"/>
    <w:rsid w:val="35D206ED"/>
    <w:rsid w:val="35DA288A"/>
    <w:rsid w:val="35E46651"/>
    <w:rsid w:val="35E84251"/>
    <w:rsid w:val="362C73AC"/>
    <w:rsid w:val="3641614E"/>
    <w:rsid w:val="368D0A96"/>
    <w:rsid w:val="36D66244"/>
    <w:rsid w:val="36E42D72"/>
    <w:rsid w:val="371A717A"/>
    <w:rsid w:val="372F308B"/>
    <w:rsid w:val="37511204"/>
    <w:rsid w:val="37647A49"/>
    <w:rsid w:val="37AF5A96"/>
    <w:rsid w:val="37C86D9B"/>
    <w:rsid w:val="37E84EBE"/>
    <w:rsid w:val="37FE1C4C"/>
    <w:rsid w:val="38147C4C"/>
    <w:rsid w:val="38303DCF"/>
    <w:rsid w:val="388C54AA"/>
    <w:rsid w:val="389C5523"/>
    <w:rsid w:val="38C629D8"/>
    <w:rsid w:val="38C63216"/>
    <w:rsid w:val="39007C46"/>
    <w:rsid w:val="399F2FBB"/>
    <w:rsid w:val="39B867CF"/>
    <w:rsid w:val="39B90520"/>
    <w:rsid w:val="39E64FFB"/>
    <w:rsid w:val="39E82BB3"/>
    <w:rsid w:val="39F33E3D"/>
    <w:rsid w:val="39F63EFF"/>
    <w:rsid w:val="3A5E2E76"/>
    <w:rsid w:val="3A7A59B6"/>
    <w:rsid w:val="3AA0523C"/>
    <w:rsid w:val="3AA11540"/>
    <w:rsid w:val="3AD02274"/>
    <w:rsid w:val="3ADB1DC4"/>
    <w:rsid w:val="3AFB681C"/>
    <w:rsid w:val="3B506C62"/>
    <w:rsid w:val="3B6C3370"/>
    <w:rsid w:val="3B892174"/>
    <w:rsid w:val="3B912DD7"/>
    <w:rsid w:val="3B9308FD"/>
    <w:rsid w:val="3BAB0EC3"/>
    <w:rsid w:val="3C09351D"/>
    <w:rsid w:val="3C0F563A"/>
    <w:rsid w:val="3C1934F8"/>
    <w:rsid w:val="3CA3496E"/>
    <w:rsid w:val="3CE37662"/>
    <w:rsid w:val="3CFB49AC"/>
    <w:rsid w:val="3D1B607F"/>
    <w:rsid w:val="3D2C2DB7"/>
    <w:rsid w:val="3D412692"/>
    <w:rsid w:val="3D51281E"/>
    <w:rsid w:val="3D632551"/>
    <w:rsid w:val="3D646363"/>
    <w:rsid w:val="3DAC2770"/>
    <w:rsid w:val="3DE8120D"/>
    <w:rsid w:val="3E16560C"/>
    <w:rsid w:val="3E330175"/>
    <w:rsid w:val="3E38233A"/>
    <w:rsid w:val="3E62602A"/>
    <w:rsid w:val="3E6E1261"/>
    <w:rsid w:val="3EA846BF"/>
    <w:rsid w:val="3ECA2A1D"/>
    <w:rsid w:val="3EE6343A"/>
    <w:rsid w:val="3EFA594C"/>
    <w:rsid w:val="3F081602"/>
    <w:rsid w:val="3F0D2EBA"/>
    <w:rsid w:val="3F3D0D89"/>
    <w:rsid w:val="3F4546EB"/>
    <w:rsid w:val="3F5860E5"/>
    <w:rsid w:val="3FFB24B0"/>
    <w:rsid w:val="4002773F"/>
    <w:rsid w:val="403C5F3C"/>
    <w:rsid w:val="406334F4"/>
    <w:rsid w:val="40662F3C"/>
    <w:rsid w:val="40821EB1"/>
    <w:rsid w:val="40E65973"/>
    <w:rsid w:val="40F36398"/>
    <w:rsid w:val="411C0B2E"/>
    <w:rsid w:val="412C1E99"/>
    <w:rsid w:val="4159531D"/>
    <w:rsid w:val="41866FFD"/>
    <w:rsid w:val="418B69E8"/>
    <w:rsid w:val="418D4040"/>
    <w:rsid w:val="41A06456"/>
    <w:rsid w:val="41AE1B39"/>
    <w:rsid w:val="41BA3087"/>
    <w:rsid w:val="41C55161"/>
    <w:rsid w:val="41F5422C"/>
    <w:rsid w:val="42075BA1"/>
    <w:rsid w:val="42132798"/>
    <w:rsid w:val="42577CB7"/>
    <w:rsid w:val="42632909"/>
    <w:rsid w:val="426856B3"/>
    <w:rsid w:val="42794574"/>
    <w:rsid w:val="42CB2301"/>
    <w:rsid w:val="4344711A"/>
    <w:rsid w:val="436B215F"/>
    <w:rsid w:val="43A454D0"/>
    <w:rsid w:val="43E07893"/>
    <w:rsid w:val="43F108B7"/>
    <w:rsid w:val="43F92C8E"/>
    <w:rsid w:val="4413082D"/>
    <w:rsid w:val="4427077C"/>
    <w:rsid w:val="44611A27"/>
    <w:rsid w:val="4475773A"/>
    <w:rsid w:val="44BB2B9C"/>
    <w:rsid w:val="44BC7116"/>
    <w:rsid w:val="44C63AF1"/>
    <w:rsid w:val="44E673BF"/>
    <w:rsid w:val="450E5498"/>
    <w:rsid w:val="457A4B71"/>
    <w:rsid w:val="45FA4F7F"/>
    <w:rsid w:val="46146ADE"/>
    <w:rsid w:val="46333408"/>
    <w:rsid w:val="4665733A"/>
    <w:rsid w:val="4689107F"/>
    <w:rsid w:val="46B362F7"/>
    <w:rsid w:val="46C16C66"/>
    <w:rsid w:val="46E67CE2"/>
    <w:rsid w:val="46FA3F26"/>
    <w:rsid w:val="471E03DE"/>
    <w:rsid w:val="472D26D5"/>
    <w:rsid w:val="47411B55"/>
    <w:rsid w:val="474A246F"/>
    <w:rsid w:val="479E36FE"/>
    <w:rsid w:val="479F28C2"/>
    <w:rsid w:val="47A0687C"/>
    <w:rsid w:val="47DA45FF"/>
    <w:rsid w:val="47EB02A8"/>
    <w:rsid w:val="486E2264"/>
    <w:rsid w:val="489D100D"/>
    <w:rsid w:val="489F2FD7"/>
    <w:rsid w:val="48A26623"/>
    <w:rsid w:val="48D93007"/>
    <w:rsid w:val="48F047E2"/>
    <w:rsid w:val="490A06B4"/>
    <w:rsid w:val="49540453"/>
    <w:rsid w:val="4972249A"/>
    <w:rsid w:val="49897E4A"/>
    <w:rsid w:val="49A34401"/>
    <w:rsid w:val="4A2B194F"/>
    <w:rsid w:val="4A2C72C0"/>
    <w:rsid w:val="4A4C2CEB"/>
    <w:rsid w:val="4A821FE5"/>
    <w:rsid w:val="4A857ED6"/>
    <w:rsid w:val="4AC05487"/>
    <w:rsid w:val="4ADB406F"/>
    <w:rsid w:val="4AED2F52"/>
    <w:rsid w:val="4B08335B"/>
    <w:rsid w:val="4B19711F"/>
    <w:rsid w:val="4B4A76A9"/>
    <w:rsid w:val="4BD242D1"/>
    <w:rsid w:val="4BD67FAE"/>
    <w:rsid w:val="4BF61160"/>
    <w:rsid w:val="4C387642"/>
    <w:rsid w:val="4C61525D"/>
    <w:rsid w:val="4CBB2BD7"/>
    <w:rsid w:val="4CD3324F"/>
    <w:rsid w:val="4D0061B1"/>
    <w:rsid w:val="4D023B34"/>
    <w:rsid w:val="4D5C182F"/>
    <w:rsid w:val="4D6D0D6D"/>
    <w:rsid w:val="4D994499"/>
    <w:rsid w:val="4DB43081"/>
    <w:rsid w:val="4DC40DEA"/>
    <w:rsid w:val="4DDC25D7"/>
    <w:rsid w:val="4DF25957"/>
    <w:rsid w:val="4E016CE7"/>
    <w:rsid w:val="4E270FC7"/>
    <w:rsid w:val="4E2E6F43"/>
    <w:rsid w:val="4E314D77"/>
    <w:rsid w:val="4E435B17"/>
    <w:rsid w:val="4E6525CD"/>
    <w:rsid w:val="4E797E26"/>
    <w:rsid w:val="4E7D4D0E"/>
    <w:rsid w:val="4EBE0A4E"/>
    <w:rsid w:val="4F033A9A"/>
    <w:rsid w:val="4F4514B9"/>
    <w:rsid w:val="4F666482"/>
    <w:rsid w:val="4F7A4CC0"/>
    <w:rsid w:val="4F870321"/>
    <w:rsid w:val="4FB76E58"/>
    <w:rsid w:val="4FD6155C"/>
    <w:rsid w:val="4FF6167E"/>
    <w:rsid w:val="501E5109"/>
    <w:rsid w:val="50230A6C"/>
    <w:rsid w:val="5044333E"/>
    <w:rsid w:val="50464E42"/>
    <w:rsid w:val="504A7CCC"/>
    <w:rsid w:val="50740CF9"/>
    <w:rsid w:val="508C7456"/>
    <w:rsid w:val="509F0570"/>
    <w:rsid w:val="50C64592"/>
    <w:rsid w:val="50EF19EA"/>
    <w:rsid w:val="50FB388D"/>
    <w:rsid w:val="51416F08"/>
    <w:rsid w:val="51434D02"/>
    <w:rsid w:val="51543108"/>
    <w:rsid w:val="515B3813"/>
    <w:rsid w:val="51A0391C"/>
    <w:rsid w:val="51FC1166"/>
    <w:rsid w:val="52020133"/>
    <w:rsid w:val="520E4D2A"/>
    <w:rsid w:val="521142C4"/>
    <w:rsid w:val="52174C88"/>
    <w:rsid w:val="521D4628"/>
    <w:rsid w:val="52263E21"/>
    <w:rsid w:val="52383B54"/>
    <w:rsid w:val="52593581"/>
    <w:rsid w:val="52755359"/>
    <w:rsid w:val="528559C7"/>
    <w:rsid w:val="529169C4"/>
    <w:rsid w:val="52E52E33"/>
    <w:rsid w:val="53065E48"/>
    <w:rsid w:val="535B02BC"/>
    <w:rsid w:val="536A5F90"/>
    <w:rsid w:val="536F7A4A"/>
    <w:rsid w:val="538E63C9"/>
    <w:rsid w:val="53B8538B"/>
    <w:rsid w:val="53E26490"/>
    <w:rsid w:val="53E63D39"/>
    <w:rsid w:val="54001406"/>
    <w:rsid w:val="540964D0"/>
    <w:rsid w:val="543C4781"/>
    <w:rsid w:val="54853CAF"/>
    <w:rsid w:val="54AE31B8"/>
    <w:rsid w:val="54C57ACE"/>
    <w:rsid w:val="54C73958"/>
    <w:rsid w:val="54D25A42"/>
    <w:rsid w:val="54D759E3"/>
    <w:rsid w:val="54E104D3"/>
    <w:rsid w:val="54E24C3E"/>
    <w:rsid w:val="54FD7021"/>
    <w:rsid w:val="5503669C"/>
    <w:rsid w:val="551B77FE"/>
    <w:rsid w:val="55515659"/>
    <w:rsid w:val="55562174"/>
    <w:rsid w:val="55CC2C88"/>
    <w:rsid w:val="55D95F14"/>
    <w:rsid w:val="5684380C"/>
    <w:rsid w:val="56E20BD2"/>
    <w:rsid w:val="56EC78F8"/>
    <w:rsid w:val="56F52014"/>
    <w:rsid w:val="572778C6"/>
    <w:rsid w:val="572F5526"/>
    <w:rsid w:val="573B211D"/>
    <w:rsid w:val="576D604E"/>
    <w:rsid w:val="57715EA0"/>
    <w:rsid w:val="5776389C"/>
    <w:rsid w:val="578332CF"/>
    <w:rsid w:val="57913CD7"/>
    <w:rsid w:val="57C245EC"/>
    <w:rsid w:val="57E74053"/>
    <w:rsid w:val="57FB7AFE"/>
    <w:rsid w:val="58306639"/>
    <w:rsid w:val="58392D17"/>
    <w:rsid w:val="584F3E1B"/>
    <w:rsid w:val="58632745"/>
    <w:rsid w:val="5864418B"/>
    <w:rsid w:val="58721B1C"/>
    <w:rsid w:val="58AB24D3"/>
    <w:rsid w:val="58C3061C"/>
    <w:rsid w:val="58C93BEA"/>
    <w:rsid w:val="58E65EC9"/>
    <w:rsid w:val="59432FD2"/>
    <w:rsid w:val="594B5A6F"/>
    <w:rsid w:val="594B663A"/>
    <w:rsid w:val="59545718"/>
    <w:rsid w:val="595B0854"/>
    <w:rsid w:val="59AA358A"/>
    <w:rsid w:val="59E52814"/>
    <w:rsid w:val="59F9246F"/>
    <w:rsid w:val="5A861180"/>
    <w:rsid w:val="5A8C2C8F"/>
    <w:rsid w:val="5B17428E"/>
    <w:rsid w:val="5B417F1E"/>
    <w:rsid w:val="5B42308F"/>
    <w:rsid w:val="5B597015"/>
    <w:rsid w:val="5B6102EF"/>
    <w:rsid w:val="5B951B8F"/>
    <w:rsid w:val="5BB31314"/>
    <w:rsid w:val="5BF31218"/>
    <w:rsid w:val="5BF40AEC"/>
    <w:rsid w:val="5C0827EA"/>
    <w:rsid w:val="5C2B0170"/>
    <w:rsid w:val="5C466C57"/>
    <w:rsid w:val="5C733286"/>
    <w:rsid w:val="5C7D3B22"/>
    <w:rsid w:val="5CB14C2F"/>
    <w:rsid w:val="5D0C0E5A"/>
    <w:rsid w:val="5D2C58CF"/>
    <w:rsid w:val="5D6952E9"/>
    <w:rsid w:val="5D752101"/>
    <w:rsid w:val="5D9669D9"/>
    <w:rsid w:val="5E05075A"/>
    <w:rsid w:val="5E167DD0"/>
    <w:rsid w:val="5E201093"/>
    <w:rsid w:val="5E5341F0"/>
    <w:rsid w:val="5E706136"/>
    <w:rsid w:val="5E8E666A"/>
    <w:rsid w:val="5E940365"/>
    <w:rsid w:val="5E950D16"/>
    <w:rsid w:val="5E9661F5"/>
    <w:rsid w:val="5E993BCD"/>
    <w:rsid w:val="5E9C37CB"/>
    <w:rsid w:val="5F382B14"/>
    <w:rsid w:val="5F69359F"/>
    <w:rsid w:val="5F763632"/>
    <w:rsid w:val="5FB213EA"/>
    <w:rsid w:val="5FDC5FF4"/>
    <w:rsid w:val="602E338E"/>
    <w:rsid w:val="60485D7E"/>
    <w:rsid w:val="60491AD3"/>
    <w:rsid w:val="605F444D"/>
    <w:rsid w:val="60807703"/>
    <w:rsid w:val="60A81950"/>
    <w:rsid w:val="60AF592A"/>
    <w:rsid w:val="60C17B45"/>
    <w:rsid w:val="60CE7528"/>
    <w:rsid w:val="60EB23E6"/>
    <w:rsid w:val="60F64652"/>
    <w:rsid w:val="610022B0"/>
    <w:rsid w:val="610533D3"/>
    <w:rsid w:val="6128013F"/>
    <w:rsid w:val="61330309"/>
    <w:rsid w:val="6154583C"/>
    <w:rsid w:val="61563C2A"/>
    <w:rsid w:val="615E35D8"/>
    <w:rsid w:val="61B825BC"/>
    <w:rsid w:val="61BF2C52"/>
    <w:rsid w:val="61FA4982"/>
    <w:rsid w:val="61FB0E26"/>
    <w:rsid w:val="620F4DEC"/>
    <w:rsid w:val="62347FA2"/>
    <w:rsid w:val="62404A8B"/>
    <w:rsid w:val="62791D4B"/>
    <w:rsid w:val="62A34590"/>
    <w:rsid w:val="62AF14B9"/>
    <w:rsid w:val="62D10E17"/>
    <w:rsid w:val="62DD052C"/>
    <w:rsid w:val="62EF05ED"/>
    <w:rsid w:val="62F15D85"/>
    <w:rsid w:val="63012F21"/>
    <w:rsid w:val="63251A0D"/>
    <w:rsid w:val="635D4FEB"/>
    <w:rsid w:val="635E49B1"/>
    <w:rsid w:val="638D1F52"/>
    <w:rsid w:val="63A453F3"/>
    <w:rsid w:val="63A70B3A"/>
    <w:rsid w:val="63B05C41"/>
    <w:rsid w:val="64177A6E"/>
    <w:rsid w:val="642301C1"/>
    <w:rsid w:val="64293AB3"/>
    <w:rsid w:val="642A77A1"/>
    <w:rsid w:val="64664551"/>
    <w:rsid w:val="64736E98"/>
    <w:rsid w:val="64800B74"/>
    <w:rsid w:val="64A81AF8"/>
    <w:rsid w:val="64B61035"/>
    <w:rsid w:val="64EB797F"/>
    <w:rsid w:val="65404DA2"/>
    <w:rsid w:val="65971F08"/>
    <w:rsid w:val="65DF6369"/>
    <w:rsid w:val="65F30067"/>
    <w:rsid w:val="662B7A83"/>
    <w:rsid w:val="662C3C0B"/>
    <w:rsid w:val="664B13E6"/>
    <w:rsid w:val="6650370B"/>
    <w:rsid w:val="666B5E4F"/>
    <w:rsid w:val="667016B7"/>
    <w:rsid w:val="668803EF"/>
    <w:rsid w:val="66B61212"/>
    <w:rsid w:val="66C942E8"/>
    <w:rsid w:val="66D460EA"/>
    <w:rsid w:val="66E875A9"/>
    <w:rsid w:val="66ED5970"/>
    <w:rsid w:val="66F72C2F"/>
    <w:rsid w:val="672633AB"/>
    <w:rsid w:val="67380427"/>
    <w:rsid w:val="673E6D00"/>
    <w:rsid w:val="67C7218E"/>
    <w:rsid w:val="68304737"/>
    <w:rsid w:val="68550B65"/>
    <w:rsid w:val="6856322D"/>
    <w:rsid w:val="68914EB4"/>
    <w:rsid w:val="68CD4B9F"/>
    <w:rsid w:val="692364F5"/>
    <w:rsid w:val="69355B0B"/>
    <w:rsid w:val="6941314D"/>
    <w:rsid w:val="69502D4F"/>
    <w:rsid w:val="6959427A"/>
    <w:rsid w:val="695F2778"/>
    <w:rsid w:val="69B43487"/>
    <w:rsid w:val="69B471CE"/>
    <w:rsid w:val="6A121EDE"/>
    <w:rsid w:val="6A1A31B6"/>
    <w:rsid w:val="6A352BFB"/>
    <w:rsid w:val="6A401178"/>
    <w:rsid w:val="6A6C2601"/>
    <w:rsid w:val="6A7061D6"/>
    <w:rsid w:val="6A7259FE"/>
    <w:rsid w:val="6A7A48B2"/>
    <w:rsid w:val="6AB30379"/>
    <w:rsid w:val="6ADB5DB0"/>
    <w:rsid w:val="6ADF0BB9"/>
    <w:rsid w:val="6AFB3CEC"/>
    <w:rsid w:val="6AFC5C0F"/>
    <w:rsid w:val="6B2C2051"/>
    <w:rsid w:val="6B3D1F73"/>
    <w:rsid w:val="6B40008B"/>
    <w:rsid w:val="6B412BAA"/>
    <w:rsid w:val="6B5C74E2"/>
    <w:rsid w:val="6B824366"/>
    <w:rsid w:val="6B87197D"/>
    <w:rsid w:val="6B9D4684"/>
    <w:rsid w:val="6BD9385B"/>
    <w:rsid w:val="6BEF0E44"/>
    <w:rsid w:val="6C236D92"/>
    <w:rsid w:val="6C301509"/>
    <w:rsid w:val="6C38247E"/>
    <w:rsid w:val="6C6A2978"/>
    <w:rsid w:val="6C9635BE"/>
    <w:rsid w:val="6CAE4771"/>
    <w:rsid w:val="6CF40DC4"/>
    <w:rsid w:val="6D0F4639"/>
    <w:rsid w:val="6D107750"/>
    <w:rsid w:val="6D17512A"/>
    <w:rsid w:val="6D6C707E"/>
    <w:rsid w:val="6D77157D"/>
    <w:rsid w:val="6DC04F2C"/>
    <w:rsid w:val="6DE64478"/>
    <w:rsid w:val="6DEA0083"/>
    <w:rsid w:val="6DF60F92"/>
    <w:rsid w:val="6E056B89"/>
    <w:rsid w:val="6E2B01CE"/>
    <w:rsid w:val="6E503CC3"/>
    <w:rsid w:val="6E533D98"/>
    <w:rsid w:val="6E5408EB"/>
    <w:rsid w:val="6E5F098F"/>
    <w:rsid w:val="6E7325C0"/>
    <w:rsid w:val="6E9028F6"/>
    <w:rsid w:val="6E9175C5"/>
    <w:rsid w:val="6EE02910"/>
    <w:rsid w:val="6F08033E"/>
    <w:rsid w:val="6F644F94"/>
    <w:rsid w:val="6FA83AAB"/>
    <w:rsid w:val="6FAA79E8"/>
    <w:rsid w:val="6FAC7C04"/>
    <w:rsid w:val="6FD11419"/>
    <w:rsid w:val="6FD5355F"/>
    <w:rsid w:val="70042E38"/>
    <w:rsid w:val="702F190B"/>
    <w:rsid w:val="70554EDA"/>
    <w:rsid w:val="7080699B"/>
    <w:rsid w:val="7092448F"/>
    <w:rsid w:val="70C60851"/>
    <w:rsid w:val="70EF1C35"/>
    <w:rsid w:val="71397275"/>
    <w:rsid w:val="714902BE"/>
    <w:rsid w:val="71535E5D"/>
    <w:rsid w:val="717E3F66"/>
    <w:rsid w:val="71B32570"/>
    <w:rsid w:val="71BB5EDC"/>
    <w:rsid w:val="71C31235"/>
    <w:rsid w:val="71C34D91"/>
    <w:rsid w:val="71D3535A"/>
    <w:rsid w:val="71E378D4"/>
    <w:rsid w:val="722327BB"/>
    <w:rsid w:val="72347A3D"/>
    <w:rsid w:val="723F63AD"/>
    <w:rsid w:val="727D7636"/>
    <w:rsid w:val="72995E06"/>
    <w:rsid w:val="72A52AD4"/>
    <w:rsid w:val="73117D7E"/>
    <w:rsid w:val="7327796A"/>
    <w:rsid w:val="733D31FE"/>
    <w:rsid w:val="7366593F"/>
    <w:rsid w:val="739F66EC"/>
    <w:rsid w:val="73DA21D9"/>
    <w:rsid w:val="74160B04"/>
    <w:rsid w:val="744D73A7"/>
    <w:rsid w:val="745A113A"/>
    <w:rsid w:val="745A3A51"/>
    <w:rsid w:val="74654825"/>
    <w:rsid w:val="74661E92"/>
    <w:rsid w:val="74B77C0A"/>
    <w:rsid w:val="750E6C6B"/>
    <w:rsid w:val="752D2DAE"/>
    <w:rsid w:val="75344045"/>
    <w:rsid w:val="756B5E6B"/>
    <w:rsid w:val="75726995"/>
    <w:rsid w:val="75736F6F"/>
    <w:rsid w:val="75A728E0"/>
    <w:rsid w:val="75E11C8A"/>
    <w:rsid w:val="75EE7D64"/>
    <w:rsid w:val="76216D50"/>
    <w:rsid w:val="762229CE"/>
    <w:rsid w:val="766528BB"/>
    <w:rsid w:val="76692C0E"/>
    <w:rsid w:val="76742903"/>
    <w:rsid w:val="76B72856"/>
    <w:rsid w:val="76D44A1D"/>
    <w:rsid w:val="76ED5F8C"/>
    <w:rsid w:val="76FA0DEC"/>
    <w:rsid w:val="77173AF0"/>
    <w:rsid w:val="771F44CD"/>
    <w:rsid w:val="775D02F8"/>
    <w:rsid w:val="77634E80"/>
    <w:rsid w:val="776B561E"/>
    <w:rsid w:val="77726987"/>
    <w:rsid w:val="77784870"/>
    <w:rsid w:val="77AE3DED"/>
    <w:rsid w:val="77C71A27"/>
    <w:rsid w:val="783D222D"/>
    <w:rsid w:val="785E722E"/>
    <w:rsid w:val="786170B2"/>
    <w:rsid w:val="78866B18"/>
    <w:rsid w:val="7896539C"/>
    <w:rsid w:val="78987FE7"/>
    <w:rsid w:val="78AE5097"/>
    <w:rsid w:val="78CF6711"/>
    <w:rsid w:val="78D33330"/>
    <w:rsid w:val="78DD4C01"/>
    <w:rsid w:val="78E74094"/>
    <w:rsid w:val="790068CB"/>
    <w:rsid w:val="79077C59"/>
    <w:rsid w:val="790955F7"/>
    <w:rsid w:val="79102392"/>
    <w:rsid w:val="794669D3"/>
    <w:rsid w:val="794C0316"/>
    <w:rsid w:val="795850C6"/>
    <w:rsid w:val="79AC7D95"/>
    <w:rsid w:val="7A8407A1"/>
    <w:rsid w:val="7A8719DC"/>
    <w:rsid w:val="7A88366E"/>
    <w:rsid w:val="7ABE07EB"/>
    <w:rsid w:val="7AC74081"/>
    <w:rsid w:val="7AE6329D"/>
    <w:rsid w:val="7B0D3426"/>
    <w:rsid w:val="7B25677D"/>
    <w:rsid w:val="7B4C4049"/>
    <w:rsid w:val="7B562F57"/>
    <w:rsid w:val="7B5D2431"/>
    <w:rsid w:val="7B690757"/>
    <w:rsid w:val="7B784E3E"/>
    <w:rsid w:val="7BF81ADB"/>
    <w:rsid w:val="7C09018C"/>
    <w:rsid w:val="7C27478B"/>
    <w:rsid w:val="7C456945"/>
    <w:rsid w:val="7C5E4757"/>
    <w:rsid w:val="7C6A53A9"/>
    <w:rsid w:val="7CC43D31"/>
    <w:rsid w:val="7CEF723D"/>
    <w:rsid w:val="7D060228"/>
    <w:rsid w:val="7D455C33"/>
    <w:rsid w:val="7D6815C0"/>
    <w:rsid w:val="7D781125"/>
    <w:rsid w:val="7D883F06"/>
    <w:rsid w:val="7D955142"/>
    <w:rsid w:val="7DAC5379"/>
    <w:rsid w:val="7DB0632D"/>
    <w:rsid w:val="7DB31488"/>
    <w:rsid w:val="7DEC38C1"/>
    <w:rsid w:val="7DED3EC4"/>
    <w:rsid w:val="7DFD5ACF"/>
    <w:rsid w:val="7E1C633B"/>
    <w:rsid w:val="7E24305B"/>
    <w:rsid w:val="7E311DCB"/>
    <w:rsid w:val="7E4952DC"/>
    <w:rsid w:val="7E747D04"/>
    <w:rsid w:val="7E9975A5"/>
    <w:rsid w:val="7EB106DC"/>
    <w:rsid w:val="7EBC7738"/>
    <w:rsid w:val="7EC32874"/>
    <w:rsid w:val="7ED07423"/>
    <w:rsid w:val="7EE3571E"/>
    <w:rsid w:val="7EEA5C45"/>
    <w:rsid w:val="7EEB1240"/>
    <w:rsid w:val="7F196938"/>
    <w:rsid w:val="7F1A527D"/>
    <w:rsid w:val="7F1C1F84"/>
    <w:rsid w:val="7F2826D7"/>
    <w:rsid w:val="7F6C6A68"/>
    <w:rsid w:val="7F8F09A8"/>
    <w:rsid w:val="7F92111A"/>
    <w:rsid w:val="7FB34697"/>
    <w:rsid w:val="7FC03CF4"/>
    <w:rsid w:val="7FD1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unhideWhenUsed/>
    <w:qFormat/>
    <w:uiPriority w:val="0"/>
    <w:pPr>
      <w:keepNext/>
      <w:keepLines/>
      <w:ind w:firstLine="600" w:firstLineChars="200"/>
      <w:outlineLvl w:val="1"/>
    </w:pPr>
    <w:rPr>
      <w:rFonts w:cs="Times New Roman"/>
      <w:b/>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sz w:val="28"/>
    </w:rPr>
  </w:style>
  <w:style w:type="paragraph" w:styleId="5">
    <w:name w:val="heading 5"/>
    <w:basedOn w:val="1"/>
    <w:next w:val="1"/>
    <w:qFormat/>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1"/>
    <w:unhideWhenUsed/>
    <w:qFormat/>
    <w:uiPriority w:val="0"/>
    <w:pPr>
      <w:adjustRightInd w:val="0"/>
      <w:snapToGrid w:val="0"/>
      <w:spacing w:line="360" w:lineRule="auto"/>
      <w:ind w:firstLine="420" w:firstLineChars="200"/>
    </w:pPr>
    <w:rPr>
      <w:rFonts w:ascii="Times New Roman" w:hAnsi="Times New Roman" w:eastAsia="宋体" w:cs="Times New Roman"/>
      <w:kern w:val="0"/>
    </w:rPr>
  </w:style>
  <w:style w:type="paragraph" w:styleId="8">
    <w:name w:val="caption"/>
    <w:basedOn w:val="4"/>
    <w:next w:val="1"/>
    <w:unhideWhenUsed/>
    <w:qFormat/>
    <w:uiPriority w:val="0"/>
    <w:pPr>
      <w:topLinePunct/>
      <w:spacing w:beforeLines="50" w:line="240" w:lineRule="auto"/>
      <w:jc w:val="center"/>
    </w:pPr>
    <w:rPr>
      <w:rFonts w:ascii="Times New Roman" w:hAnsi="Times New Roman"/>
      <w:sz w:val="21"/>
    </w:rPr>
  </w:style>
  <w:style w:type="paragraph" w:styleId="9">
    <w:name w:val="annotation text"/>
    <w:basedOn w:val="1"/>
    <w:link w:val="51"/>
    <w:semiHidden/>
    <w:qFormat/>
    <w:uiPriority w:val="0"/>
    <w:pPr>
      <w:jc w:val="left"/>
    </w:pPr>
    <w:rPr>
      <w:kern w:val="0"/>
      <w:sz w:val="24"/>
      <w:szCs w:val="20"/>
    </w:rPr>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Body Text Indent"/>
    <w:basedOn w:val="1"/>
    <w:qFormat/>
    <w:uiPriority w:val="0"/>
    <w:pPr>
      <w:spacing w:after="120"/>
      <w:ind w:left="420" w:leftChars="200"/>
    </w:pPr>
    <w:rPr>
      <w:kern w:val="0"/>
      <w:szCs w:val="20"/>
    </w:rPr>
  </w:style>
  <w:style w:type="paragraph" w:styleId="12">
    <w:name w:val="List Bullet 5"/>
    <w:basedOn w:val="1"/>
    <w:qFormat/>
    <w:uiPriority w:val="0"/>
    <w:pPr>
      <w:numPr>
        <w:ilvl w:val="0"/>
        <w:numId w:val="1"/>
      </w:numPr>
    </w:pPr>
  </w:style>
  <w:style w:type="paragraph" w:styleId="13">
    <w:name w:val="Body Text Indent 2"/>
    <w:basedOn w:val="1"/>
    <w:next w:val="1"/>
    <w:qFormat/>
    <w:uiPriority w:val="0"/>
    <w:pPr>
      <w:spacing w:after="120" w:line="480" w:lineRule="auto"/>
      <w:ind w:left="420" w:leftChars="200"/>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0"/>
  </w:style>
  <w:style w:type="paragraph" w:styleId="17">
    <w:name w:val="index heading"/>
    <w:basedOn w:val="1"/>
    <w:next w:val="1"/>
    <w:qFormat/>
    <w:uiPriority w:val="0"/>
    <w:rPr>
      <w:rFonts w:ascii="Arial" w:hAnsi="Arial"/>
      <w:b/>
    </w:rPr>
  </w:style>
  <w:style w:type="paragraph" w:styleId="18">
    <w:name w:val="Body Text Indent 3"/>
    <w:basedOn w:val="1"/>
    <w:next w:val="17"/>
    <w:qFormat/>
    <w:uiPriority w:val="0"/>
    <w:pPr>
      <w:spacing w:line="400" w:lineRule="exact"/>
      <w:ind w:firstLine="567"/>
    </w:pPr>
    <w:rPr>
      <w:rFonts w:ascii="宋体"/>
      <w:sz w:val="28"/>
    </w:rPr>
  </w:style>
  <w:style w:type="paragraph" w:styleId="19">
    <w:name w:val="table of figures"/>
    <w:basedOn w:val="1"/>
    <w:next w:val="1"/>
    <w:qFormat/>
    <w:uiPriority w:val="0"/>
    <w:pPr>
      <w:topLinePunct/>
      <w:spacing w:line="240" w:lineRule="exact"/>
    </w:pPr>
    <w:rPr>
      <w:rFonts w:ascii="宋体" w:hAnsi="宋体"/>
      <w:szCs w:val="21"/>
    </w:rPr>
  </w:style>
  <w:style w:type="paragraph" w:styleId="20">
    <w:name w:val="Body Text 2"/>
    <w:basedOn w:val="1"/>
    <w:qFormat/>
    <w:uiPriority w:val="0"/>
    <w:pPr>
      <w:spacing w:after="120" w:line="480" w:lineRule="auto"/>
      <w:ind w:firstLine="480" w:firstLineChars="200"/>
    </w:pPr>
    <w:rPr>
      <w:sz w:val="24"/>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Title"/>
    <w:basedOn w:val="1"/>
    <w:next w:val="1"/>
    <w:qFormat/>
    <w:uiPriority w:val="0"/>
    <w:pPr>
      <w:spacing w:before="240" w:after="60"/>
      <w:jc w:val="center"/>
      <w:outlineLvl w:val="0"/>
    </w:pPr>
    <w:rPr>
      <w:b/>
      <w:bCs/>
      <w:sz w:val="32"/>
      <w:szCs w:val="32"/>
    </w:rPr>
  </w:style>
  <w:style w:type="paragraph" w:styleId="23">
    <w:name w:val="annotation subject"/>
    <w:basedOn w:val="9"/>
    <w:next w:val="9"/>
    <w:link w:val="52"/>
    <w:qFormat/>
    <w:uiPriority w:val="0"/>
    <w:rPr>
      <w:b/>
      <w:bCs/>
      <w:kern w:val="2"/>
      <w:sz w:val="21"/>
      <w:szCs w:val="24"/>
    </w:rPr>
  </w:style>
  <w:style w:type="paragraph" w:styleId="24">
    <w:name w:val="Body Text First Indent"/>
    <w:basedOn w:val="10"/>
    <w:qFormat/>
    <w:uiPriority w:val="0"/>
    <w:pPr>
      <w:adjustRightInd w:val="0"/>
      <w:spacing w:after="120" w:line="360" w:lineRule="auto"/>
      <w:ind w:firstLine="420"/>
      <w:textAlignment w:val="baseline"/>
    </w:pPr>
    <w:rPr>
      <w:rFonts w:ascii="宋体"/>
      <w:sz w:val="24"/>
    </w:rPr>
  </w:style>
  <w:style w:type="paragraph" w:styleId="25">
    <w:name w:val="Body Text First Indent 2"/>
    <w:basedOn w:val="11"/>
    <w:next w:val="1"/>
    <w:unhideWhenUsed/>
    <w:qFormat/>
    <w:uiPriority w:val="99"/>
    <w:pPr>
      <w:spacing w:line="360" w:lineRule="auto"/>
      <w:ind w:firstLine="210"/>
    </w:pPr>
    <w:rPr>
      <w:rFonts w:ascii="Times New Roman" w:hAnsi="Times New Roman" w:eastAsia="楷体_GB2312"/>
      <w:kern w:val="2"/>
      <w:sz w:val="28"/>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style>
  <w:style w:type="character" w:styleId="30">
    <w:name w:val="Emphasis"/>
    <w:basedOn w:val="28"/>
    <w:qFormat/>
    <w:uiPriority w:val="0"/>
    <w:rPr>
      <w:i/>
    </w:rPr>
  </w:style>
  <w:style w:type="character" w:styleId="31">
    <w:name w:val="annotation reference"/>
    <w:semiHidden/>
    <w:qFormat/>
    <w:uiPriority w:val="0"/>
    <w:rPr>
      <w:sz w:val="21"/>
    </w:rPr>
  </w:style>
  <w:style w:type="paragraph" w:customStyle="1" w:styleId="32">
    <w:name w:val="Default"/>
    <w:basedOn w:val="33"/>
    <w:qFormat/>
    <w:uiPriority w:val="99"/>
    <w:pPr>
      <w:autoSpaceDE w:val="0"/>
      <w:autoSpaceDN w:val="0"/>
    </w:pPr>
    <w:rPr>
      <w:rFonts w:ascii="方正小标宋_GBK" w:hAnsi="方正小标宋_GBK" w:eastAsia="方正小标宋_GBK" w:cs="Times New Roman"/>
      <w:color w:val="000000"/>
      <w:sz w:val="24"/>
      <w:szCs w:val="22"/>
    </w:rPr>
  </w:style>
  <w:style w:type="paragraph" w:customStyle="1" w:styleId="33">
    <w:name w:val="纯文本1"/>
    <w:basedOn w:val="1"/>
    <w:qFormat/>
    <w:uiPriority w:val="0"/>
    <w:pPr>
      <w:adjustRightInd w:val="0"/>
    </w:pPr>
    <w:rPr>
      <w:rFonts w:hAnsi="Courier New"/>
      <w:szCs w:val="20"/>
    </w:rPr>
  </w:style>
  <w:style w:type="paragraph" w:customStyle="1" w:styleId="3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5">
    <w:name w:val="正文样式"/>
    <w:basedOn w:val="1"/>
    <w:qFormat/>
    <w:uiPriority w:val="0"/>
    <w:pPr>
      <w:ind w:firstLine="480" w:firstLineChars="200"/>
    </w:pPr>
    <w:rPr>
      <w:rFonts w:ascii="Times New Roman" w:hAnsi="Times New Roman" w:eastAsia="宋体" w:cs="Times New Roman"/>
    </w:rPr>
  </w:style>
  <w:style w:type="paragraph" w:customStyle="1" w:styleId="36">
    <w:name w:val="表头"/>
    <w:basedOn w:val="10"/>
    <w:qFormat/>
    <w:uiPriority w:val="0"/>
    <w:pPr>
      <w:adjustRightInd w:val="0"/>
      <w:spacing w:line="400" w:lineRule="exact"/>
      <w:jc w:val="center"/>
    </w:pPr>
    <w:rPr>
      <w:rFonts w:eastAsia="宋体"/>
      <w:b/>
      <w:szCs w:val="24"/>
    </w:rPr>
  </w:style>
  <w:style w:type="paragraph" w:customStyle="1" w:styleId="37">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表格"/>
    <w:basedOn w:val="7"/>
    <w:next w:val="1"/>
    <w:qFormat/>
    <w:uiPriority w:val="0"/>
    <w:pPr>
      <w:spacing w:beforeLines="10" w:afterLines="10" w:line="259" w:lineRule="auto"/>
      <w:jc w:val="center"/>
    </w:pPr>
    <w:rPr>
      <w:rFonts w:ascii="宋体"/>
      <w:szCs w:val="20"/>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格"/>
    <w:basedOn w:val="1"/>
    <w:qFormat/>
    <w:uiPriority w:val="0"/>
    <w:pPr>
      <w:widowControl/>
      <w:spacing w:beforeLines="10"/>
      <w:jc w:val="center"/>
    </w:pPr>
    <w:rPr>
      <w:rFonts w:cs="宋体"/>
      <w:szCs w:val="21"/>
    </w:rPr>
  </w:style>
  <w:style w:type="paragraph" w:customStyle="1" w:styleId="41">
    <w:name w:val="表格体"/>
    <w:basedOn w:val="1"/>
    <w:qFormat/>
    <w:uiPriority w:val="0"/>
    <w:pPr>
      <w:jc w:val="center"/>
    </w:pPr>
    <w:rPr>
      <w:szCs w:val="18"/>
    </w:rPr>
  </w:style>
  <w:style w:type="paragraph" w:customStyle="1" w:styleId="42">
    <w:name w:val="正文 首行缩进:  2 字符"/>
    <w:basedOn w:val="1"/>
    <w:qFormat/>
    <w:uiPriority w:val="0"/>
    <w:pPr>
      <w:spacing w:line="360" w:lineRule="auto"/>
      <w:ind w:firstLine="480" w:firstLineChars="200"/>
    </w:pPr>
    <w:rPr>
      <w:sz w:val="24"/>
    </w:rPr>
  </w:style>
  <w:style w:type="paragraph" w:customStyle="1" w:styleId="43">
    <w:name w:val="A这篇正文"/>
    <w:basedOn w:val="1"/>
    <w:link w:val="46"/>
    <w:autoRedefine/>
    <w:qFormat/>
    <w:uiPriority w:val="0"/>
    <w:pPr>
      <w:widowControl/>
      <w:ind w:firstLine="480" w:firstLineChars="200"/>
    </w:pPr>
    <w:rPr>
      <w:rFonts w:cs="宋体"/>
      <w:kern w:val="0"/>
    </w:rPr>
  </w:style>
  <w:style w:type="paragraph" w:customStyle="1" w:styleId="44">
    <w:name w:val="这个题注"/>
    <w:basedOn w:val="1"/>
    <w:autoRedefine/>
    <w:qFormat/>
    <w:uiPriority w:val="0"/>
    <w:pPr>
      <w:spacing w:beforeLines="50"/>
      <w:jc w:val="center"/>
    </w:pPr>
    <w:rPr>
      <w:rFonts w:eastAsia="黑体" w:cs="Times New Roman"/>
    </w:rPr>
  </w:style>
  <w:style w:type="paragraph" w:customStyle="1" w:styleId="45">
    <w:name w:val="图注"/>
    <w:basedOn w:val="1"/>
    <w:next w:val="43"/>
    <w:autoRedefine/>
    <w:qFormat/>
    <w:uiPriority w:val="0"/>
    <w:pPr>
      <w:spacing w:afterLines="50"/>
      <w:jc w:val="center"/>
    </w:pPr>
    <w:rPr>
      <w:rFonts w:eastAsia="黑体"/>
    </w:rPr>
  </w:style>
  <w:style w:type="character" w:customStyle="1" w:styleId="46">
    <w:name w:val="这篇正文 Char"/>
    <w:link w:val="43"/>
    <w:autoRedefine/>
    <w:qFormat/>
    <w:uiPriority w:val="0"/>
    <w:rPr>
      <w:rFonts w:cs="宋体"/>
      <w:kern w:val="0"/>
    </w:rPr>
  </w:style>
  <w:style w:type="paragraph" w:customStyle="1" w:styleId="47">
    <w:name w:val="表格格式"/>
    <w:basedOn w:val="1"/>
    <w:autoRedefine/>
    <w:qFormat/>
    <w:uiPriority w:val="0"/>
    <w:pPr>
      <w:jc w:val="center"/>
    </w:pPr>
  </w:style>
  <w:style w:type="paragraph" w:customStyle="1" w:styleId="48">
    <w:name w:val="大表大字"/>
    <w:basedOn w:val="1"/>
    <w:autoRedefine/>
    <w:qFormat/>
    <w:uiPriority w:val="0"/>
    <w:pPr>
      <w:widowControl/>
      <w:spacing w:beforeLines="30" w:afterLines="30" w:line="264" w:lineRule="auto"/>
      <w:jc w:val="center"/>
    </w:pPr>
    <w:rPr>
      <w:rFonts w:cs="Times New Roman"/>
      <w:kern w:val="0"/>
    </w:rPr>
  </w:style>
  <w:style w:type="paragraph" w:customStyle="1" w:styleId="49">
    <w:name w:val="L正文"/>
    <w:basedOn w:val="1"/>
    <w:autoRedefine/>
    <w:qFormat/>
    <w:uiPriority w:val="0"/>
    <w:pPr>
      <w:adjustRightInd w:val="0"/>
      <w:snapToGrid w:val="0"/>
      <w:spacing w:line="360" w:lineRule="auto"/>
      <w:ind w:firstLine="200" w:firstLineChars="200"/>
    </w:pPr>
    <w:rPr>
      <w:sz w:val="24"/>
    </w:rPr>
  </w:style>
  <w:style w:type="paragraph" w:customStyle="1" w:styleId="50">
    <w:name w:val="表格文字"/>
    <w:basedOn w:val="36"/>
    <w:autoRedefine/>
    <w:qFormat/>
    <w:uiPriority w:val="0"/>
    <w:pPr>
      <w:spacing w:line="360" w:lineRule="auto"/>
      <w:textAlignment w:val="baseline"/>
    </w:pPr>
    <w:rPr>
      <w:szCs w:val="21"/>
    </w:rPr>
  </w:style>
  <w:style w:type="character" w:customStyle="1" w:styleId="51">
    <w:name w:val="批注文字 字符"/>
    <w:basedOn w:val="28"/>
    <w:link w:val="9"/>
    <w:semiHidden/>
    <w:qFormat/>
    <w:uiPriority w:val="0"/>
    <w:rPr>
      <w:rFonts w:asciiTheme="minorHAnsi" w:hAnsiTheme="minorHAnsi" w:eastAsiaTheme="minorEastAsia" w:cstheme="minorBidi"/>
      <w:sz w:val="24"/>
    </w:rPr>
  </w:style>
  <w:style w:type="character" w:customStyle="1" w:styleId="52">
    <w:name w:val="批注主题 字符"/>
    <w:basedOn w:val="51"/>
    <w:link w:val="23"/>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oleObject" Target="embeddings/oleObject2.bin"/><Relationship Id="rId14" Type="http://schemas.openxmlformats.org/officeDocument/2006/relationships/image" Target="media/image7.emf"/><Relationship Id="rId13" Type="http://schemas.openxmlformats.org/officeDocument/2006/relationships/oleObject" Target="embeddings/Microsoft_Visio_2003-2010___1.vsd"/><Relationship Id="rId12" Type="http://schemas.openxmlformats.org/officeDocument/2006/relationships/image" Target="media/image6.emf"/><Relationship Id="rId11" Type="http://schemas.openxmlformats.org/officeDocument/2006/relationships/oleObject" Target="embeddings/oleObject1.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13446</Words>
  <Characters>14441</Characters>
  <Lines>477</Lines>
  <Paragraphs>134</Paragraphs>
  <TotalTime>0</TotalTime>
  <ScaleCrop>false</ScaleCrop>
  <LinksUpToDate>false</LinksUpToDate>
  <CharactersWithSpaces>14499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2025-08-06T14:16:00Z</dcterms:created>
  <dc:creator>Hello Jerry∼</dc:creator>
  <cp:lastModifiedBy>作者</cp:lastModifiedBy>
  <cp:lastPrinted>2025-11-26T01:58:00Z</cp:lastPrinted>
  <dcterms:modified xsi:type="dcterms:W3CDTF">2025-11-27T02:27:48Z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5B8A83B0C1A648179D006C76D0D182CA</vt:lpwstr>
  </property>
  <property fmtid="{D5CDD505-2E9C-101B-9397-08002B2CF9AE}" pid="4" name="KSOTemplateDocerSaveRecord">
    <vt:lpwstr>eyJoZGlkIjoiMTY4ZWJiMTk3ZDc4ZDhiMGI4MzhlOGUxZDFjZTNmNGUiLCJ1c2VySWQiOiIyMjgyMDY5NzkifQ==</vt:lpwstr>
  </property>
</Properties>
</file>