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F3F9BF">
      <w:pPr>
        <w:pStyle w:val="14"/>
        <w:pBdr>
          <w:top w:val="none" w:color="auto" w:sz="0" w:space="0"/>
          <w:left w:val="none" w:color="auto" w:sz="0" w:space="0"/>
          <w:bottom w:val="none" w:color="auto" w:sz="0" w:space="0"/>
          <w:right w:val="none" w:color="auto" w:sz="0" w:space="0"/>
          <w:between w:val="none" w:color="auto" w:sz="0" w:space="0"/>
        </w:pBdr>
      </w:pPr>
    </w:p>
    <w:p w14:paraId="18C0E038">
      <w:pPr>
        <w:pBdr>
          <w:top w:val="none" w:color="auto" w:sz="0" w:space="0"/>
          <w:left w:val="none" w:color="auto" w:sz="0" w:space="0"/>
          <w:bottom w:val="none" w:color="auto" w:sz="0" w:space="0"/>
          <w:right w:val="none" w:color="auto" w:sz="0" w:space="0"/>
          <w:between w:val="none" w:color="auto" w:sz="0" w:space="0"/>
        </w:pBdr>
        <w:rPr>
          <w:rFonts w:eastAsia="仿宋_GB2312"/>
          <w:sz w:val="36"/>
          <w:szCs w:val="36"/>
        </w:rPr>
      </w:pPr>
    </w:p>
    <w:p w14:paraId="3A6670ED">
      <w:pPr>
        <w:rPr>
          <w:rFonts w:eastAsia="仿宋_GB2312"/>
          <w:sz w:val="36"/>
          <w:szCs w:val="36"/>
        </w:rPr>
      </w:pPr>
    </w:p>
    <w:p w14:paraId="070710DD">
      <w:pPr>
        <w:rPr>
          <w:rFonts w:eastAsia="仿宋_GB2312"/>
          <w:sz w:val="36"/>
          <w:szCs w:val="36"/>
        </w:rPr>
      </w:pPr>
    </w:p>
    <w:p w14:paraId="351E9CD1">
      <w:pPr>
        <w:rPr>
          <w:rFonts w:eastAsia="仿宋_GB2312"/>
          <w:sz w:val="36"/>
          <w:szCs w:val="36"/>
        </w:rPr>
      </w:pPr>
    </w:p>
    <w:p w14:paraId="7272D00B">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14:paraId="39A43932">
      <w:pPr>
        <w:adjustRightInd w:val="0"/>
        <w:snapToGrid w:val="0"/>
        <w:spacing w:before="192" w:beforeLines="80"/>
        <w:jc w:val="center"/>
        <w:rPr>
          <w:rFonts w:eastAsia="楷体_GB2312"/>
          <w:bCs/>
          <w:sz w:val="48"/>
          <w:szCs w:val="48"/>
        </w:rPr>
      </w:pPr>
      <w:r>
        <w:rPr>
          <w:rFonts w:eastAsia="楷体_GB2312"/>
          <w:bCs/>
          <w:sz w:val="48"/>
          <w:szCs w:val="48"/>
        </w:rPr>
        <w:t>（污染影响类）</w:t>
      </w:r>
    </w:p>
    <w:p w14:paraId="6C330F19">
      <w:pPr>
        <w:adjustRightInd w:val="0"/>
        <w:snapToGrid w:val="0"/>
        <w:spacing w:before="192" w:beforeLines="80"/>
        <w:jc w:val="center"/>
        <w:rPr>
          <w:rFonts w:eastAsia="楷体_GB2312"/>
          <w:bCs/>
          <w:sz w:val="36"/>
          <w:szCs w:val="36"/>
        </w:rPr>
      </w:pPr>
      <w:r>
        <w:rPr>
          <w:rFonts w:hint="eastAsia" w:eastAsia="楷体_GB2312"/>
          <w:bCs/>
          <w:sz w:val="36"/>
          <w:szCs w:val="36"/>
          <w:lang w:eastAsia="zh-CN"/>
        </w:rPr>
        <w:t>（</w:t>
      </w:r>
      <w:r>
        <w:rPr>
          <w:rFonts w:hint="eastAsia" w:eastAsia="楷体_GB2312"/>
          <w:bCs/>
          <w:sz w:val="36"/>
          <w:szCs w:val="36"/>
          <w:lang w:val="en-US" w:eastAsia="zh-CN"/>
        </w:rPr>
        <w:t>公示</w:t>
      </w:r>
      <w:bookmarkStart w:id="5" w:name="_GoBack"/>
      <w:bookmarkEnd w:id="5"/>
      <w:r>
        <w:rPr>
          <w:rFonts w:hint="eastAsia" w:eastAsia="楷体_GB2312"/>
          <w:bCs/>
          <w:sz w:val="36"/>
          <w:szCs w:val="36"/>
        </w:rPr>
        <w:t>版</w:t>
      </w:r>
      <w:r>
        <w:rPr>
          <w:rFonts w:hint="eastAsia" w:eastAsia="楷体_GB2312"/>
          <w:bCs/>
          <w:sz w:val="36"/>
          <w:szCs w:val="36"/>
          <w:lang w:eastAsia="zh-CN"/>
        </w:rPr>
        <w:t>）</w:t>
      </w:r>
    </w:p>
    <w:p w14:paraId="7DD72D69">
      <w:pPr>
        <w:jc w:val="center"/>
        <w:rPr>
          <w:rFonts w:eastAsia="仿宋"/>
          <w:sz w:val="52"/>
          <w:szCs w:val="52"/>
        </w:rPr>
      </w:pPr>
    </w:p>
    <w:p w14:paraId="42F614BF">
      <w:pPr>
        <w:ind w:firstLine="1040"/>
        <w:rPr>
          <w:rFonts w:eastAsia="仿宋"/>
          <w:sz w:val="44"/>
          <w:szCs w:val="44"/>
        </w:rPr>
      </w:pPr>
    </w:p>
    <w:p w14:paraId="7586CA1C">
      <w:pPr>
        <w:ind w:firstLine="1040"/>
        <w:rPr>
          <w:rFonts w:eastAsia="仿宋"/>
          <w:sz w:val="44"/>
          <w:szCs w:val="44"/>
        </w:rPr>
      </w:pPr>
    </w:p>
    <w:p w14:paraId="4F04957F">
      <w:pPr>
        <w:ind w:firstLine="1040"/>
        <w:rPr>
          <w:rFonts w:eastAsia="仿宋"/>
          <w:sz w:val="44"/>
          <w:szCs w:val="44"/>
        </w:rPr>
      </w:pPr>
    </w:p>
    <w:p w14:paraId="7DE816C1">
      <w:pPr>
        <w:ind w:firstLine="1040"/>
        <w:rPr>
          <w:rFonts w:eastAsia="仿宋"/>
          <w:sz w:val="44"/>
          <w:szCs w:val="44"/>
        </w:rPr>
      </w:pPr>
    </w:p>
    <w:p w14:paraId="4BBDE05A">
      <w:pPr>
        <w:adjustRightInd w:val="0"/>
        <w:snapToGrid w:val="0"/>
        <w:spacing w:line="288" w:lineRule="auto"/>
        <w:ind w:firstLine="1080" w:firstLineChars="300"/>
        <w:rPr>
          <w:sz w:val="36"/>
          <w:szCs w:val="36"/>
          <w:u w:val="single"/>
        </w:rPr>
      </w:pPr>
      <w:r>
        <w:rPr>
          <w:rFonts w:eastAsia="仿宋_GB2312"/>
          <w:sz w:val="36"/>
          <w:szCs w:val="36"/>
        </w:rPr>
        <w:t>项目名称：</w:t>
      </w:r>
      <w:r>
        <w:rPr>
          <w:rFonts w:hint="eastAsia" w:eastAsia="仿宋_GB2312"/>
          <w:sz w:val="36"/>
          <w:szCs w:val="36"/>
          <w:u w:val="single"/>
        </w:rPr>
        <w:t>华福路加油站</w:t>
      </w:r>
      <w:r>
        <w:rPr>
          <w:rFonts w:hint="eastAsia" w:eastAsia="仿宋_GB2312"/>
          <w:sz w:val="36"/>
          <w:szCs w:val="36"/>
          <w:u w:val="single"/>
          <w:lang w:val="en-US" w:eastAsia="zh-CN"/>
        </w:rPr>
        <w:t>工艺</w:t>
      </w:r>
      <w:r>
        <w:rPr>
          <w:rFonts w:hint="eastAsia" w:eastAsia="仿宋_GB2312"/>
          <w:sz w:val="36"/>
          <w:szCs w:val="36"/>
          <w:u w:val="single"/>
        </w:rPr>
        <w:t>改造项目</w:t>
      </w:r>
      <w:r>
        <w:rPr>
          <w:rFonts w:hint="eastAsia" w:eastAsia="仿宋_GB2312"/>
          <w:sz w:val="36"/>
          <w:szCs w:val="36"/>
          <w:u w:val="single"/>
          <w:lang w:val="en-US" w:eastAsia="zh-CN"/>
        </w:rPr>
        <w:t xml:space="preserve">   </w:t>
      </w:r>
      <w:r>
        <w:rPr>
          <w:sz w:val="36"/>
          <w:szCs w:val="36"/>
          <w:u w:val="single"/>
        </w:rPr>
        <w:t xml:space="preserve"> </w:t>
      </w:r>
    </w:p>
    <w:p w14:paraId="0E295BBD">
      <w:pPr>
        <w:adjustRightInd w:val="0"/>
        <w:snapToGrid w:val="0"/>
        <w:spacing w:line="288" w:lineRule="auto"/>
        <w:ind w:firstLine="1080" w:firstLineChars="300"/>
        <w:rPr>
          <w:rFonts w:hint="eastAsia" w:eastAsia="仿宋_GB2312"/>
          <w:sz w:val="36"/>
          <w:szCs w:val="36"/>
          <w:u w:val="single"/>
        </w:rPr>
      </w:pPr>
      <w:r>
        <w:rPr>
          <w:rFonts w:eastAsia="仿宋_GB2312"/>
          <w:sz w:val="36"/>
          <w:szCs w:val="36"/>
        </w:rPr>
        <w:t>建设单位（盖章）：</w:t>
      </w:r>
      <w:r>
        <w:rPr>
          <w:rFonts w:hint="eastAsia" w:eastAsia="仿宋_GB2312"/>
          <w:sz w:val="36"/>
          <w:szCs w:val="36"/>
          <w:u w:val="single"/>
        </w:rPr>
        <w:t>中国石化销售</w:t>
      </w:r>
      <w:r>
        <w:rPr>
          <w:rFonts w:hint="eastAsia" w:eastAsia="仿宋_GB2312"/>
          <w:sz w:val="36"/>
          <w:szCs w:val="36"/>
          <w:u w:val="single"/>
          <w:lang w:val="en-US" w:eastAsia="zh-CN"/>
        </w:rPr>
        <w:t>股份</w:t>
      </w:r>
      <w:r>
        <w:rPr>
          <w:rFonts w:hint="eastAsia" w:eastAsia="仿宋_GB2312"/>
          <w:sz w:val="36"/>
          <w:szCs w:val="36"/>
          <w:u w:val="single"/>
        </w:rPr>
        <w:t>有限</w:t>
      </w:r>
    </w:p>
    <w:p w14:paraId="4E54A873">
      <w:pPr>
        <w:adjustRightInd w:val="0"/>
        <w:snapToGrid w:val="0"/>
        <w:spacing w:line="288" w:lineRule="auto"/>
        <w:ind w:firstLine="4320" w:firstLineChars="1200"/>
        <w:rPr>
          <w:rFonts w:hint="eastAsia" w:eastAsia="仿宋_GB2312"/>
          <w:sz w:val="36"/>
          <w:szCs w:val="36"/>
          <w:u w:val="single"/>
        </w:rPr>
      </w:pPr>
      <w:r>
        <w:rPr>
          <w:rFonts w:hint="eastAsia" w:eastAsia="仿宋_GB2312"/>
          <w:sz w:val="36"/>
          <w:szCs w:val="36"/>
          <w:u w:val="single"/>
        </w:rPr>
        <w:t>公司重庆石油分公司</w:t>
      </w:r>
    </w:p>
    <w:p w14:paraId="429C3FFF">
      <w:pPr>
        <w:adjustRightInd w:val="0"/>
        <w:snapToGrid w:val="0"/>
        <w:spacing w:line="288" w:lineRule="auto"/>
        <w:ind w:firstLine="104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lang w:val="en-US" w:eastAsia="zh-CN"/>
        </w:rPr>
        <w:t xml:space="preserve">     </w:t>
      </w:r>
      <w:r>
        <w:rPr>
          <w:rFonts w:eastAsia="仿宋_GB2312"/>
          <w:sz w:val="36"/>
          <w:szCs w:val="36"/>
          <w:u w:val="single"/>
        </w:rPr>
        <w:t>202</w:t>
      </w:r>
      <w:r>
        <w:rPr>
          <w:rFonts w:hint="eastAsia" w:eastAsia="仿宋_GB2312"/>
          <w:sz w:val="36"/>
          <w:szCs w:val="36"/>
          <w:u w:val="single"/>
        </w:rPr>
        <w:t>5</w:t>
      </w:r>
      <w:r>
        <w:rPr>
          <w:rFonts w:eastAsia="仿宋_GB2312"/>
          <w:sz w:val="36"/>
          <w:szCs w:val="36"/>
          <w:u w:val="single"/>
        </w:rPr>
        <w:t>年</w:t>
      </w:r>
      <w:r>
        <w:rPr>
          <w:rFonts w:hint="eastAsia" w:eastAsia="仿宋_GB2312"/>
          <w:sz w:val="36"/>
          <w:szCs w:val="36"/>
          <w:u w:val="single"/>
          <w:lang w:val="en-US" w:eastAsia="zh-CN"/>
        </w:rPr>
        <w:t>12</w:t>
      </w:r>
      <w:r>
        <w:rPr>
          <w:rFonts w:eastAsia="仿宋_GB2312"/>
          <w:sz w:val="36"/>
          <w:szCs w:val="36"/>
          <w:u w:val="single"/>
        </w:rPr>
        <w:t xml:space="preserve">月        </w:t>
      </w:r>
    </w:p>
    <w:p w14:paraId="7F4FEE27">
      <w:pPr>
        <w:adjustRightInd w:val="0"/>
        <w:snapToGrid w:val="0"/>
        <w:spacing w:line="288" w:lineRule="auto"/>
        <w:ind w:firstLine="1040"/>
        <w:rPr>
          <w:rFonts w:eastAsia="仿宋_GB2312"/>
          <w:sz w:val="36"/>
          <w:szCs w:val="36"/>
          <w:u w:val="single"/>
        </w:rPr>
      </w:pPr>
      <w:bookmarkStart w:id="0" w:name="_Hlk57884087"/>
    </w:p>
    <w:p w14:paraId="38704A2D">
      <w:pPr>
        <w:adjustRightInd w:val="0"/>
        <w:snapToGrid w:val="0"/>
        <w:spacing w:line="288" w:lineRule="auto"/>
        <w:ind w:firstLine="1040"/>
        <w:rPr>
          <w:rFonts w:eastAsia="仿宋_GB2312"/>
          <w:sz w:val="36"/>
          <w:szCs w:val="36"/>
        </w:rPr>
      </w:pPr>
    </w:p>
    <w:p w14:paraId="46DA6B80">
      <w:pPr>
        <w:adjustRightInd w:val="0"/>
        <w:snapToGrid w:val="0"/>
        <w:spacing w:line="288" w:lineRule="auto"/>
        <w:ind w:firstLine="1040"/>
        <w:rPr>
          <w:rFonts w:eastAsia="仿宋_GB2312"/>
          <w:sz w:val="36"/>
          <w:szCs w:val="36"/>
        </w:rPr>
      </w:pPr>
    </w:p>
    <w:p w14:paraId="5709B6CB">
      <w:pPr>
        <w:adjustRightInd w:val="0"/>
        <w:snapToGrid w:val="0"/>
        <w:spacing w:line="288" w:lineRule="auto"/>
        <w:ind w:firstLine="1040"/>
        <w:rPr>
          <w:rFonts w:eastAsia="仿宋_GB2312"/>
          <w:sz w:val="36"/>
          <w:szCs w:val="36"/>
        </w:rPr>
      </w:pPr>
    </w:p>
    <w:p w14:paraId="2AB67B90">
      <w:pPr>
        <w:adjustRightInd w:val="0"/>
        <w:snapToGrid w:val="0"/>
        <w:spacing w:line="288" w:lineRule="auto"/>
        <w:ind w:firstLine="1040"/>
        <w:rPr>
          <w:rFonts w:eastAsia="仿宋_GB2312"/>
          <w:sz w:val="36"/>
          <w:szCs w:val="36"/>
        </w:rPr>
      </w:pPr>
    </w:p>
    <w:bookmarkEnd w:id="0"/>
    <w:p w14:paraId="35AF19C8">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197CD8AA">
      <w:pPr>
        <w:adjustRightInd w:val="0"/>
        <w:snapToGrid w:val="0"/>
        <w:spacing w:line="288" w:lineRule="auto"/>
        <w:ind w:firstLine="1040"/>
        <w:rPr>
          <w:rFonts w:eastAsia="仿宋_GB2312"/>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15035D6">
      <w:pPr>
        <w:adjustRightInd w:val="0"/>
        <w:snapToGrid w:val="0"/>
        <w:spacing w:line="288" w:lineRule="auto"/>
        <w:rPr>
          <w:rFonts w:eastAsia="仿宋_GB2312"/>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drawing>
          <wp:anchor distT="0" distB="0" distL="114300" distR="114300" simplePos="0" relativeHeight="251669504" behindDoc="0" locked="0" layoutInCell="1" allowOverlap="1">
            <wp:simplePos x="0" y="0"/>
            <wp:positionH relativeFrom="column">
              <wp:posOffset>-867410</wp:posOffset>
            </wp:positionH>
            <wp:positionV relativeFrom="paragraph">
              <wp:posOffset>-868045</wp:posOffset>
            </wp:positionV>
            <wp:extent cx="7321550" cy="10370820"/>
            <wp:effectExtent l="0" t="0" r="12700" b="11430"/>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7"/>
                    <a:stretch>
                      <a:fillRect/>
                    </a:stretch>
                  </pic:blipFill>
                  <pic:spPr>
                    <a:xfrm>
                      <a:off x="0" y="0"/>
                      <a:ext cx="7321550" cy="10370820"/>
                    </a:xfrm>
                    <a:prstGeom prst="rect">
                      <a:avLst/>
                    </a:prstGeom>
                    <a:noFill/>
                    <a:ln>
                      <a:noFill/>
                    </a:ln>
                  </pic:spPr>
                </pic:pic>
              </a:graphicData>
            </a:graphic>
          </wp:anchor>
        </w:drawing>
      </w:r>
    </w:p>
    <w:p w14:paraId="65909E6A">
      <w:pPr>
        <w:jc w:val="center"/>
        <w:outlineLvl w:val="0"/>
        <w:rPr>
          <w:rFonts w:eastAsia="黑体"/>
          <w:snapToGrid w:val="0"/>
          <w:sz w:val="30"/>
          <w:szCs w:val="30"/>
        </w:rPr>
      </w:pPr>
      <w:r>
        <w:rPr>
          <w:rFonts w:eastAsia="黑体"/>
          <w:snapToGrid w:val="0"/>
          <w:sz w:val="30"/>
          <w:szCs w:val="30"/>
        </w:rPr>
        <w:t>一、建设项目基本情况</w:t>
      </w:r>
    </w:p>
    <w:tbl>
      <w:tblPr>
        <w:tblStyle w:val="1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3"/>
        <w:gridCol w:w="2417"/>
        <w:gridCol w:w="2098"/>
        <w:gridCol w:w="2962"/>
      </w:tblGrid>
      <w:tr w14:paraId="276AD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781A2C3C">
            <w:pPr>
              <w:adjustRightInd w:val="0"/>
              <w:snapToGrid w:val="0"/>
              <w:jc w:val="center"/>
              <w:rPr>
                <w:sz w:val="26"/>
                <w:szCs w:val="26"/>
              </w:rPr>
            </w:pPr>
            <w:r>
              <w:rPr>
                <w:sz w:val="26"/>
                <w:szCs w:val="26"/>
              </w:rPr>
              <w:t>建设项目名称</w:t>
            </w:r>
          </w:p>
        </w:tc>
        <w:tc>
          <w:tcPr>
            <w:tcW w:w="7477" w:type="dxa"/>
            <w:gridSpan w:val="3"/>
            <w:vAlign w:val="center"/>
          </w:tcPr>
          <w:p w14:paraId="1F1FF0EF">
            <w:pPr>
              <w:adjustRightInd w:val="0"/>
              <w:snapToGrid w:val="0"/>
              <w:jc w:val="center"/>
              <w:rPr>
                <w:sz w:val="26"/>
                <w:szCs w:val="26"/>
              </w:rPr>
            </w:pPr>
            <w:r>
              <w:rPr>
                <w:rFonts w:hint="eastAsia"/>
                <w:sz w:val="26"/>
                <w:szCs w:val="26"/>
              </w:rPr>
              <w:t>华福路加油站</w:t>
            </w:r>
            <w:r>
              <w:rPr>
                <w:rFonts w:hint="eastAsia"/>
                <w:sz w:val="26"/>
                <w:szCs w:val="26"/>
                <w:lang w:val="en-US" w:eastAsia="zh-CN"/>
              </w:rPr>
              <w:t>工艺</w:t>
            </w:r>
            <w:r>
              <w:rPr>
                <w:rFonts w:hint="eastAsia"/>
                <w:sz w:val="26"/>
                <w:szCs w:val="26"/>
              </w:rPr>
              <w:t>改造项目</w:t>
            </w:r>
          </w:p>
        </w:tc>
      </w:tr>
      <w:tr w14:paraId="0B983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483F89D8">
            <w:pPr>
              <w:adjustRightInd w:val="0"/>
              <w:snapToGrid w:val="0"/>
              <w:jc w:val="center"/>
              <w:rPr>
                <w:sz w:val="26"/>
                <w:szCs w:val="26"/>
              </w:rPr>
            </w:pPr>
            <w:r>
              <w:rPr>
                <w:sz w:val="26"/>
                <w:szCs w:val="26"/>
              </w:rPr>
              <w:t>项目代码</w:t>
            </w:r>
          </w:p>
        </w:tc>
        <w:tc>
          <w:tcPr>
            <w:tcW w:w="7477" w:type="dxa"/>
            <w:gridSpan w:val="3"/>
            <w:vAlign w:val="center"/>
          </w:tcPr>
          <w:p w14:paraId="489808D9">
            <w:pPr>
              <w:adjustRightInd w:val="0"/>
              <w:snapToGrid w:val="0"/>
              <w:jc w:val="center"/>
              <w:rPr>
                <w:sz w:val="26"/>
                <w:szCs w:val="26"/>
              </w:rPr>
            </w:pPr>
            <w:r>
              <w:rPr>
                <w:rFonts w:hint="eastAsia"/>
                <w:sz w:val="26"/>
                <w:szCs w:val="26"/>
              </w:rPr>
              <w:t>2509-500107-04-05-867563</w:t>
            </w:r>
          </w:p>
        </w:tc>
      </w:tr>
      <w:tr w14:paraId="59046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6A7A7610">
            <w:pPr>
              <w:adjustRightInd w:val="0"/>
              <w:snapToGrid w:val="0"/>
              <w:jc w:val="center"/>
              <w:rPr>
                <w:sz w:val="26"/>
                <w:szCs w:val="26"/>
              </w:rPr>
            </w:pPr>
            <w:r>
              <w:rPr>
                <w:sz w:val="26"/>
                <w:szCs w:val="26"/>
              </w:rPr>
              <w:t>建设单位联系人</w:t>
            </w:r>
          </w:p>
        </w:tc>
        <w:tc>
          <w:tcPr>
            <w:tcW w:w="2417" w:type="dxa"/>
            <w:vAlign w:val="center"/>
          </w:tcPr>
          <w:p w14:paraId="7710255E">
            <w:pPr>
              <w:adjustRightInd w:val="0"/>
              <w:snapToGrid w:val="0"/>
              <w:jc w:val="center"/>
              <w:rPr>
                <w:rFonts w:hint="eastAsia" w:eastAsia="宋体"/>
                <w:sz w:val="26"/>
                <w:szCs w:val="26"/>
                <w:lang w:eastAsia="zh-CN"/>
              </w:rPr>
            </w:pPr>
            <w:r>
              <w:rPr>
                <w:rFonts w:hint="eastAsia"/>
                <w:sz w:val="26"/>
                <w:szCs w:val="26"/>
                <w:lang w:val="en-US" w:eastAsia="zh-CN"/>
              </w:rPr>
              <w:t>彭*</w:t>
            </w:r>
          </w:p>
        </w:tc>
        <w:tc>
          <w:tcPr>
            <w:tcW w:w="2098" w:type="dxa"/>
            <w:vAlign w:val="center"/>
          </w:tcPr>
          <w:p w14:paraId="41767405">
            <w:pPr>
              <w:adjustRightInd w:val="0"/>
              <w:snapToGrid w:val="0"/>
              <w:jc w:val="center"/>
              <w:rPr>
                <w:sz w:val="26"/>
                <w:szCs w:val="26"/>
              </w:rPr>
            </w:pPr>
            <w:r>
              <w:rPr>
                <w:sz w:val="26"/>
                <w:szCs w:val="26"/>
              </w:rPr>
              <w:t>联系方式</w:t>
            </w:r>
          </w:p>
        </w:tc>
        <w:tc>
          <w:tcPr>
            <w:tcW w:w="2962" w:type="dxa"/>
            <w:vAlign w:val="center"/>
          </w:tcPr>
          <w:p w14:paraId="784DBACE">
            <w:pPr>
              <w:adjustRightInd w:val="0"/>
              <w:snapToGrid w:val="0"/>
              <w:jc w:val="center"/>
              <w:rPr>
                <w:sz w:val="26"/>
                <w:szCs w:val="26"/>
              </w:rPr>
            </w:pPr>
            <w:r>
              <w:rPr>
                <w:rFonts w:hint="eastAsia"/>
                <w:sz w:val="26"/>
                <w:szCs w:val="26"/>
              </w:rPr>
              <w:t>18</w:t>
            </w:r>
            <w:r>
              <w:rPr>
                <w:rFonts w:hint="eastAsia"/>
                <w:sz w:val="26"/>
                <w:szCs w:val="26"/>
                <w:lang w:val="en-US" w:eastAsia="zh-CN"/>
              </w:rPr>
              <w:t>*******</w:t>
            </w:r>
            <w:r>
              <w:rPr>
                <w:rFonts w:hint="eastAsia"/>
                <w:sz w:val="26"/>
                <w:szCs w:val="26"/>
              </w:rPr>
              <w:t>51</w:t>
            </w:r>
          </w:p>
        </w:tc>
      </w:tr>
      <w:tr w14:paraId="6C3AC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19C7C5F0">
            <w:pPr>
              <w:adjustRightInd w:val="0"/>
              <w:snapToGrid w:val="0"/>
              <w:jc w:val="center"/>
              <w:rPr>
                <w:sz w:val="26"/>
                <w:szCs w:val="26"/>
              </w:rPr>
            </w:pPr>
            <w:r>
              <w:rPr>
                <w:sz w:val="26"/>
                <w:szCs w:val="26"/>
              </w:rPr>
              <w:t>建设地点</w:t>
            </w:r>
          </w:p>
        </w:tc>
        <w:tc>
          <w:tcPr>
            <w:tcW w:w="7477" w:type="dxa"/>
            <w:gridSpan w:val="3"/>
            <w:vAlign w:val="center"/>
          </w:tcPr>
          <w:p w14:paraId="2001482E">
            <w:pPr>
              <w:adjustRightInd w:val="0"/>
              <w:snapToGrid w:val="0"/>
              <w:jc w:val="center"/>
              <w:rPr>
                <w:sz w:val="26"/>
                <w:szCs w:val="26"/>
              </w:rPr>
            </w:pPr>
            <w:r>
              <w:rPr>
                <w:rFonts w:ascii="宋体" w:hAnsi="宋体" w:cs="宋体"/>
                <w:sz w:val="26"/>
                <w:szCs w:val="26"/>
                <w:u w:val="single"/>
              </w:rPr>
              <w:t xml:space="preserve">   </w:t>
            </w:r>
            <w:r>
              <w:rPr>
                <w:rFonts w:hint="eastAsia" w:ascii="宋体" w:hAnsi="宋体" w:cs="宋体"/>
                <w:sz w:val="26"/>
                <w:szCs w:val="26"/>
                <w:u w:val="single"/>
              </w:rPr>
              <w:t>/</w:t>
            </w:r>
            <w:r>
              <w:rPr>
                <w:rFonts w:ascii="宋体" w:hAnsi="宋体" w:cs="宋体"/>
                <w:sz w:val="26"/>
                <w:szCs w:val="26"/>
                <w:u w:val="single"/>
              </w:rPr>
              <w:t xml:space="preserve"> </w:t>
            </w:r>
            <w:r>
              <w:rPr>
                <w:rFonts w:hint="eastAsia" w:ascii="宋体" w:hAnsi="宋体" w:cs="宋体"/>
                <w:sz w:val="26"/>
                <w:szCs w:val="26"/>
              </w:rPr>
              <w:t>省（自治区）</w:t>
            </w:r>
            <w:r>
              <w:rPr>
                <w:sz w:val="26"/>
                <w:szCs w:val="26"/>
                <w:u w:val="single"/>
              </w:rPr>
              <w:t>重庆</w:t>
            </w:r>
            <w:r>
              <w:rPr>
                <w:sz w:val="26"/>
                <w:szCs w:val="26"/>
              </w:rPr>
              <w:t>市</w:t>
            </w:r>
            <w:r>
              <w:rPr>
                <w:rFonts w:hint="eastAsia"/>
                <w:sz w:val="26"/>
                <w:szCs w:val="26"/>
                <w:u w:val="single"/>
                <w:lang w:val="en-US" w:eastAsia="zh-CN"/>
              </w:rPr>
              <w:t>九龙坡</w:t>
            </w:r>
            <w:r>
              <w:rPr>
                <w:sz w:val="26"/>
                <w:szCs w:val="26"/>
              </w:rPr>
              <w:t>区</w:t>
            </w:r>
            <w:r>
              <w:rPr>
                <w:rFonts w:hint="eastAsia"/>
                <w:sz w:val="26"/>
                <w:szCs w:val="26"/>
              </w:rPr>
              <w:t>华福大道北段400号</w:t>
            </w:r>
          </w:p>
        </w:tc>
      </w:tr>
      <w:tr w14:paraId="4D83E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259DFB18">
            <w:pPr>
              <w:adjustRightInd w:val="0"/>
              <w:snapToGrid w:val="0"/>
              <w:jc w:val="center"/>
              <w:rPr>
                <w:sz w:val="26"/>
                <w:szCs w:val="26"/>
              </w:rPr>
            </w:pPr>
            <w:r>
              <w:rPr>
                <w:sz w:val="26"/>
                <w:szCs w:val="26"/>
              </w:rPr>
              <w:t>地理坐标</w:t>
            </w:r>
          </w:p>
        </w:tc>
        <w:tc>
          <w:tcPr>
            <w:tcW w:w="7477" w:type="dxa"/>
            <w:gridSpan w:val="3"/>
            <w:vAlign w:val="center"/>
          </w:tcPr>
          <w:p w14:paraId="38B687C9">
            <w:pPr>
              <w:jc w:val="center"/>
              <w:rPr>
                <w:sz w:val="26"/>
                <w:szCs w:val="26"/>
              </w:rPr>
            </w:pPr>
            <w:r>
              <w:rPr>
                <w:sz w:val="26"/>
                <w:szCs w:val="26"/>
              </w:rPr>
              <w:t>（106度</w:t>
            </w:r>
            <w:r>
              <w:rPr>
                <w:rFonts w:hint="eastAsia"/>
                <w:sz w:val="26"/>
                <w:szCs w:val="26"/>
                <w:lang w:val="en-US" w:eastAsia="zh-CN"/>
              </w:rPr>
              <w:t>26</w:t>
            </w:r>
            <w:r>
              <w:rPr>
                <w:sz w:val="26"/>
                <w:szCs w:val="26"/>
              </w:rPr>
              <w:t>分</w:t>
            </w:r>
            <w:r>
              <w:rPr>
                <w:rFonts w:hint="eastAsia"/>
                <w:sz w:val="26"/>
                <w:szCs w:val="26"/>
                <w:lang w:val="en-US" w:eastAsia="zh-CN"/>
              </w:rPr>
              <w:t>6.229</w:t>
            </w:r>
            <w:r>
              <w:rPr>
                <w:sz w:val="26"/>
                <w:szCs w:val="26"/>
              </w:rPr>
              <w:t>秒，29度</w:t>
            </w:r>
            <w:r>
              <w:rPr>
                <w:rFonts w:hint="eastAsia"/>
                <w:sz w:val="26"/>
                <w:szCs w:val="26"/>
                <w:lang w:val="en-US" w:eastAsia="zh-CN"/>
              </w:rPr>
              <w:t>25</w:t>
            </w:r>
            <w:r>
              <w:rPr>
                <w:sz w:val="26"/>
                <w:szCs w:val="26"/>
              </w:rPr>
              <w:t>分</w:t>
            </w:r>
            <w:r>
              <w:rPr>
                <w:rFonts w:hint="eastAsia"/>
                <w:sz w:val="26"/>
                <w:szCs w:val="26"/>
                <w:lang w:val="en-US" w:eastAsia="zh-CN"/>
              </w:rPr>
              <w:t>15.155</w:t>
            </w:r>
            <w:r>
              <w:rPr>
                <w:sz w:val="26"/>
                <w:szCs w:val="26"/>
              </w:rPr>
              <w:t>秒）</w:t>
            </w:r>
          </w:p>
        </w:tc>
      </w:tr>
      <w:tr w14:paraId="70193C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93" w:type="dxa"/>
            <w:tcMar>
              <w:top w:w="16" w:type="dxa"/>
              <w:left w:w="16" w:type="dxa"/>
              <w:right w:w="16" w:type="dxa"/>
            </w:tcMar>
            <w:vAlign w:val="center"/>
          </w:tcPr>
          <w:p w14:paraId="5892AEC3">
            <w:pPr>
              <w:adjustRightInd w:val="0"/>
              <w:snapToGrid w:val="0"/>
              <w:jc w:val="center"/>
              <w:rPr>
                <w:sz w:val="26"/>
                <w:szCs w:val="26"/>
              </w:rPr>
            </w:pPr>
            <w:r>
              <w:rPr>
                <w:sz w:val="26"/>
                <w:szCs w:val="26"/>
              </w:rPr>
              <w:t>国民经济</w:t>
            </w:r>
          </w:p>
          <w:p w14:paraId="0E4755A5">
            <w:pPr>
              <w:adjustRightInd w:val="0"/>
              <w:snapToGrid w:val="0"/>
              <w:jc w:val="center"/>
              <w:rPr>
                <w:sz w:val="26"/>
                <w:szCs w:val="26"/>
              </w:rPr>
            </w:pPr>
            <w:r>
              <w:rPr>
                <w:sz w:val="26"/>
                <w:szCs w:val="26"/>
              </w:rPr>
              <w:t>行业类别</w:t>
            </w:r>
          </w:p>
        </w:tc>
        <w:tc>
          <w:tcPr>
            <w:tcW w:w="2417" w:type="dxa"/>
            <w:vAlign w:val="center"/>
          </w:tcPr>
          <w:p w14:paraId="61AD5682">
            <w:pPr>
              <w:adjustRightInd w:val="0"/>
              <w:snapToGrid w:val="0"/>
              <w:jc w:val="center"/>
              <w:rPr>
                <w:sz w:val="26"/>
                <w:szCs w:val="26"/>
              </w:rPr>
            </w:pPr>
            <w:r>
              <w:rPr>
                <w:sz w:val="26"/>
                <w:szCs w:val="26"/>
              </w:rPr>
              <w:t>F</w:t>
            </w:r>
            <w:r>
              <w:rPr>
                <w:rFonts w:hint="eastAsia"/>
                <w:sz w:val="26"/>
                <w:szCs w:val="26"/>
              </w:rPr>
              <w:t>5</w:t>
            </w:r>
            <w:r>
              <w:rPr>
                <w:sz w:val="26"/>
                <w:szCs w:val="26"/>
              </w:rPr>
              <w:t>265</w:t>
            </w:r>
            <w:r>
              <w:rPr>
                <w:rFonts w:hint="eastAsia"/>
                <w:sz w:val="26"/>
                <w:szCs w:val="26"/>
              </w:rPr>
              <w:t>机动车燃油零售</w:t>
            </w:r>
          </w:p>
        </w:tc>
        <w:tc>
          <w:tcPr>
            <w:tcW w:w="2098" w:type="dxa"/>
            <w:vAlign w:val="center"/>
          </w:tcPr>
          <w:p w14:paraId="51DCA293">
            <w:pPr>
              <w:adjustRightInd w:val="0"/>
              <w:snapToGrid w:val="0"/>
              <w:jc w:val="center"/>
              <w:rPr>
                <w:sz w:val="26"/>
                <w:szCs w:val="26"/>
              </w:rPr>
            </w:pPr>
            <w:bookmarkStart w:id="1" w:name="_Hlk49843745"/>
            <w:r>
              <w:rPr>
                <w:sz w:val="26"/>
                <w:szCs w:val="26"/>
              </w:rPr>
              <w:t>建设项目</w:t>
            </w:r>
          </w:p>
          <w:p w14:paraId="1855CA14">
            <w:pPr>
              <w:adjustRightInd w:val="0"/>
              <w:snapToGrid w:val="0"/>
              <w:jc w:val="center"/>
              <w:rPr>
                <w:sz w:val="26"/>
                <w:szCs w:val="26"/>
              </w:rPr>
            </w:pPr>
            <w:r>
              <w:rPr>
                <w:sz w:val="26"/>
                <w:szCs w:val="26"/>
              </w:rPr>
              <w:t>行业类别</w:t>
            </w:r>
            <w:bookmarkEnd w:id="1"/>
          </w:p>
        </w:tc>
        <w:tc>
          <w:tcPr>
            <w:tcW w:w="2962" w:type="dxa"/>
            <w:vAlign w:val="center"/>
          </w:tcPr>
          <w:p w14:paraId="2E363197">
            <w:pPr>
              <w:adjustRightInd w:val="0"/>
              <w:snapToGrid w:val="0"/>
              <w:rPr>
                <w:sz w:val="26"/>
                <w:szCs w:val="26"/>
              </w:rPr>
            </w:pPr>
            <w:r>
              <w:rPr>
                <w:rFonts w:hint="eastAsia"/>
                <w:sz w:val="26"/>
                <w:szCs w:val="26"/>
              </w:rPr>
              <w:t>“五十、社会事业与服务业”中“</w:t>
            </w:r>
            <w:r>
              <w:rPr>
                <w:sz w:val="26"/>
                <w:szCs w:val="26"/>
              </w:rPr>
              <w:t>119</w:t>
            </w:r>
            <w:r>
              <w:rPr>
                <w:rFonts w:hint="eastAsia"/>
                <w:sz w:val="26"/>
                <w:szCs w:val="26"/>
              </w:rPr>
              <w:t xml:space="preserve"> 加油、加气站”中“城市建成区新建、扩建加油站”</w:t>
            </w:r>
          </w:p>
        </w:tc>
      </w:tr>
      <w:tr w14:paraId="679D5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93" w:type="dxa"/>
            <w:tcMar>
              <w:top w:w="16" w:type="dxa"/>
              <w:left w:w="16" w:type="dxa"/>
              <w:right w:w="16" w:type="dxa"/>
            </w:tcMar>
            <w:vAlign w:val="center"/>
          </w:tcPr>
          <w:p w14:paraId="13425BF6">
            <w:pPr>
              <w:adjustRightInd w:val="0"/>
              <w:snapToGrid w:val="0"/>
              <w:jc w:val="center"/>
              <w:rPr>
                <w:sz w:val="26"/>
                <w:szCs w:val="26"/>
              </w:rPr>
            </w:pPr>
            <w:r>
              <w:rPr>
                <w:sz w:val="26"/>
                <w:szCs w:val="26"/>
              </w:rPr>
              <w:t>建设性质</w:t>
            </w:r>
          </w:p>
        </w:tc>
        <w:tc>
          <w:tcPr>
            <w:tcW w:w="2417" w:type="dxa"/>
            <w:vAlign w:val="center"/>
          </w:tcPr>
          <w:p w14:paraId="73CEB186">
            <w:pPr>
              <w:jc w:val="left"/>
              <w:rPr>
                <w:sz w:val="22"/>
                <w:szCs w:val="22"/>
              </w:rPr>
            </w:pPr>
            <w:r>
              <w:rPr>
                <w:rFonts w:hint="eastAsia"/>
                <w:sz w:val="22"/>
                <w:szCs w:val="22"/>
              </w:rPr>
              <w:t>□</w:t>
            </w:r>
            <w:r>
              <w:rPr>
                <w:sz w:val="26"/>
                <w:szCs w:val="26"/>
              </w:rPr>
              <w:t>新建（迁建）</w:t>
            </w:r>
          </w:p>
          <w:p w14:paraId="5B7D549E">
            <w:pPr>
              <w:jc w:val="left"/>
              <w:rPr>
                <w:sz w:val="22"/>
                <w:szCs w:val="22"/>
              </w:rPr>
            </w:pPr>
            <w:r>
              <w:rPr>
                <w:rFonts w:hint="eastAsia"/>
                <w:sz w:val="22"/>
                <w:szCs w:val="22"/>
              </w:rPr>
              <w:sym w:font="Wingdings 2" w:char="0052"/>
            </w:r>
            <w:r>
              <w:rPr>
                <w:sz w:val="26"/>
                <w:szCs w:val="26"/>
              </w:rPr>
              <w:t>改建</w:t>
            </w:r>
          </w:p>
          <w:p w14:paraId="722423D0">
            <w:pPr>
              <w:jc w:val="left"/>
              <w:rPr>
                <w:sz w:val="22"/>
                <w:szCs w:val="22"/>
              </w:rPr>
            </w:pPr>
            <w:r>
              <w:rPr>
                <w:rFonts w:hint="eastAsia"/>
                <w:sz w:val="22"/>
                <w:szCs w:val="22"/>
              </w:rPr>
              <w:sym w:font="Wingdings 2" w:char="0052"/>
            </w:r>
            <w:r>
              <w:rPr>
                <w:sz w:val="26"/>
                <w:szCs w:val="26"/>
              </w:rPr>
              <w:t>扩建</w:t>
            </w:r>
          </w:p>
          <w:p w14:paraId="6F7ECA69">
            <w:pPr>
              <w:jc w:val="left"/>
              <w:rPr>
                <w:sz w:val="26"/>
                <w:szCs w:val="26"/>
              </w:rPr>
            </w:pPr>
            <w:r>
              <w:rPr>
                <w:rFonts w:hint="eastAsia"/>
                <w:sz w:val="22"/>
                <w:szCs w:val="22"/>
              </w:rPr>
              <w:t>□</w:t>
            </w:r>
            <w:r>
              <w:rPr>
                <w:sz w:val="26"/>
                <w:szCs w:val="26"/>
              </w:rPr>
              <w:t>技术改造</w:t>
            </w:r>
          </w:p>
        </w:tc>
        <w:tc>
          <w:tcPr>
            <w:tcW w:w="2098" w:type="dxa"/>
            <w:vAlign w:val="center"/>
          </w:tcPr>
          <w:p w14:paraId="6E28150E">
            <w:pPr>
              <w:adjustRightInd w:val="0"/>
              <w:snapToGrid w:val="0"/>
              <w:jc w:val="center"/>
              <w:rPr>
                <w:sz w:val="26"/>
                <w:szCs w:val="26"/>
              </w:rPr>
            </w:pPr>
            <w:r>
              <w:rPr>
                <w:sz w:val="26"/>
                <w:szCs w:val="26"/>
              </w:rPr>
              <w:t>建设项目</w:t>
            </w:r>
          </w:p>
          <w:p w14:paraId="12BC9E1E">
            <w:pPr>
              <w:adjustRightInd w:val="0"/>
              <w:snapToGrid w:val="0"/>
              <w:jc w:val="center"/>
              <w:rPr>
                <w:sz w:val="26"/>
                <w:szCs w:val="26"/>
              </w:rPr>
            </w:pPr>
            <w:r>
              <w:rPr>
                <w:sz w:val="26"/>
                <w:szCs w:val="26"/>
              </w:rPr>
              <w:t>申报情形</w:t>
            </w:r>
          </w:p>
        </w:tc>
        <w:tc>
          <w:tcPr>
            <w:tcW w:w="2962" w:type="dxa"/>
            <w:vAlign w:val="center"/>
          </w:tcPr>
          <w:p w14:paraId="690AAB41">
            <w:pPr>
              <w:jc w:val="left"/>
              <w:rPr>
                <w:sz w:val="22"/>
                <w:szCs w:val="22"/>
              </w:rPr>
            </w:pPr>
            <w:r>
              <w:rPr>
                <w:rFonts w:hint="eastAsia"/>
                <w:sz w:val="22"/>
                <w:szCs w:val="22"/>
              </w:rPr>
              <w:sym w:font="Wingdings 2" w:char="0052"/>
            </w:r>
            <w:r>
              <w:rPr>
                <w:sz w:val="26"/>
                <w:szCs w:val="26"/>
              </w:rPr>
              <w:t>首次申报项目</w:t>
            </w:r>
            <w:r>
              <w:rPr>
                <w:sz w:val="22"/>
                <w:szCs w:val="22"/>
              </w:rPr>
              <w:t xml:space="preserve">             </w:t>
            </w:r>
          </w:p>
          <w:p w14:paraId="5958CBF5">
            <w:pPr>
              <w:jc w:val="left"/>
              <w:rPr>
                <w:sz w:val="26"/>
                <w:szCs w:val="26"/>
              </w:rPr>
            </w:pPr>
            <w:r>
              <w:rPr>
                <w:rFonts w:hint="eastAsia"/>
                <w:sz w:val="22"/>
                <w:szCs w:val="22"/>
              </w:rPr>
              <w:t>□</w:t>
            </w:r>
            <w:r>
              <w:rPr>
                <w:sz w:val="26"/>
                <w:szCs w:val="26"/>
              </w:rPr>
              <w:t>不予批准后再次申报项目</w:t>
            </w:r>
          </w:p>
          <w:p w14:paraId="3E954CB2">
            <w:pPr>
              <w:jc w:val="left"/>
              <w:rPr>
                <w:sz w:val="22"/>
                <w:szCs w:val="22"/>
              </w:rPr>
            </w:pPr>
            <w:r>
              <w:rPr>
                <w:rFonts w:hint="eastAsia"/>
                <w:sz w:val="22"/>
                <w:szCs w:val="22"/>
              </w:rPr>
              <w:t>□</w:t>
            </w:r>
            <w:r>
              <w:rPr>
                <w:sz w:val="26"/>
                <w:szCs w:val="26"/>
              </w:rPr>
              <w:t xml:space="preserve">超五年重新审核项目 </w:t>
            </w:r>
            <w:r>
              <w:rPr>
                <w:sz w:val="22"/>
                <w:szCs w:val="22"/>
              </w:rPr>
              <w:t xml:space="preserve">    </w:t>
            </w:r>
          </w:p>
          <w:p w14:paraId="00AC2894">
            <w:pPr>
              <w:jc w:val="left"/>
              <w:rPr>
                <w:sz w:val="26"/>
                <w:szCs w:val="26"/>
              </w:rPr>
            </w:pPr>
            <w:r>
              <w:rPr>
                <w:rFonts w:hint="eastAsia"/>
                <w:sz w:val="22"/>
                <w:szCs w:val="22"/>
              </w:rPr>
              <w:t>□</w:t>
            </w:r>
            <w:r>
              <w:rPr>
                <w:sz w:val="26"/>
                <w:szCs w:val="26"/>
              </w:rPr>
              <w:t>重大变动重新报批项目</w:t>
            </w:r>
          </w:p>
        </w:tc>
      </w:tr>
      <w:tr w14:paraId="2FC7E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93" w:type="dxa"/>
            <w:tcMar>
              <w:top w:w="16" w:type="dxa"/>
              <w:left w:w="16" w:type="dxa"/>
              <w:right w:w="16" w:type="dxa"/>
            </w:tcMar>
            <w:vAlign w:val="center"/>
          </w:tcPr>
          <w:p w14:paraId="19FB624E">
            <w:pPr>
              <w:adjustRightInd w:val="0"/>
              <w:snapToGrid w:val="0"/>
              <w:jc w:val="center"/>
              <w:rPr>
                <w:sz w:val="26"/>
                <w:szCs w:val="26"/>
              </w:rPr>
            </w:pPr>
            <w:r>
              <w:rPr>
                <w:sz w:val="26"/>
                <w:szCs w:val="26"/>
              </w:rPr>
              <w:t>项目审批（核准/</w:t>
            </w:r>
          </w:p>
          <w:p w14:paraId="5BF71C02">
            <w:pPr>
              <w:adjustRightInd w:val="0"/>
              <w:snapToGrid w:val="0"/>
              <w:jc w:val="center"/>
              <w:rPr>
                <w:sz w:val="26"/>
                <w:szCs w:val="26"/>
              </w:rPr>
            </w:pPr>
            <w:r>
              <w:rPr>
                <w:sz w:val="26"/>
                <w:szCs w:val="26"/>
              </w:rPr>
              <w:t>备案）部门（选填）</w:t>
            </w:r>
          </w:p>
        </w:tc>
        <w:tc>
          <w:tcPr>
            <w:tcW w:w="2417" w:type="dxa"/>
            <w:vAlign w:val="center"/>
          </w:tcPr>
          <w:p w14:paraId="31FA521E">
            <w:pPr>
              <w:adjustRightInd w:val="0"/>
              <w:snapToGrid w:val="0"/>
              <w:jc w:val="center"/>
              <w:rPr>
                <w:sz w:val="26"/>
                <w:szCs w:val="26"/>
              </w:rPr>
            </w:pPr>
            <w:r>
              <w:rPr>
                <w:rFonts w:hint="eastAsia"/>
                <w:sz w:val="26"/>
                <w:szCs w:val="26"/>
                <w:lang w:val="en-US" w:eastAsia="zh-CN"/>
              </w:rPr>
              <w:t>重庆市九龙坡</w:t>
            </w:r>
            <w:r>
              <w:rPr>
                <w:rFonts w:hint="eastAsia"/>
                <w:sz w:val="26"/>
                <w:szCs w:val="26"/>
              </w:rPr>
              <w:t>区发展和改革委员会</w:t>
            </w:r>
          </w:p>
        </w:tc>
        <w:tc>
          <w:tcPr>
            <w:tcW w:w="2098" w:type="dxa"/>
            <w:vAlign w:val="center"/>
          </w:tcPr>
          <w:p w14:paraId="6B2D171F">
            <w:pPr>
              <w:adjustRightInd w:val="0"/>
              <w:snapToGrid w:val="0"/>
              <w:jc w:val="center"/>
              <w:rPr>
                <w:sz w:val="26"/>
                <w:szCs w:val="26"/>
              </w:rPr>
            </w:pPr>
            <w:r>
              <w:rPr>
                <w:sz w:val="26"/>
                <w:szCs w:val="26"/>
              </w:rPr>
              <w:t>项目审批（核准/</w:t>
            </w:r>
          </w:p>
          <w:p w14:paraId="3BDCF261">
            <w:pPr>
              <w:adjustRightInd w:val="0"/>
              <w:snapToGrid w:val="0"/>
              <w:jc w:val="center"/>
              <w:rPr>
                <w:sz w:val="26"/>
                <w:szCs w:val="26"/>
              </w:rPr>
            </w:pPr>
            <w:r>
              <w:rPr>
                <w:sz w:val="26"/>
                <w:szCs w:val="26"/>
              </w:rPr>
              <w:t>备案）文号（选填）</w:t>
            </w:r>
          </w:p>
        </w:tc>
        <w:tc>
          <w:tcPr>
            <w:tcW w:w="2962" w:type="dxa"/>
            <w:vAlign w:val="center"/>
          </w:tcPr>
          <w:p w14:paraId="264B3F4B">
            <w:pPr>
              <w:adjustRightInd w:val="0"/>
              <w:snapToGrid w:val="0"/>
              <w:jc w:val="center"/>
              <w:rPr>
                <w:sz w:val="26"/>
                <w:szCs w:val="26"/>
              </w:rPr>
            </w:pPr>
            <w:r>
              <w:rPr>
                <w:rFonts w:hint="eastAsia"/>
                <w:sz w:val="26"/>
                <w:szCs w:val="26"/>
              </w:rPr>
              <w:t>2509-500107-04-05-867563</w:t>
            </w:r>
          </w:p>
        </w:tc>
      </w:tr>
      <w:tr w14:paraId="1C47C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222BB9B2">
            <w:pPr>
              <w:adjustRightInd w:val="0"/>
              <w:snapToGrid w:val="0"/>
              <w:jc w:val="center"/>
              <w:rPr>
                <w:sz w:val="26"/>
                <w:szCs w:val="26"/>
              </w:rPr>
            </w:pPr>
            <w:r>
              <w:rPr>
                <w:sz w:val="26"/>
                <w:szCs w:val="26"/>
              </w:rPr>
              <w:t>总投资（万元）</w:t>
            </w:r>
          </w:p>
        </w:tc>
        <w:tc>
          <w:tcPr>
            <w:tcW w:w="2417" w:type="dxa"/>
            <w:vAlign w:val="center"/>
          </w:tcPr>
          <w:p w14:paraId="027FB7B0">
            <w:pPr>
              <w:adjustRightInd w:val="0"/>
              <w:snapToGrid w:val="0"/>
              <w:jc w:val="center"/>
              <w:rPr>
                <w:rFonts w:hint="default" w:eastAsia="宋体"/>
                <w:sz w:val="26"/>
                <w:szCs w:val="26"/>
                <w:lang w:val="en-US" w:eastAsia="zh-CN"/>
              </w:rPr>
            </w:pPr>
            <w:r>
              <w:rPr>
                <w:rFonts w:hint="eastAsia"/>
                <w:sz w:val="26"/>
                <w:szCs w:val="26"/>
                <w:lang w:val="en-US" w:eastAsia="zh-CN"/>
              </w:rPr>
              <w:t>297.9</w:t>
            </w:r>
          </w:p>
        </w:tc>
        <w:tc>
          <w:tcPr>
            <w:tcW w:w="2098" w:type="dxa"/>
            <w:tcMar>
              <w:top w:w="16" w:type="dxa"/>
              <w:left w:w="16" w:type="dxa"/>
              <w:right w:w="16" w:type="dxa"/>
            </w:tcMar>
            <w:vAlign w:val="center"/>
          </w:tcPr>
          <w:p w14:paraId="78B67C21">
            <w:pPr>
              <w:adjustRightInd w:val="0"/>
              <w:snapToGrid w:val="0"/>
              <w:jc w:val="center"/>
              <w:rPr>
                <w:sz w:val="26"/>
                <w:szCs w:val="26"/>
              </w:rPr>
            </w:pPr>
            <w:r>
              <w:rPr>
                <w:sz w:val="26"/>
                <w:szCs w:val="26"/>
              </w:rPr>
              <w:t>环保投资（万元）</w:t>
            </w:r>
          </w:p>
        </w:tc>
        <w:tc>
          <w:tcPr>
            <w:tcW w:w="2962" w:type="dxa"/>
            <w:vAlign w:val="center"/>
          </w:tcPr>
          <w:p w14:paraId="0BC4E9BE">
            <w:pPr>
              <w:adjustRightInd w:val="0"/>
              <w:snapToGrid w:val="0"/>
              <w:jc w:val="center"/>
              <w:rPr>
                <w:sz w:val="26"/>
                <w:szCs w:val="26"/>
              </w:rPr>
            </w:pPr>
            <w:r>
              <w:rPr>
                <w:sz w:val="26"/>
                <w:szCs w:val="26"/>
              </w:rPr>
              <w:t>25</w:t>
            </w:r>
          </w:p>
        </w:tc>
      </w:tr>
      <w:tr w14:paraId="55F9F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0917BA5E">
            <w:pPr>
              <w:adjustRightInd w:val="0"/>
              <w:snapToGrid w:val="0"/>
              <w:jc w:val="center"/>
              <w:rPr>
                <w:sz w:val="26"/>
                <w:szCs w:val="26"/>
              </w:rPr>
            </w:pPr>
            <w:r>
              <w:rPr>
                <w:sz w:val="26"/>
                <w:szCs w:val="26"/>
              </w:rPr>
              <w:t>环保投资占比（%）</w:t>
            </w:r>
          </w:p>
        </w:tc>
        <w:tc>
          <w:tcPr>
            <w:tcW w:w="2417" w:type="dxa"/>
            <w:vAlign w:val="center"/>
          </w:tcPr>
          <w:p w14:paraId="6E555986">
            <w:pPr>
              <w:adjustRightInd w:val="0"/>
              <w:snapToGrid w:val="0"/>
              <w:jc w:val="center"/>
              <w:rPr>
                <w:sz w:val="26"/>
                <w:szCs w:val="26"/>
              </w:rPr>
            </w:pPr>
            <w:r>
              <w:rPr>
                <w:rFonts w:hint="eastAsia"/>
                <w:sz w:val="26"/>
                <w:szCs w:val="26"/>
                <w:lang w:val="en-US" w:eastAsia="zh-CN"/>
              </w:rPr>
              <w:t>8.39</w:t>
            </w:r>
            <w:r>
              <w:rPr>
                <w:rFonts w:hint="eastAsia"/>
                <w:sz w:val="26"/>
                <w:szCs w:val="26"/>
              </w:rPr>
              <w:t>%</w:t>
            </w:r>
          </w:p>
        </w:tc>
        <w:tc>
          <w:tcPr>
            <w:tcW w:w="2098" w:type="dxa"/>
            <w:tcMar>
              <w:top w:w="16" w:type="dxa"/>
              <w:left w:w="16" w:type="dxa"/>
              <w:right w:w="16" w:type="dxa"/>
            </w:tcMar>
            <w:vAlign w:val="center"/>
          </w:tcPr>
          <w:p w14:paraId="5B585E6B">
            <w:pPr>
              <w:adjustRightInd w:val="0"/>
              <w:snapToGrid w:val="0"/>
              <w:jc w:val="center"/>
              <w:rPr>
                <w:sz w:val="26"/>
                <w:szCs w:val="26"/>
              </w:rPr>
            </w:pPr>
            <w:r>
              <w:rPr>
                <w:sz w:val="26"/>
                <w:szCs w:val="26"/>
              </w:rPr>
              <w:t>施工工期</w:t>
            </w:r>
          </w:p>
        </w:tc>
        <w:tc>
          <w:tcPr>
            <w:tcW w:w="2962" w:type="dxa"/>
            <w:vAlign w:val="center"/>
          </w:tcPr>
          <w:p w14:paraId="682B08B5">
            <w:pPr>
              <w:adjustRightInd w:val="0"/>
              <w:snapToGrid w:val="0"/>
              <w:jc w:val="center"/>
              <w:rPr>
                <w:sz w:val="26"/>
                <w:szCs w:val="26"/>
              </w:rPr>
            </w:pPr>
            <w:r>
              <w:rPr>
                <w:sz w:val="26"/>
                <w:szCs w:val="26"/>
              </w:rPr>
              <w:t>3个月</w:t>
            </w:r>
          </w:p>
        </w:tc>
      </w:tr>
      <w:tr w14:paraId="2E47A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3" w:type="dxa"/>
            <w:tcMar>
              <w:top w:w="16" w:type="dxa"/>
              <w:left w:w="16" w:type="dxa"/>
              <w:right w:w="16" w:type="dxa"/>
            </w:tcMar>
            <w:vAlign w:val="center"/>
          </w:tcPr>
          <w:p w14:paraId="72D6C1C5">
            <w:pPr>
              <w:adjustRightInd w:val="0"/>
              <w:snapToGrid w:val="0"/>
              <w:jc w:val="center"/>
              <w:rPr>
                <w:sz w:val="26"/>
                <w:szCs w:val="26"/>
              </w:rPr>
            </w:pPr>
            <w:r>
              <w:rPr>
                <w:sz w:val="26"/>
                <w:szCs w:val="26"/>
              </w:rPr>
              <w:t>是否开工建设</w:t>
            </w:r>
          </w:p>
        </w:tc>
        <w:tc>
          <w:tcPr>
            <w:tcW w:w="2417" w:type="dxa"/>
            <w:vAlign w:val="center"/>
          </w:tcPr>
          <w:p w14:paraId="33D49728">
            <w:pPr>
              <w:adjustRightInd w:val="0"/>
              <w:snapToGrid w:val="0"/>
              <w:rPr>
                <w:sz w:val="26"/>
                <w:szCs w:val="26"/>
              </w:rPr>
            </w:pPr>
            <w:r>
              <w:rPr>
                <w:rFonts w:hint="eastAsia"/>
                <w:sz w:val="22"/>
                <w:szCs w:val="22"/>
              </w:rPr>
              <w:sym w:font="Wingdings 2" w:char="0052"/>
            </w:r>
            <w:r>
              <w:rPr>
                <w:sz w:val="26"/>
                <w:szCs w:val="26"/>
              </w:rPr>
              <w:t>否</w:t>
            </w:r>
          </w:p>
          <w:p w14:paraId="7DB7A548">
            <w:pPr>
              <w:adjustRightInd w:val="0"/>
              <w:snapToGrid w:val="0"/>
              <w:rPr>
                <w:sz w:val="26"/>
                <w:szCs w:val="26"/>
              </w:rPr>
            </w:pPr>
            <w:r>
              <w:rPr>
                <w:rFonts w:hint="eastAsia"/>
                <w:sz w:val="22"/>
                <w:szCs w:val="22"/>
              </w:rPr>
              <w:t>□</w:t>
            </w:r>
            <w:r>
              <w:rPr>
                <w:sz w:val="26"/>
                <w:szCs w:val="26"/>
              </w:rPr>
              <w:t>是：</w:t>
            </w:r>
            <w:r>
              <w:rPr>
                <w:sz w:val="26"/>
                <w:szCs w:val="26"/>
                <w:u w:val="single"/>
              </w:rPr>
              <w:t xml:space="preserve"> </w:t>
            </w:r>
            <w:r>
              <w:rPr>
                <w:rFonts w:hint="eastAsia"/>
                <w:sz w:val="26"/>
                <w:szCs w:val="26"/>
                <w:u w:val="single"/>
              </w:rPr>
              <w:t xml:space="preserve">       </w:t>
            </w:r>
          </w:p>
        </w:tc>
        <w:tc>
          <w:tcPr>
            <w:tcW w:w="2098" w:type="dxa"/>
            <w:tcMar>
              <w:top w:w="16" w:type="dxa"/>
              <w:left w:w="16" w:type="dxa"/>
              <w:right w:w="16" w:type="dxa"/>
            </w:tcMar>
            <w:vAlign w:val="center"/>
          </w:tcPr>
          <w:p w14:paraId="094CAD80">
            <w:pPr>
              <w:adjustRightInd w:val="0"/>
              <w:snapToGrid w:val="0"/>
              <w:jc w:val="center"/>
              <w:rPr>
                <w:spacing w:val="-6"/>
                <w:sz w:val="26"/>
                <w:szCs w:val="26"/>
              </w:rPr>
            </w:pPr>
            <w:r>
              <w:rPr>
                <w:spacing w:val="-6"/>
                <w:sz w:val="26"/>
                <w:szCs w:val="26"/>
              </w:rPr>
              <w:t>用地（用海）</w:t>
            </w:r>
          </w:p>
          <w:p w14:paraId="5DA8C22B">
            <w:pPr>
              <w:adjustRightInd w:val="0"/>
              <w:snapToGrid w:val="0"/>
              <w:jc w:val="center"/>
              <w:rPr>
                <w:sz w:val="26"/>
                <w:szCs w:val="26"/>
              </w:rPr>
            </w:pPr>
            <w:r>
              <w:rPr>
                <w:spacing w:val="-6"/>
                <w:sz w:val="26"/>
                <w:szCs w:val="26"/>
              </w:rPr>
              <w:t>面积（m</w:t>
            </w:r>
            <w:r>
              <w:rPr>
                <w:spacing w:val="-6"/>
                <w:sz w:val="26"/>
                <w:szCs w:val="26"/>
                <w:vertAlign w:val="superscript"/>
              </w:rPr>
              <w:t>2</w:t>
            </w:r>
            <w:r>
              <w:rPr>
                <w:spacing w:val="-6"/>
                <w:sz w:val="26"/>
                <w:szCs w:val="26"/>
              </w:rPr>
              <w:t>）</w:t>
            </w:r>
          </w:p>
        </w:tc>
        <w:tc>
          <w:tcPr>
            <w:tcW w:w="2962" w:type="dxa"/>
            <w:vAlign w:val="center"/>
          </w:tcPr>
          <w:p w14:paraId="2E2DCE14">
            <w:pPr>
              <w:adjustRightInd w:val="0"/>
              <w:snapToGrid w:val="0"/>
              <w:jc w:val="center"/>
              <w:rPr>
                <w:rFonts w:hint="default" w:eastAsia="宋体"/>
                <w:sz w:val="26"/>
                <w:szCs w:val="26"/>
                <w:lang w:val="en-US" w:eastAsia="zh-CN"/>
              </w:rPr>
            </w:pPr>
            <w:r>
              <w:rPr>
                <w:rFonts w:hint="eastAsia"/>
                <w:bCs/>
                <w:color w:val="auto"/>
                <w:sz w:val="26"/>
                <w:szCs w:val="26"/>
                <w:lang w:val="en-US" w:eastAsia="zh-CN"/>
              </w:rPr>
              <w:t>3110.4</w:t>
            </w:r>
          </w:p>
        </w:tc>
      </w:tr>
      <w:tr w14:paraId="3225B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93" w:type="dxa"/>
            <w:vAlign w:val="center"/>
          </w:tcPr>
          <w:p w14:paraId="0D3845F4">
            <w:pPr>
              <w:autoSpaceDE w:val="0"/>
              <w:autoSpaceDN w:val="0"/>
              <w:adjustRightInd w:val="0"/>
              <w:snapToGrid w:val="0"/>
              <w:jc w:val="center"/>
              <w:rPr>
                <w:kern w:val="0"/>
                <w:sz w:val="26"/>
                <w:szCs w:val="26"/>
              </w:rPr>
            </w:pPr>
            <w:r>
              <w:rPr>
                <w:kern w:val="0"/>
                <w:sz w:val="26"/>
                <w:szCs w:val="26"/>
              </w:rPr>
              <w:t>专项评价设置情况</w:t>
            </w:r>
          </w:p>
        </w:tc>
        <w:tc>
          <w:tcPr>
            <w:tcW w:w="7477" w:type="dxa"/>
            <w:gridSpan w:val="3"/>
            <w:vAlign w:val="center"/>
          </w:tcPr>
          <w:p w14:paraId="1B25F7C2">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rPr>
            </w:pPr>
            <w:r>
              <w:rPr>
                <w:rFonts w:hint="default" w:ascii="Times New Roman" w:hAnsi="Times New Roman" w:cs="Times New Roman"/>
                <w:color w:val="auto"/>
                <w:sz w:val="26"/>
                <w:szCs w:val="26"/>
              </w:rPr>
              <w:t>根据建设项目环境影响报告表编制技术指南（污染影响类）（试行）表1-1，本项目无需设置专项评价，对照情况见下表：</w:t>
            </w:r>
          </w:p>
          <w:p w14:paraId="621A470B">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val="0"/>
                <w:bCs w:val="0"/>
                <w:color w:val="auto"/>
                <w:sz w:val="22"/>
                <w:szCs w:val="22"/>
              </w:rPr>
              <w:t>表1-1 专项评价设置原则对照表（截取本项目相关）</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3069"/>
              <w:gridCol w:w="2557"/>
              <w:gridCol w:w="815"/>
            </w:tblGrid>
            <w:tr w14:paraId="62C4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57" w:type="pct"/>
                  <w:noWrap w:val="0"/>
                  <w:vAlign w:val="center"/>
                </w:tcPr>
                <w:p w14:paraId="63644BB9">
                  <w:pPr>
                    <w:pStyle w:val="94"/>
                    <w:bidi w:val="0"/>
                    <w:rPr>
                      <w:rFonts w:hint="default" w:ascii="Times New Roman" w:hAnsi="Times New Roman" w:cs="Times New Roman"/>
                      <w:b w:val="0"/>
                      <w:bCs w:val="0"/>
                      <w:color w:val="auto"/>
                      <w:sz w:val="22"/>
                      <w:szCs w:val="22"/>
                    </w:rPr>
                  </w:pPr>
                  <w:r>
                    <w:rPr>
                      <w:rFonts w:hint="default" w:ascii="Times New Roman" w:hAnsi="Times New Roman" w:cs="Times New Roman"/>
                      <w:b w:val="0"/>
                      <w:bCs w:val="0"/>
                      <w:color w:val="auto"/>
                      <w:sz w:val="22"/>
                      <w:szCs w:val="22"/>
                    </w:rPr>
                    <w:t>类别</w:t>
                  </w:r>
                </w:p>
              </w:tc>
              <w:tc>
                <w:tcPr>
                  <w:tcW w:w="2116" w:type="pct"/>
                  <w:noWrap w:val="0"/>
                  <w:vAlign w:val="center"/>
                </w:tcPr>
                <w:p w14:paraId="12297A8B">
                  <w:pPr>
                    <w:pStyle w:val="94"/>
                    <w:bidi w:val="0"/>
                    <w:rPr>
                      <w:rFonts w:hint="default" w:ascii="Times New Roman" w:hAnsi="Times New Roman" w:cs="Times New Roman"/>
                      <w:b w:val="0"/>
                      <w:bCs w:val="0"/>
                      <w:color w:val="auto"/>
                      <w:sz w:val="22"/>
                      <w:szCs w:val="22"/>
                    </w:rPr>
                  </w:pPr>
                  <w:r>
                    <w:rPr>
                      <w:rFonts w:hint="default" w:ascii="Times New Roman" w:hAnsi="Times New Roman" w:cs="Times New Roman"/>
                      <w:b w:val="0"/>
                      <w:bCs w:val="0"/>
                      <w:color w:val="auto"/>
                      <w:sz w:val="22"/>
                      <w:szCs w:val="22"/>
                    </w:rPr>
                    <w:t>设置原则</w:t>
                  </w:r>
                </w:p>
              </w:tc>
              <w:tc>
                <w:tcPr>
                  <w:tcW w:w="1763" w:type="pct"/>
                  <w:noWrap w:val="0"/>
                  <w:vAlign w:val="center"/>
                </w:tcPr>
                <w:p w14:paraId="70C5C041">
                  <w:pPr>
                    <w:pStyle w:val="94"/>
                    <w:bidi w:val="0"/>
                    <w:rPr>
                      <w:rFonts w:hint="default" w:ascii="Times New Roman" w:hAnsi="Times New Roman" w:cs="Times New Roman"/>
                      <w:b w:val="0"/>
                      <w:bCs w:val="0"/>
                      <w:color w:val="auto"/>
                      <w:sz w:val="22"/>
                      <w:szCs w:val="22"/>
                    </w:rPr>
                  </w:pPr>
                  <w:r>
                    <w:rPr>
                      <w:rFonts w:hint="default" w:ascii="Times New Roman" w:hAnsi="Times New Roman" w:cs="Times New Roman"/>
                      <w:b w:val="0"/>
                      <w:bCs w:val="0"/>
                      <w:color w:val="auto"/>
                      <w:sz w:val="22"/>
                      <w:szCs w:val="22"/>
                    </w:rPr>
                    <w:t>项目情况对照</w:t>
                  </w:r>
                </w:p>
              </w:tc>
              <w:tc>
                <w:tcPr>
                  <w:tcW w:w="562" w:type="pct"/>
                  <w:noWrap w:val="0"/>
                  <w:vAlign w:val="center"/>
                </w:tcPr>
                <w:p w14:paraId="7441B538">
                  <w:pPr>
                    <w:pStyle w:val="94"/>
                    <w:bidi w:val="0"/>
                    <w:rPr>
                      <w:rFonts w:hint="default" w:ascii="Times New Roman" w:hAnsi="Times New Roman" w:cs="Times New Roman"/>
                      <w:b w:val="0"/>
                      <w:bCs w:val="0"/>
                      <w:color w:val="auto"/>
                      <w:sz w:val="22"/>
                      <w:szCs w:val="22"/>
                      <w:lang w:val="en-US" w:eastAsia="zh-CN"/>
                    </w:rPr>
                  </w:pPr>
                  <w:r>
                    <w:rPr>
                      <w:rFonts w:hint="default" w:ascii="Times New Roman" w:hAnsi="Times New Roman" w:cs="Times New Roman"/>
                      <w:b w:val="0"/>
                      <w:bCs w:val="0"/>
                      <w:color w:val="auto"/>
                      <w:sz w:val="22"/>
                      <w:szCs w:val="22"/>
                      <w:lang w:val="en-US" w:eastAsia="zh-CN"/>
                    </w:rPr>
                    <w:t>是否设置专项</w:t>
                  </w:r>
                </w:p>
              </w:tc>
            </w:tr>
            <w:tr w14:paraId="09D9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noWrap w:val="0"/>
                  <w:vAlign w:val="center"/>
                </w:tcPr>
                <w:p w14:paraId="21B671D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大气</w:t>
                  </w:r>
                </w:p>
              </w:tc>
              <w:tc>
                <w:tcPr>
                  <w:tcW w:w="2116" w:type="pct"/>
                  <w:noWrap w:val="0"/>
                  <w:vAlign w:val="center"/>
                </w:tcPr>
                <w:p w14:paraId="1953EDF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排放废气含有毒有害污染物、二噁英、苯并[a]芘、氰化物、氯气且厂界外500米范围内有环境空气保护目标的建设项目</w:t>
                  </w:r>
                </w:p>
              </w:tc>
              <w:tc>
                <w:tcPr>
                  <w:tcW w:w="1763" w:type="pct"/>
                  <w:noWrap w:val="0"/>
                  <w:vAlign w:val="center"/>
                </w:tcPr>
                <w:p w14:paraId="57EF030F">
                  <w:pPr>
                    <w:pStyle w:val="94"/>
                    <w:bidi w:val="0"/>
                    <w:rPr>
                      <w:rFonts w:hint="eastAsia"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rPr>
                    <w:t>项目排放废气中</w:t>
                  </w:r>
                  <w:r>
                    <w:rPr>
                      <w:rFonts w:hint="eastAsia" w:ascii="Times New Roman" w:hAnsi="Times New Roman" w:cs="Times New Roman"/>
                      <w:color w:val="auto"/>
                      <w:sz w:val="22"/>
                      <w:szCs w:val="22"/>
                      <w:lang w:val="en-US" w:eastAsia="zh-CN"/>
                    </w:rPr>
                    <w:t>不包含上述</w:t>
                  </w:r>
                  <w:r>
                    <w:rPr>
                      <w:rFonts w:hint="default" w:ascii="Times New Roman" w:hAnsi="Times New Roman" w:cs="Times New Roman"/>
                      <w:color w:val="auto"/>
                      <w:sz w:val="22"/>
                      <w:szCs w:val="22"/>
                    </w:rPr>
                    <w:t>有毒有害污染物、二噁英、苯并[a]芘、氰化物、氯气</w:t>
                  </w:r>
                  <w:r>
                    <w:rPr>
                      <w:rFonts w:hint="eastAsia" w:ascii="Times New Roman" w:hAnsi="Times New Roman" w:cs="Times New Roman"/>
                      <w:color w:val="auto"/>
                      <w:sz w:val="22"/>
                      <w:szCs w:val="22"/>
                      <w:lang w:val="en-US" w:eastAsia="zh-CN"/>
                    </w:rPr>
                    <w:t>等</w:t>
                  </w:r>
                </w:p>
              </w:tc>
              <w:tc>
                <w:tcPr>
                  <w:tcW w:w="562" w:type="pct"/>
                  <w:noWrap w:val="0"/>
                  <w:vAlign w:val="center"/>
                </w:tcPr>
                <w:p w14:paraId="7D9BBA5E">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否</w:t>
                  </w:r>
                </w:p>
              </w:tc>
            </w:tr>
            <w:tr w14:paraId="398B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noWrap w:val="0"/>
                  <w:vAlign w:val="center"/>
                </w:tcPr>
                <w:p w14:paraId="41FEE270">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地表水</w:t>
                  </w:r>
                </w:p>
              </w:tc>
              <w:tc>
                <w:tcPr>
                  <w:tcW w:w="2116" w:type="pct"/>
                  <w:noWrap w:val="0"/>
                  <w:vAlign w:val="center"/>
                </w:tcPr>
                <w:p w14:paraId="63B88D07">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新增工业废水直排建设项目（槽罐车外送污水处理厂的除外）；新增废水直排的污水集中处理厂</w:t>
                  </w:r>
                </w:p>
              </w:tc>
              <w:tc>
                <w:tcPr>
                  <w:tcW w:w="1763" w:type="pct"/>
                  <w:noWrap w:val="0"/>
                  <w:vAlign w:val="center"/>
                </w:tcPr>
                <w:p w14:paraId="36A9043A">
                  <w:pPr>
                    <w:keepNext w:val="0"/>
                    <w:keepLines w:val="0"/>
                    <w:widowControl/>
                    <w:suppressLineNumbers w:val="0"/>
                    <w:jc w:val="left"/>
                    <w:rPr>
                      <w:rFonts w:hint="default" w:ascii="Times New Roman" w:hAnsi="Times New Roman" w:cs="Times New Roman"/>
                      <w:color w:val="auto"/>
                      <w:sz w:val="22"/>
                      <w:szCs w:val="22"/>
                    </w:rPr>
                  </w:pPr>
                  <w:r>
                    <w:rPr>
                      <w:rFonts w:hint="eastAsia" w:ascii="宋体" w:hAnsi="宋体" w:eastAsia="宋体" w:cs="宋体"/>
                      <w:color w:val="auto"/>
                      <w:kern w:val="0"/>
                      <w:sz w:val="22"/>
                      <w:szCs w:val="22"/>
                      <w:lang w:val="en-US" w:eastAsia="zh-CN" w:bidi="ar"/>
                    </w:rPr>
                    <w:t>本项目产生的</w:t>
                  </w:r>
                  <w:r>
                    <w:rPr>
                      <w:rFonts w:hint="eastAsia" w:ascii="宋体" w:hAnsi="宋体" w:cs="宋体"/>
                      <w:color w:val="auto"/>
                      <w:kern w:val="0"/>
                      <w:sz w:val="22"/>
                      <w:szCs w:val="22"/>
                      <w:lang w:val="en-US" w:eastAsia="zh-CN" w:bidi="ar"/>
                    </w:rPr>
                    <w:t>洗车</w:t>
                  </w:r>
                  <w:r>
                    <w:rPr>
                      <w:rFonts w:hint="eastAsia" w:ascii="宋体" w:hAnsi="宋体" w:eastAsia="宋体" w:cs="宋体"/>
                      <w:color w:val="auto"/>
                      <w:kern w:val="0"/>
                      <w:sz w:val="22"/>
                      <w:szCs w:val="22"/>
                      <w:lang w:val="en-US" w:eastAsia="zh-CN" w:bidi="ar"/>
                    </w:rPr>
                    <w:t>废水</w:t>
                  </w:r>
                  <w:r>
                    <w:rPr>
                      <w:rFonts w:hint="eastAsia" w:ascii="宋体" w:hAnsi="宋体" w:cs="宋体"/>
                      <w:color w:val="auto"/>
                      <w:kern w:val="0"/>
                      <w:sz w:val="22"/>
                      <w:szCs w:val="22"/>
                      <w:lang w:val="en-US" w:eastAsia="zh-CN" w:bidi="ar"/>
                    </w:rPr>
                    <w:t>场地冲洗废水经隔油沉淀池隔油处理后接入市政污水管网</w:t>
                  </w:r>
                  <w:r>
                    <w:rPr>
                      <w:rFonts w:hint="eastAsia" w:ascii="宋体" w:hAnsi="宋体" w:eastAsia="宋体" w:cs="宋体"/>
                      <w:color w:val="auto"/>
                      <w:kern w:val="0"/>
                      <w:sz w:val="22"/>
                      <w:szCs w:val="22"/>
                      <w:lang w:val="en-US" w:eastAsia="zh-CN" w:bidi="ar"/>
                    </w:rPr>
                    <w:t>，生活污水经</w:t>
                  </w:r>
                  <w:r>
                    <w:rPr>
                      <w:rFonts w:hint="eastAsia" w:ascii="宋体" w:hAnsi="宋体" w:cs="宋体"/>
                      <w:color w:val="auto"/>
                      <w:kern w:val="0"/>
                      <w:sz w:val="22"/>
                      <w:szCs w:val="22"/>
                      <w:lang w:val="en-US" w:eastAsia="zh-CN" w:bidi="ar"/>
                    </w:rPr>
                    <w:t>化粪池</w:t>
                  </w:r>
                  <w:r>
                    <w:rPr>
                      <w:rFonts w:hint="eastAsia" w:ascii="宋体" w:hAnsi="宋体" w:eastAsia="宋体" w:cs="宋体"/>
                      <w:color w:val="auto"/>
                      <w:kern w:val="0"/>
                      <w:sz w:val="22"/>
                      <w:szCs w:val="22"/>
                      <w:lang w:val="en-US" w:eastAsia="zh-CN" w:bidi="ar"/>
                    </w:rPr>
                    <w:t>处理后</w:t>
                  </w:r>
                  <w:r>
                    <w:rPr>
                      <w:rFonts w:hint="eastAsia" w:ascii="宋体" w:hAnsi="宋体" w:cs="宋体"/>
                      <w:color w:val="auto"/>
                      <w:kern w:val="0"/>
                      <w:sz w:val="22"/>
                      <w:szCs w:val="22"/>
                      <w:lang w:val="en-US" w:eastAsia="zh-CN" w:bidi="ar"/>
                    </w:rPr>
                    <w:t>接入市政污水管网</w:t>
                  </w:r>
                  <w:r>
                    <w:rPr>
                      <w:rFonts w:hint="eastAsia" w:ascii="宋体" w:hAnsi="宋体" w:eastAsia="宋体" w:cs="宋体"/>
                      <w:color w:val="auto"/>
                      <w:kern w:val="0"/>
                      <w:sz w:val="22"/>
                      <w:szCs w:val="22"/>
                      <w:lang w:val="en-US" w:eastAsia="zh-CN" w:bidi="ar"/>
                    </w:rPr>
                    <w:t>；本项目不属于废水直排的污水处理厂项目</w:t>
                  </w:r>
                </w:p>
              </w:tc>
              <w:tc>
                <w:tcPr>
                  <w:tcW w:w="562" w:type="pct"/>
                  <w:noWrap w:val="0"/>
                  <w:vAlign w:val="center"/>
                </w:tcPr>
                <w:p w14:paraId="1019D068">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否</w:t>
                  </w:r>
                </w:p>
              </w:tc>
            </w:tr>
            <w:tr w14:paraId="5D7D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noWrap w:val="0"/>
                  <w:vAlign w:val="center"/>
                </w:tcPr>
                <w:p w14:paraId="321FC315">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环境风险</w:t>
                  </w:r>
                </w:p>
              </w:tc>
              <w:tc>
                <w:tcPr>
                  <w:tcW w:w="2116" w:type="pct"/>
                  <w:noWrap w:val="0"/>
                  <w:vAlign w:val="center"/>
                </w:tcPr>
                <w:p w14:paraId="6C6CFC9F">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有毒有害和易燃易爆危险物质存储量超过临界量的建设项目</w:t>
                  </w:r>
                </w:p>
              </w:tc>
              <w:tc>
                <w:tcPr>
                  <w:tcW w:w="1763" w:type="pct"/>
                  <w:noWrap w:val="0"/>
                  <w:vAlign w:val="center"/>
                </w:tcPr>
                <w:p w14:paraId="6BAD6E56">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本项目危险物质储存量未超过临界量</w:t>
                  </w:r>
                </w:p>
              </w:tc>
              <w:tc>
                <w:tcPr>
                  <w:tcW w:w="562" w:type="pct"/>
                  <w:noWrap w:val="0"/>
                  <w:vAlign w:val="center"/>
                </w:tcPr>
                <w:p w14:paraId="4DA4E129">
                  <w:pPr>
                    <w:pStyle w:val="94"/>
                    <w:bidi w:val="0"/>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否</w:t>
                  </w:r>
                </w:p>
              </w:tc>
            </w:tr>
            <w:tr w14:paraId="7676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noWrap w:val="0"/>
                  <w:vAlign w:val="center"/>
                </w:tcPr>
                <w:p w14:paraId="7A05996A">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生态</w:t>
                  </w:r>
                </w:p>
              </w:tc>
              <w:tc>
                <w:tcPr>
                  <w:tcW w:w="2116" w:type="pct"/>
                  <w:noWrap w:val="0"/>
                  <w:vAlign w:val="center"/>
                </w:tcPr>
                <w:p w14:paraId="2ED476EA">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取水口下游500米范围内有重要水生生物的自然产卵场、索饵场、越冬场和洄游通道的新增河道取水的污染类建设项目</w:t>
                  </w:r>
                </w:p>
              </w:tc>
              <w:tc>
                <w:tcPr>
                  <w:tcW w:w="1763" w:type="pct"/>
                  <w:noWrap w:val="0"/>
                  <w:vAlign w:val="center"/>
                </w:tcPr>
                <w:p w14:paraId="2567E12A">
                  <w:pPr>
                    <w:keepNext w:val="0"/>
                    <w:keepLines w:val="0"/>
                    <w:widowControl/>
                    <w:suppressLineNumbers w:val="0"/>
                    <w:jc w:val="left"/>
                    <w:rPr>
                      <w:rFonts w:hint="default" w:ascii="Times New Roman" w:hAnsi="Times New Roman" w:eastAsia="宋体" w:cs="Times New Roman"/>
                      <w:color w:val="auto"/>
                      <w:kern w:val="0"/>
                      <w:sz w:val="22"/>
                      <w:szCs w:val="22"/>
                      <w:lang w:val="en-US" w:eastAsia="zh-CN" w:bidi="ar-SA"/>
                    </w:rPr>
                  </w:pPr>
                  <w:r>
                    <w:rPr>
                      <w:rFonts w:hint="eastAsia" w:ascii="宋体" w:hAnsi="宋体" w:eastAsia="宋体" w:cs="宋体"/>
                      <w:color w:val="000000"/>
                      <w:kern w:val="0"/>
                      <w:sz w:val="22"/>
                      <w:szCs w:val="22"/>
                      <w:lang w:val="en-US" w:eastAsia="zh-CN" w:bidi="ar"/>
                    </w:rPr>
                    <w:t>本项目不属于新增河道取水的污染类建设项目</w:t>
                  </w:r>
                </w:p>
              </w:tc>
              <w:tc>
                <w:tcPr>
                  <w:tcW w:w="562" w:type="pct"/>
                  <w:noWrap w:val="0"/>
                  <w:vAlign w:val="center"/>
                </w:tcPr>
                <w:p w14:paraId="6A70E056">
                  <w:pPr>
                    <w:pStyle w:val="94"/>
                    <w:bidi w:val="0"/>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否</w:t>
                  </w:r>
                </w:p>
              </w:tc>
            </w:tr>
            <w:tr w14:paraId="4750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noWrap w:val="0"/>
                  <w:vAlign w:val="center"/>
                </w:tcPr>
                <w:p w14:paraId="2B4AB3F8">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海洋</w:t>
                  </w:r>
                </w:p>
              </w:tc>
              <w:tc>
                <w:tcPr>
                  <w:tcW w:w="2116" w:type="pct"/>
                  <w:noWrap w:val="0"/>
                  <w:vAlign w:val="center"/>
                </w:tcPr>
                <w:p w14:paraId="08607471">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直接向海排放污染物的海洋工程建设项目</w:t>
                  </w:r>
                </w:p>
              </w:tc>
              <w:tc>
                <w:tcPr>
                  <w:tcW w:w="1763" w:type="pct"/>
                  <w:noWrap w:val="0"/>
                  <w:vAlign w:val="center"/>
                </w:tcPr>
                <w:p w14:paraId="1C45FBDB">
                  <w:pPr>
                    <w:keepNext w:val="0"/>
                    <w:keepLines w:val="0"/>
                    <w:widowControl/>
                    <w:suppressLineNumbers w:val="0"/>
                    <w:jc w:val="left"/>
                    <w:rPr>
                      <w:rFonts w:hint="default" w:ascii="Times New Roman" w:hAnsi="Times New Roman" w:eastAsia="宋体" w:cs="Times New Roman"/>
                      <w:color w:val="auto"/>
                      <w:kern w:val="0"/>
                      <w:sz w:val="22"/>
                      <w:szCs w:val="22"/>
                      <w:lang w:val="en-US" w:eastAsia="zh-CN" w:bidi="ar-SA"/>
                    </w:rPr>
                  </w:pPr>
                  <w:r>
                    <w:rPr>
                      <w:rFonts w:hint="eastAsia" w:ascii="宋体" w:hAnsi="宋体" w:eastAsia="宋体" w:cs="宋体"/>
                      <w:color w:val="000000"/>
                      <w:kern w:val="0"/>
                      <w:sz w:val="22"/>
                      <w:szCs w:val="22"/>
                      <w:lang w:val="en-US" w:eastAsia="zh-CN" w:bidi="ar"/>
                    </w:rPr>
                    <w:t>本项目不属于直接向海排放污染物的海洋工程建设项目</w:t>
                  </w:r>
                </w:p>
              </w:tc>
              <w:tc>
                <w:tcPr>
                  <w:tcW w:w="562" w:type="pct"/>
                  <w:noWrap w:val="0"/>
                  <w:vAlign w:val="center"/>
                </w:tcPr>
                <w:p w14:paraId="0D3D5470">
                  <w:pPr>
                    <w:pStyle w:val="94"/>
                    <w:bidi w:val="0"/>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否</w:t>
                  </w:r>
                </w:p>
              </w:tc>
            </w:tr>
            <w:tr w14:paraId="2206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noWrap w:val="0"/>
                  <w:vAlign w:val="center"/>
                </w:tcPr>
                <w:p w14:paraId="7A9C2DFD">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土壤和声环境</w:t>
                  </w:r>
                </w:p>
              </w:tc>
              <w:tc>
                <w:tcPr>
                  <w:tcW w:w="2116" w:type="pct"/>
                  <w:noWrap w:val="0"/>
                  <w:vAlign w:val="center"/>
                </w:tcPr>
                <w:p w14:paraId="675A6EEB">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土壤和声环境不开展专项评价</w:t>
                  </w:r>
                </w:p>
              </w:tc>
              <w:tc>
                <w:tcPr>
                  <w:tcW w:w="1763" w:type="pct"/>
                  <w:noWrap w:val="0"/>
                  <w:vAlign w:val="center"/>
                </w:tcPr>
                <w:p w14:paraId="485B32F9">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本项目拟在</w:t>
                  </w:r>
                  <w:r>
                    <w:rPr>
                      <w:rFonts w:hint="eastAsia" w:cs="Times New Roman"/>
                      <w:color w:val="auto"/>
                      <w:sz w:val="22"/>
                      <w:szCs w:val="22"/>
                      <w:lang w:val="en-US" w:eastAsia="zh-CN"/>
                    </w:rPr>
                    <w:t>现有华福路加油站地块内进行改造</w:t>
                  </w:r>
                  <w:r>
                    <w:rPr>
                      <w:rFonts w:hint="eastAsia" w:ascii="Times New Roman" w:hAnsi="Times New Roman" w:eastAsia="宋体" w:cs="Times New Roman"/>
                      <w:color w:val="auto"/>
                      <w:sz w:val="22"/>
                      <w:szCs w:val="22"/>
                      <w:lang w:val="en-US" w:eastAsia="zh-CN"/>
                    </w:rPr>
                    <w:t>，且周边50m范围内无声环境敏感保护目标</w:t>
                  </w:r>
                  <w:r>
                    <w:rPr>
                      <w:rFonts w:hint="default" w:ascii="Times New Roman" w:hAnsi="Times New Roman" w:eastAsia="宋体" w:cs="Times New Roman"/>
                      <w:color w:val="auto"/>
                      <w:sz w:val="22"/>
                      <w:szCs w:val="22"/>
                      <w:lang w:val="en-US" w:eastAsia="zh-CN"/>
                    </w:rPr>
                    <w:t>，</w:t>
                  </w:r>
                  <w:r>
                    <w:rPr>
                      <w:rFonts w:hint="eastAsia" w:ascii="Times New Roman" w:hAnsi="Times New Roman" w:eastAsia="宋体" w:cs="Times New Roman"/>
                      <w:color w:val="auto"/>
                      <w:sz w:val="22"/>
                      <w:szCs w:val="22"/>
                      <w:lang w:val="en-US" w:eastAsia="zh-CN"/>
                    </w:rPr>
                    <w:t>故无需</w:t>
                  </w:r>
                  <w:r>
                    <w:rPr>
                      <w:rFonts w:hint="default" w:ascii="Times New Roman" w:hAnsi="Times New Roman" w:eastAsia="宋体" w:cs="Times New Roman"/>
                      <w:color w:val="auto"/>
                      <w:sz w:val="22"/>
                      <w:szCs w:val="22"/>
                      <w:lang w:val="en-US" w:eastAsia="zh-CN"/>
                    </w:rPr>
                    <w:t>设专项评价</w:t>
                  </w:r>
                </w:p>
              </w:tc>
              <w:tc>
                <w:tcPr>
                  <w:tcW w:w="562" w:type="pct"/>
                  <w:noWrap w:val="0"/>
                  <w:vAlign w:val="center"/>
                </w:tcPr>
                <w:p w14:paraId="0AAAFB85">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否</w:t>
                  </w:r>
                </w:p>
              </w:tc>
            </w:tr>
            <w:tr w14:paraId="39B0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noWrap w:val="0"/>
                  <w:vAlign w:val="center"/>
                </w:tcPr>
                <w:p w14:paraId="32933388">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地下水</w:t>
                  </w:r>
                </w:p>
              </w:tc>
              <w:tc>
                <w:tcPr>
                  <w:tcW w:w="2116" w:type="pct"/>
                  <w:noWrap w:val="0"/>
                  <w:vAlign w:val="center"/>
                </w:tcPr>
                <w:p w14:paraId="66D5A5DA">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地下水原则上不开展专项评价，涉及集中式饮用水水源和热水、矿泉水、温泉等特殊地下水资源保护区的开展地下水专项评价工作</w:t>
                  </w:r>
                </w:p>
              </w:tc>
              <w:tc>
                <w:tcPr>
                  <w:tcW w:w="1763" w:type="pct"/>
                  <w:noWrap w:val="0"/>
                  <w:vAlign w:val="center"/>
                </w:tcPr>
                <w:p w14:paraId="79FBDDD3">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本项目拟在</w:t>
                  </w:r>
                  <w:r>
                    <w:rPr>
                      <w:rFonts w:hint="eastAsia" w:cs="Times New Roman"/>
                      <w:color w:val="auto"/>
                      <w:sz w:val="22"/>
                      <w:szCs w:val="22"/>
                      <w:lang w:val="en-US" w:eastAsia="zh-CN"/>
                    </w:rPr>
                    <w:t>现有华福路加油站地块内进行改造</w:t>
                  </w:r>
                  <w:r>
                    <w:rPr>
                      <w:rFonts w:hint="eastAsia" w:ascii="Times New Roman" w:hAnsi="Times New Roman" w:eastAsia="宋体" w:cs="Times New Roman"/>
                      <w:color w:val="auto"/>
                      <w:sz w:val="22"/>
                      <w:szCs w:val="22"/>
                      <w:lang w:val="en-US" w:eastAsia="zh-CN"/>
                    </w:rPr>
                    <w:t>，不涉及集中式饮用水水源和热水、矿泉水、温泉等特殊地下水资源保护区</w:t>
                  </w:r>
                  <w:r>
                    <w:rPr>
                      <w:rFonts w:hint="default" w:ascii="Times New Roman" w:hAnsi="Times New Roman" w:eastAsia="宋体" w:cs="Times New Roman"/>
                      <w:color w:val="auto"/>
                      <w:sz w:val="22"/>
                      <w:szCs w:val="22"/>
                      <w:lang w:val="en-US" w:eastAsia="zh-CN"/>
                    </w:rPr>
                    <w:t>，</w:t>
                  </w:r>
                  <w:r>
                    <w:rPr>
                      <w:rFonts w:hint="eastAsia" w:ascii="Times New Roman" w:hAnsi="Times New Roman" w:eastAsia="宋体" w:cs="Times New Roman"/>
                      <w:color w:val="auto"/>
                      <w:sz w:val="22"/>
                      <w:szCs w:val="22"/>
                      <w:lang w:val="en-US" w:eastAsia="zh-CN"/>
                    </w:rPr>
                    <w:t>故无需</w:t>
                  </w:r>
                  <w:r>
                    <w:rPr>
                      <w:rFonts w:hint="default" w:ascii="Times New Roman" w:hAnsi="Times New Roman" w:eastAsia="宋体" w:cs="Times New Roman"/>
                      <w:color w:val="auto"/>
                      <w:sz w:val="22"/>
                      <w:szCs w:val="22"/>
                      <w:lang w:val="en-US" w:eastAsia="zh-CN"/>
                    </w:rPr>
                    <w:t>设专项评价</w:t>
                  </w:r>
                </w:p>
              </w:tc>
              <w:tc>
                <w:tcPr>
                  <w:tcW w:w="562" w:type="pct"/>
                  <w:noWrap w:val="0"/>
                  <w:vAlign w:val="center"/>
                </w:tcPr>
                <w:p w14:paraId="449B070B">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否</w:t>
                  </w:r>
                </w:p>
              </w:tc>
            </w:tr>
          </w:tbl>
          <w:p w14:paraId="33575E07">
            <w:pPr>
              <w:pStyle w:val="93"/>
              <w:bidi w:val="0"/>
              <w:spacing w:line="240" w:lineRule="auto"/>
              <w:ind w:left="0" w:leftChars="0"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注：1.废气中有毒有害污染物指纳入《有毒有害大气污染物名录》的污染物（不包括无排放标准的污染物）。</w:t>
            </w:r>
          </w:p>
          <w:p w14:paraId="1425877B">
            <w:pPr>
              <w:pStyle w:val="93"/>
              <w:bidi w:val="0"/>
              <w:spacing w:line="240" w:lineRule="auto"/>
              <w:ind w:firstLine="880" w:firstLineChars="4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2.环境空气保护目标指自然保护区、风景名胜区、居住区、文化区和农村地区中人群较集中的区域。</w:t>
            </w:r>
          </w:p>
          <w:p w14:paraId="1AAEAE8C">
            <w:pPr>
              <w:autoSpaceDE w:val="0"/>
              <w:autoSpaceDN w:val="0"/>
              <w:adjustRightInd w:val="0"/>
              <w:snapToGrid w:val="0"/>
              <w:ind w:firstLine="880" w:firstLineChars="400"/>
              <w:rPr>
                <w:kern w:val="0"/>
                <w:sz w:val="26"/>
                <w:szCs w:val="26"/>
              </w:rPr>
            </w:pPr>
            <w:r>
              <w:rPr>
                <w:rFonts w:hint="default" w:ascii="Times New Roman" w:hAnsi="Times New Roman" w:cs="Times New Roman"/>
                <w:color w:val="auto"/>
                <w:sz w:val="22"/>
                <w:szCs w:val="22"/>
              </w:rPr>
              <w:t>3.临界量及其计算方法可参考《建设项目环境风险评价技术导则》（HJ 169）附录B、附录C。</w:t>
            </w:r>
          </w:p>
        </w:tc>
      </w:tr>
      <w:tr w14:paraId="1CAB7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93" w:type="dxa"/>
            <w:vAlign w:val="center"/>
          </w:tcPr>
          <w:p w14:paraId="6CE2797C">
            <w:pPr>
              <w:autoSpaceDE w:val="0"/>
              <w:autoSpaceDN w:val="0"/>
              <w:adjustRightInd w:val="0"/>
              <w:snapToGrid w:val="0"/>
              <w:jc w:val="center"/>
              <w:rPr>
                <w:kern w:val="0"/>
                <w:sz w:val="26"/>
                <w:szCs w:val="26"/>
              </w:rPr>
            </w:pPr>
            <w:r>
              <w:rPr>
                <w:sz w:val="26"/>
                <w:szCs w:val="26"/>
              </w:rPr>
              <w:t>规划情况</w:t>
            </w:r>
          </w:p>
        </w:tc>
        <w:tc>
          <w:tcPr>
            <w:tcW w:w="7477" w:type="dxa"/>
            <w:gridSpan w:val="3"/>
            <w:vAlign w:val="center"/>
          </w:tcPr>
          <w:p w14:paraId="475B8288">
            <w:pPr>
              <w:autoSpaceDE w:val="0"/>
              <w:autoSpaceDN w:val="0"/>
              <w:adjustRightInd w:val="0"/>
              <w:snapToGrid w:val="0"/>
              <w:spacing w:line="460" w:lineRule="exact"/>
              <w:jc w:val="center"/>
              <w:rPr>
                <w:kern w:val="0"/>
                <w:sz w:val="26"/>
                <w:szCs w:val="26"/>
              </w:rPr>
            </w:pPr>
            <w:r>
              <w:rPr>
                <w:rFonts w:hint="eastAsia"/>
                <w:kern w:val="0"/>
                <w:sz w:val="26"/>
                <w:szCs w:val="26"/>
              </w:rPr>
              <w:t>/</w:t>
            </w:r>
          </w:p>
        </w:tc>
      </w:tr>
      <w:tr w14:paraId="3CFFE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93" w:type="dxa"/>
            <w:vAlign w:val="center"/>
          </w:tcPr>
          <w:p w14:paraId="5E04A9F7">
            <w:pPr>
              <w:adjustRightInd w:val="0"/>
              <w:snapToGrid w:val="0"/>
              <w:jc w:val="center"/>
              <w:rPr>
                <w:kern w:val="0"/>
                <w:sz w:val="26"/>
                <w:szCs w:val="26"/>
              </w:rPr>
            </w:pPr>
            <w:r>
              <w:rPr>
                <w:sz w:val="26"/>
                <w:szCs w:val="26"/>
              </w:rPr>
              <w:t>规划环境影响评价情况</w:t>
            </w:r>
          </w:p>
        </w:tc>
        <w:tc>
          <w:tcPr>
            <w:tcW w:w="7477" w:type="dxa"/>
            <w:gridSpan w:val="3"/>
            <w:vAlign w:val="center"/>
          </w:tcPr>
          <w:p w14:paraId="73F94603">
            <w:pPr>
              <w:autoSpaceDE w:val="0"/>
              <w:autoSpaceDN w:val="0"/>
              <w:adjustRightInd w:val="0"/>
              <w:snapToGrid w:val="0"/>
              <w:spacing w:line="460" w:lineRule="exact"/>
              <w:jc w:val="center"/>
              <w:rPr>
                <w:kern w:val="0"/>
                <w:sz w:val="26"/>
                <w:szCs w:val="26"/>
              </w:rPr>
            </w:pPr>
            <w:r>
              <w:rPr>
                <w:rFonts w:hint="eastAsia"/>
                <w:kern w:val="0"/>
                <w:sz w:val="26"/>
                <w:szCs w:val="26"/>
              </w:rPr>
              <w:t>/</w:t>
            </w:r>
          </w:p>
        </w:tc>
      </w:tr>
      <w:tr w14:paraId="1B9DD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93" w:type="dxa"/>
            <w:vAlign w:val="center"/>
          </w:tcPr>
          <w:p w14:paraId="4044A27A">
            <w:pPr>
              <w:autoSpaceDE w:val="0"/>
              <w:autoSpaceDN w:val="0"/>
              <w:adjustRightInd w:val="0"/>
              <w:snapToGrid w:val="0"/>
              <w:jc w:val="center"/>
              <w:rPr>
                <w:kern w:val="0"/>
                <w:sz w:val="26"/>
                <w:szCs w:val="26"/>
              </w:rPr>
            </w:pPr>
            <w:r>
              <w:rPr>
                <w:kern w:val="0"/>
                <w:sz w:val="26"/>
                <w:szCs w:val="26"/>
              </w:rPr>
              <w:t>规划及规划环境影响评价符合性分析</w:t>
            </w:r>
          </w:p>
        </w:tc>
        <w:tc>
          <w:tcPr>
            <w:tcW w:w="7477" w:type="dxa"/>
            <w:gridSpan w:val="3"/>
            <w:vAlign w:val="center"/>
          </w:tcPr>
          <w:p w14:paraId="14C318DF">
            <w:pPr>
              <w:autoSpaceDE w:val="0"/>
              <w:autoSpaceDN w:val="0"/>
              <w:adjustRightInd w:val="0"/>
              <w:snapToGrid w:val="0"/>
              <w:spacing w:line="460" w:lineRule="exact"/>
              <w:jc w:val="center"/>
              <w:rPr>
                <w:kern w:val="0"/>
                <w:sz w:val="26"/>
                <w:szCs w:val="26"/>
              </w:rPr>
            </w:pPr>
            <w:r>
              <w:rPr>
                <w:rFonts w:hint="eastAsia"/>
                <w:kern w:val="0"/>
                <w:sz w:val="26"/>
                <w:szCs w:val="26"/>
              </w:rPr>
              <w:t>/</w:t>
            </w:r>
          </w:p>
        </w:tc>
      </w:tr>
      <w:tr w14:paraId="6F8A7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6" w:hRule="atLeast"/>
          <w:jc w:val="center"/>
        </w:trPr>
        <w:tc>
          <w:tcPr>
            <w:tcW w:w="1393" w:type="dxa"/>
            <w:vAlign w:val="center"/>
          </w:tcPr>
          <w:p w14:paraId="10D5AF9D">
            <w:pPr>
              <w:autoSpaceDE w:val="0"/>
              <w:autoSpaceDN w:val="0"/>
              <w:adjustRightInd w:val="0"/>
              <w:snapToGrid w:val="0"/>
              <w:jc w:val="center"/>
              <w:rPr>
                <w:kern w:val="0"/>
                <w:sz w:val="26"/>
                <w:szCs w:val="26"/>
              </w:rPr>
            </w:pPr>
            <w:r>
              <w:rPr>
                <w:kern w:val="0"/>
                <w:sz w:val="26"/>
                <w:szCs w:val="26"/>
              </w:rPr>
              <w:t>其他符合性分析</w:t>
            </w:r>
          </w:p>
        </w:tc>
        <w:tc>
          <w:tcPr>
            <w:tcW w:w="7477" w:type="dxa"/>
            <w:gridSpan w:val="3"/>
            <w:vAlign w:val="center"/>
          </w:tcPr>
          <w:p w14:paraId="70BEC3D8">
            <w:pPr>
              <w:autoSpaceDE w:val="0"/>
              <w:autoSpaceDN w:val="0"/>
              <w:adjustRightInd w:val="0"/>
              <w:snapToGrid w:val="0"/>
              <w:spacing w:line="460" w:lineRule="exact"/>
              <w:rPr>
                <w:b/>
                <w:bCs/>
                <w:kern w:val="0"/>
                <w:sz w:val="26"/>
                <w:szCs w:val="26"/>
              </w:rPr>
            </w:pPr>
            <w:r>
              <w:rPr>
                <w:rFonts w:hint="eastAsia"/>
                <w:b/>
                <w:bCs/>
                <w:kern w:val="0"/>
                <w:sz w:val="26"/>
                <w:szCs w:val="26"/>
              </w:rPr>
              <w:t>1.</w:t>
            </w:r>
            <w:r>
              <w:rPr>
                <w:b/>
                <w:bCs/>
                <w:kern w:val="0"/>
                <w:sz w:val="26"/>
                <w:szCs w:val="26"/>
              </w:rPr>
              <w:t>1</w:t>
            </w:r>
            <w:r>
              <w:rPr>
                <w:rFonts w:hint="eastAsia"/>
                <w:b/>
                <w:bCs/>
                <w:kern w:val="0"/>
                <w:sz w:val="26"/>
                <w:szCs w:val="26"/>
              </w:rPr>
              <w:t>与《产业结构调整指导目录（2024年本）》符合性分析</w:t>
            </w:r>
          </w:p>
          <w:p w14:paraId="41E3AEF0">
            <w:pPr>
              <w:autoSpaceDE w:val="0"/>
              <w:autoSpaceDN w:val="0"/>
              <w:adjustRightInd w:val="0"/>
              <w:snapToGrid w:val="0"/>
              <w:spacing w:line="460" w:lineRule="exact"/>
              <w:ind w:firstLine="520" w:firstLineChars="200"/>
              <w:rPr>
                <w:sz w:val="26"/>
                <w:szCs w:val="26"/>
              </w:rPr>
            </w:pPr>
            <w:r>
              <w:rPr>
                <w:rFonts w:hint="eastAsia"/>
                <w:sz w:val="26"/>
                <w:szCs w:val="26"/>
              </w:rPr>
              <w:t>本项目为加油站</w:t>
            </w:r>
            <w:r>
              <w:rPr>
                <w:rFonts w:hint="eastAsia"/>
                <w:sz w:val="26"/>
                <w:szCs w:val="26"/>
                <w:lang w:val="en-US" w:eastAsia="zh-CN"/>
              </w:rPr>
              <w:t>改</w:t>
            </w:r>
            <w:r>
              <w:rPr>
                <w:rFonts w:hint="eastAsia"/>
                <w:sz w:val="26"/>
                <w:szCs w:val="26"/>
              </w:rPr>
              <w:t>扩建项目，不属于《产业结构调整指导目录（2024年本）》中“鼓励类”、“限制类”和“淘汰类”项目，为允许建设类项目。</w:t>
            </w:r>
            <w:r>
              <w:rPr>
                <w:rFonts w:hint="eastAsia"/>
                <w:color w:val="auto"/>
                <w:sz w:val="26"/>
                <w:szCs w:val="26"/>
              </w:rPr>
              <w:t>拟建项目所用设备不属于《产业结构调整指导目录（2024年本）》</w:t>
            </w:r>
            <w:r>
              <w:rPr>
                <w:rFonts w:hint="eastAsia"/>
                <w:color w:val="auto"/>
                <w:sz w:val="26"/>
                <w:szCs w:val="26"/>
                <w:lang w:val="en-US" w:eastAsia="zh-CN"/>
              </w:rPr>
              <w:t>和</w:t>
            </w:r>
            <w:r>
              <w:rPr>
                <w:rFonts w:hint="eastAsia"/>
                <w:color w:val="auto"/>
                <w:sz w:val="26"/>
                <w:szCs w:val="26"/>
              </w:rPr>
              <w:t>工信部《高耗能落后机电设备（产品）淘汰目录》（第一批~第四批）及中华人民共和国工业和信息化部（工产业〔2010〕第122号）《部分工业行业淘汰落后生产工艺装备和产品指导目录（2010年本）》国家禁止或明令淘汰的设备</w:t>
            </w:r>
            <w:r>
              <w:rPr>
                <w:rFonts w:hint="eastAsia"/>
                <w:color w:val="auto"/>
                <w:sz w:val="26"/>
                <w:szCs w:val="26"/>
                <w:lang w:val="en-US" w:eastAsia="zh-CN"/>
              </w:rPr>
              <w:t>范畴</w:t>
            </w:r>
            <w:r>
              <w:rPr>
                <w:rFonts w:hint="eastAsia"/>
                <w:color w:val="auto"/>
                <w:sz w:val="26"/>
                <w:szCs w:val="26"/>
              </w:rPr>
              <w:t>。</w:t>
            </w:r>
          </w:p>
          <w:p w14:paraId="56BB04A1">
            <w:pPr>
              <w:keepNext w:val="0"/>
              <w:keepLines w:val="0"/>
              <w:pageBreakBefore w:val="0"/>
              <w:widowControl w:val="0"/>
              <w:kinsoku/>
              <w:wordWrap w:val="0"/>
              <w:overflowPunct/>
              <w:topLinePunct w:val="0"/>
              <w:autoSpaceDE w:val="0"/>
              <w:autoSpaceDN w:val="0"/>
              <w:bidi w:val="0"/>
              <w:adjustRightInd w:val="0"/>
              <w:snapToGrid w:val="0"/>
              <w:spacing w:line="460" w:lineRule="exact"/>
              <w:ind w:firstLine="520" w:firstLineChars="200"/>
              <w:textAlignment w:val="auto"/>
              <w:rPr>
                <w:sz w:val="26"/>
                <w:szCs w:val="26"/>
              </w:rPr>
            </w:pPr>
            <w:r>
              <w:rPr>
                <w:rFonts w:hint="eastAsia"/>
                <w:sz w:val="26"/>
                <w:szCs w:val="26"/>
              </w:rPr>
              <w:t>同时，</w:t>
            </w:r>
            <w:r>
              <w:rPr>
                <w:rFonts w:hint="eastAsia"/>
                <w:sz w:val="26"/>
                <w:szCs w:val="26"/>
                <w:lang w:val="en-US" w:eastAsia="zh-CN"/>
              </w:rPr>
              <w:t>重庆市九龙坡</w:t>
            </w:r>
            <w:r>
              <w:rPr>
                <w:rFonts w:hint="eastAsia"/>
                <w:sz w:val="26"/>
                <w:szCs w:val="26"/>
              </w:rPr>
              <w:t>区发展和改革委员会已</w:t>
            </w:r>
            <w:r>
              <w:rPr>
                <w:rFonts w:hint="eastAsia"/>
                <w:sz w:val="26"/>
                <w:szCs w:val="26"/>
                <w:lang w:val="en-US" w:eastAsia="zh-CN"/>
              </w:rPr>
              <w:t>于2025年9月9日</w:t>
            </w:r>
            <w:r>
              <w:rPr>
                <w:rFonts w:hint="eastAsia"/>
                <w:sz w:val="26"/>
                <w:szCs w:val="26"/>
              </w:rPr>
              <w:t>对本</w:t>
            </w:r>
            <w:r>
              <w:rPr>
                <w:rFonts w:hint="eastAsia"/>
                <w:sz w:val="26"/>
                <w:szCs w:val="26"/>
                <w:lang w:val="en-US" w:eastAsia="zh-CN"/>
              </w:rPr>
              <w:t>改造</w:t>
            </w:r>
            <w:r>
              <w:rPr>
                <w:rFonts w:hint="eastAsia"/>
                <w:sz w:val="26"/>
                <w:szCs w:val="26"/>
              </w:rPr>
              <w:t>项目进行了备案，</w:t>
            </w:r>
            <w:r>
              <w:rPr>
                <w:rFonts w:hint="eastAsia"/>
                <w:sz w:val="26"/>
                <w:szCs w:val="26"/>
                <w:lang w:val="en-US" w:eastAsia="zh-CN"/>
              </w:rPr>
              <w:t>项目代码</w:t>
            </w:r>
            <w:r>
              <w:rPr>
                <w:rFonts w:hint="eastAsia"/>
                <w:sz w:val="26"/>
                <w:szCs w:val="26"/>
              </w:rPr>
              <w:t>为</w:t>
            </w:r>
            <w:r>
              <w:rPr>
                <w:rFonts w:hint="eastAsia"/>
                <w:sz w:val="26"/>
                <w:szCs w:val="26"/>
                <w:lang w:eastAsia="zh-CN"/>
              </w:rPr>
              <w:t>“</w:t>
            </w:r>
            <w:r>
              <w:rPr>
                <w:rFonts w:hint="eastAsia"/>
                <w:sz w:val="26"/>
                <w:szCs w:val="26"/>
              </w:rPr>
              <w:t>2509-500107-04-05-867563</w:t>
            </w:r>
            <w:r>
              <w:rPr>
                <w:rFonts w:hint="eastAsia"/>
                <w:sz w:val="26"/>
                <w:szCs w:val="26"/>
                <w:lang w:eastAsia="zh-CN"/>
              </w:rPr>
              <w:t>”</w:t>
            </w:r>
            <w:r>
              <w:rPr>
                <w:rFonts w:hint="eastAsia"/>
                <w:sz w:val="26"/>
                <w:szCs w:val="26"/>
              </w:rPr>
              <w:t>，同意本项目</w:t>
            </w:r>
            <w:r>
              <w:rPr>
                <w:rFonts w:hint="eastAsia"/>
                <w:sz w:val="26"/>
                <w:szCs w:val="26"/>
                <w:lang w:val="en-US" w:eastAsia="zh-CN"/>
              </w:rPr>
              <w:t>改造</w:t>
            </w:r>
            <w:r>
              <w:rPr>
                <w:rFonts w:hint="eastAsia"/>
                <w:sz w:val="26"/>
                <w:szCs w:val="26"/>
              </w:rPr>
              <w:t>建设。</w:t>
            </w:r>
            <w:r>
              <w:rPr>
                <w:color w:val="auto"/>
                <w:sz w:val="26"/>
                <w:szCs w:val="26"/>
              </w:rPr>
              <w:t>因此，拟建项目符合国家</w:t>
            </w:r>
            <w:r>
              <w:rPr>
                <w:rFonts w:hint="eastAsia"/>
                <w:color w:val="auto"/>
                <w:sz w:val="26"/>
                <w:szCs w:val="26"/>
                <w:lang w:val="en-US" w:eastAsia="zh-CN"/>
              </w:rPr>
              <w:t>现行</w:t>
            </w:r>
            <w:r>
              <w:rPr>
                <w:color w:val="auto"/>
                <w:sz w:val="26"/>
                <w:szCs w:val="26"/>
              </w:rPr>
              <w:t>产业政策。</w:t>
            </w:r>
          </w:p>
          <w:p w14:paraId="5FAD6D5A">
            <w:pPr>
              <w:autoSpaceDE w:val="0"/>
              <w:autoSpaceDN w:val="0"/>
              <w:adjustRightInd w:val="0"/>
              <w:spacing w:line="460" w:lineRule="exact"/>
              <w:rPr>
                <w:b/>
                <w:bCs/>
                <w:kern w:val="0"/>
                <w:sz w:val="26"/>
                <w:szCs w:val="26"/>
              </w:rPr>
            </w:pPr>
            <w:r>
              <w:rPr>
                <w:rFonts w:hint="eastAsia"/>
                <w:b/>
                <w:bCs/>
                <w:sz w:val="26"/>
                <w:szCs w:val="26"/>
              </w:rPr>
              <w:t>1</w:t>
            </w:r>
            <w:r>
              <w:rPr>
                <w:b/>
                <w:bCs/>
                <w:sz w:val="26"/>
                <w:szCs w:val="26"/>
              </w:rPr>
              <w:t>.2</w:t>
            </w:r>
            <w:r>
              <w:rPr>
                <w:rFonts w:hint="eastAsia"/>
                <w:b/>
                <w:bCs/>
                <w:sz w:val="26"/>
                <w:szCs w:val="26"/>
              </w:rPr>
              <w:t>与</w:t>
            </w:r>
            <w:r>
              <w:rPr>
                <w:rFonts w:hint="eastAsia"/>
                <w:b/>
                <w:bCs/>
                <w:kern w:val="0"/>
                <w:sz w:val="26"/>
                <w:szCs w:val="26"/>
              </w:rPr>
              <w:t>《重庆市发展和改革委员会关于印发重庆市产业投资准入工作手册的通知》（渝发改投资〔2022〕1436号）</w:t>
            </w:r>
            <w:r>
              <w:rPr>
                <w:b/>
                <w:bCs/>
                <w:kern w:val="0"/>
                <w:sz w:val="26"/>
                <w:szCs w:val="26"/>
              </w:rPr>
              <w:t>符合性分析</w:t>
            </w:r>
          </w:p>
          <w:p w14:paraId="79F0E574">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color w:val="auto"/>
                <w:sz w:val="26"/>
                <w:szCs w:val="26"/>
              </w:rPr>
            </w:pPr>
            <w:r>
              <w:rPr>
                <w:rFonts w:hint="eastAsia"/>
                <w:color w:val="auto"/>
                <w:sz w:val="26"/>
                <w:szCs w:val="26"/>
              </w:rPr>
              <w:t>根据《重庆市产业投资准入工作手册》（渝发改投〔2022〕1436号），产业投资准入政策包括不予准入、限制准入两类目录。不予准入类主要指国家及我市相关规定明令禁止的项目。限制准入类主要指国家及我市相关规定明确予以限制的行业或项目，主要分为行业限制、区域限制。</w:t>
            </w:r>
          </w:p>
          <w:p w14:paraId="4A2E32F8">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kern w:val="0"/>
                <w:sz w:val="26"/>
                <w:szCs w:val="26"/>
                <w:lang w:val="en-US" w:eastAsia="zh-CN"/>
              </w:rPr>
            </w:pPr>
            <w:r>
              <w:rPr>
                <w:rFonts w:hint="default" w:ascii="Times New Roman" w:hAnsi="Times New Roman" w:cs="Times New Roman"/>
                <w:color w:val="auto"/>
                <w:sz w:val="26"/>
                <w:szCs w:val="26"/>
                <w:lang w:val="en-US" w:eastAsia="zh-CN"/>
              </w:rPr>
              <w:t>项目</w:t>
            </w:r>
            <w:r>
              <w:rPr>
                <w:rFonts w:hint="default" w:ascii="Times New Roman" w:hAnsi="Times New Roman" w:cs="Times New Roman"/>
                <w:color w:val="auto"/>
                <w:kern w:val="0"/>
                <w:sz w:val="26"/>
                <w:szCs w:val="26"/>
                <w:lang w:val="en-US" w:eastAsia="zh-CN"/>
              </w:rPr>
              <w:t>位于</w:t>
            </w:r>
            <w:r>
              <w:rPr>
                <w:rFonts w:hint="eastAsia" w:ascii="Times New Roman" w:hAnsi="Times New Roman" w:cs="Times New Roman"/>
                <w:color w:val="auto"/>
                <w:kern w:val="0"/>
                <w:sz w:val="26"/>
                <w:szCs w:val="26"/>
                <w:lang w:val="en-US" w:eastAsia="zh-CN"/>
              </w:rPr>
              <w:t>重庆市九龙坡区华福大道北段400号（现有华福路加油站</w:t>
            </w:r>
            <w:r>
              <w:rPr>
                <w:rFonts w:hint="eastAsia" w:cs="Times New Roman"/>
                <w:color w:val="auto"/>
                <w:kern w:val="0"/>
                <w:sz w:val="26"/>
                <w:szCs w:val="26"/>
                <w:lang w:val="en-US" w:eastAsia="zh-CN"/>
              </w:rPr>
              <w:t>站</w:t>
            </w:r>
            <w:r>
              <w:rPr>
                <w:rFonts w:hint="eastAsia" w:ascii="Times New Roman" w:hAnsi="Times New Roman" w:cs="Times New Roman"/>
                <w:color w:val="auto"/>
                <w:kern w:val="0"/>
                <w:sz w:val="26"/>
                <w:szCs w:val="26"/>
                <w:lang w:val="en-US" w:eastAsia="zh-CN"/>
              </w:rPr>
              <w:t>区内）</w:t>
            </w:r>
            <w:r>
              <w:rPr>
                <w:rFonts w:hint="eastAsia" w:cs="Times New Roman"/>
                <w:color w:val="auto"/>
                <w:kern w:val="0"/>
                <w:sz w:val="26"/>
                <w:szCs w:val="26"/>
                <w:lang w:val="en-US" w:eastAsia="zh-CN"/>
              </w:rPr>
              <w:t>。</w:t>
            </w:r>
            <w:r>
              <w:rPr>
                <w:rFonts w:hint="default" w:ascii="Times New Roman" w:hAnsi="Times New Roman" w:cs="Times New Roman"/>
                <w:color w:val="auto"/>
                <w:kern w:val="0"/>
                <w:sz w:val="26"/>
                <w:szCs w:val="26"/>
                <w:lang w:val="en-US" w:eastAsia="zh-CN"/>
              </w:rPr>
              <w:t>本项目与《重庆市发展和改革委员会关于印发重庆市产业投资准入工作手册的通知》（渝发改投资〔2022〕1436 号）有关要求通知对照分析见下表。</w:t>
            </w:r>
          </w:p>
          <w:p w14:paraId="5D744E73">
            <w:pPr>
              <w:pStyle w:val="93"/>
              <w:bidi w:val="0"/>
              <w:spacing w:line="240" w:lineRule="auto"/>
              <w:ind w:left="0" w:leftChars="0" w:firstLine="0" w:firstLineChars="0"/>
              <w:jc w:val="center"/>
              <w:rPr>
                <w:rFonts w:hint="eastAsia" w:cs="Times New Roman"/>
                <w:color w:val="auto"/>
                <w:kern w:val="0"/>
                <w:sz w:val="26"/>
                <w:szCs w:val="26"/>
                <w:lang w:val="en-US" w:eastAsia="zh-CN"/>
              </w:rPr>
            </w:pPr>
            <w:r>
              <w:rPr>
                <w:rFonts w:hint="eastAsia" w:cs="Times New Roman"/>
                <w:b w:val="0"/>
                <w:bCs w:val="0"/>
                <w:color w:val="auto"/>
                <w:kern w:val="0"/>
                <w:sz w:val="22"/>
                <w:szCs w:val="22"/>
                <w:lang w:val="en-US" w:eastAsia="zh-CN"/>
              </w:rPr>
              <w:t>表1.6-1  与渝发改投资〔2022〕1436号的符合性分析表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4079"/>
              <w:gridCol w:w="1643"/>
              <w:gridCol w:w="854"/>
            </w:tblGrid>
            <w:tr w14:paraId="618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noWrap w:val="0"/>
                  <w:vAlign w:val="center"/>
                </w:tcPr>
                <w:p w14:paraId="7565D8DB">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类别</w:t>
                  </w:r>
                </w:p>
              </w:tc>
              <w:tc>
                <w:tcPr>
                  <w:tcW w:w="2812" w:type="pct"/>
                  <w:noWrap w:val="0"/>
                  <w:vAlign w:val="center"/>
                </w:tcPr>
                <w:p w14:paraId="2B340D09">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实施细则</w:t>
                  </w:r>
                </w:p>
              </w:tc>
              <w:tc>
                <w:tcPr>
                  <w:tcW w:w="1133" w:type="pct"/>
                  <w:noWrap w:val="0"/>
                  <w:vAlign w:val="center"/>
                </w:tcPr>
                <w:p w14:paraId="23A28BBC">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本项目情况</w:t>
                  </w:r>
                </w:p>
              </w:tc>
              <w:tc>
                <w:tcPr>
                  <w:tcW w:w="589" w:type="pct"/>
                  <w:noWrap w:val="0"/>
                  <w:vAlign w:val="center"/>
                </w:tcPr>
                <w:p w14:paraId="7F949950">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是否符合</w:t>
                  </w:r>
                </w:p>
              </w:tc>
            </w:tr>
            <w:tr w14:paraId="2CC7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restart"/>
                  <w:noWrap w:val="0"/>
                  <w:vAlign w:val="center"/>
                </w:tcPr>
                <w:p w14:paraId="28227C92">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不予准入类</w:t>
                  </w:r>
                </w:p>
              </w:tc>
              <w:tc>
                <w:tcPr>
                  <w:tcW w:w="2812" w:type="pct"/>
                  <w:noWrap w:val="0"/>
                  <w:vAlign w:val="center"/>
                </w:tcPr>
                <w:p w14:paraId="49E20B5D">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全市范围内不予准入：</w:t>
                  </w:r>
                </w:p>
                <w:p w14:paraId="2B90C319">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1、国家产业结构调整指导目录中的淘汰类项目</w:t>
                  </w:r>
                </w:p>
                <w:p w14:paraId="54131609">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2、天然林商业性采伐</w:t>
                  </w:r>
                </w:p>
                <w:p w14:paraId="43E5E5E5">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3、法律法规和相关政策明令不予准入的其他项目</w:t>
                  </w:r>
                </w:p>
              </w:tc>
              <w:tc>
                <w:tcPr>
                  <w:tcW w:w="1133" w:type="pct"/>
                  <w:noWrap w:val="0"/>
                  <w:vAlign w:val="center"/>
                </w:tcPr>
                <w:p w14:paraId="222FF022">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项目不属于全市范围内不予准入项目</w:t>
                  </w:r>
                </w:p>
              </w:tc>
              <w:tc>
                <w:tcPr>
                  <w:tcW w:w="589" w:type="pct"/>
                  <w:noWrap w:val="0"/>
                  <w:vAlign w:val="center"/>
                </w:tcPr>
                <w:p w14:paraId="5667FDC8">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符合</w:t>
                  </w:r>
                </w:p>
              </w:tc>
            </w:tr>
            <w:tr w14:paraId="775D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noWrap w:val="0"/>
                  <w:vAlign w:val="center"/>
                </w:tcPr>
                <w:p w14:paraId="0BFB4CEE">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p>
              </w:tc>
              <w:tc>
                <w:tcPr>
                  <w:tcW w:w="2812" w:type="pct"/>
                  <w:noWrap w:val="0"/>
                  <w:vAlign w:val="center"/>
                </w:tcPr>
                <w:p w14:paraId="685B074D">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重点区域不予准入：</w:t>
                  </w:r>
                </w:p>
                <w:p w14:paraId="4CA05409">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1、外环绕城高速公路以内长江、嘉陵江水域采砂</w:t>
                  </w:r>
                </w:p>
                <w:p w14:paraId="69E2A8D5">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2、二十五度以上陡坡地开垦种植农作物</w:t>
                  </w:r>
                </w:p>
                <w:p w14:paraId="00C3B235">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3、在自然保护区核心区、缓冲区的岸线和河段范围内投资建设旅游和生产经营项目</w:t>
                  </w:r>
                </w:p>
                <w:p w14:paraId="307B50BC">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4、饮用水水源一级保护区的岸线和河段范围内新建、改建、扩建与供水设施和保护水源无关的项目，以及网箱养殖、畜禽养殖、放养畜禽、旅游可能污染饮用水水体的投资建设项目。在饮用水水源二级保护区的岸线和河段范围内新建、改建、扩建排放污染物的投资建设项目。</w:t>
                  </w:r>
                </w:p>
                <w:p w14:paraId="26101265">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5、长江干流岸线3公里范围内和重要支流岸线1公里范围内新建、改建、扩建尾矿库、冶炼渣库和磷石膏库(以提升安全、生态环境保护水平为目的的改建除外)。</w:t>
                  </w:r>
                </w:p>
                <w:p w14:paraId="4B6951BC">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6、在风景名胜区核心景区的岸线和河段范围内投资建设与风景名胜资源保护无关的项目。</w:t>
                  </w:r>
                </w:p>
                <w:p w14:paraId="18935876">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7、在国家湿地公园的岸线和河段范围内挖沙、采矿，以及任何不符合主体功能定位的投资建设项目。</w:t>
                  </w:r>
                </w:p>
                <w:p w14:paraId="1F0E4C2D">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8、在《长江岸线保护和开发利用总体规划》划定的岸线保护区和保留区内投资建设除事关公共安全及公众利益的防洪护岸、河道治理、供水、环境保护、航道整治、国家重要基础设施以外的项目。</w:t>
                  </w:r>
                </w:p>
                <w:p w14:paraId="359E142B">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9、在《全国重要江河湖泊水功能区划》划定的河段及湖泊保护区、保留区内投资建设不利于水资源及自然生态保护的项目。</w:t>
                  </w:r>
                </w:p>
              </w:tc>
              <w:tc>
                <w:tcPr>
                  <w:tcW w:w="1133" w:type="pct"/>
                  <w:noWrap w:val="0"/>
                  <w:vAlign w:val="center"/>
                </w:tcPr>
                <w:p w14:paraId="04B7E0F4">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项目不属于重点区域不予准入</w:t>
                  </w:r>
                  <w:r>
                    <w:rPr>
                      <w:rFonts w:hint="eastAsia" w:cs="Times New Roman"/>
                      <w:color w:val="auto"/>
                      <w:kern w:val="0"/>
                      <w:sz w:val="22"/>
                      <w:szCs w:val="22"/>
                      <w:vertAlign w:val="baseline"/>
                      <w:lang w:val="en-US" w:eastAsia="zh-CN"/>
                    </w:rPr>
                    <w:t>项目</w:t>
                  </w:r>
                </w:p>
              </w:tc>
              <w:tc>
                <w:tcPr>
                  <w:tcW w:w="589" w:type="pct"/>
                  <w:noWrap w:val="0"/>
                  <w:vAlign w:val="center"/>
                </w:tcPr>
                <w:p w14:paraId="2D157C76">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符合</w:t>
                  </w:r>
                </w:p>
              </w:tc>
            </w:tr>
            <w:tr w14:paraId="01EA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restart"/>
                  <w:noWrap w:val="0"/>
                  <w:vAlign w:val="center"/>
                </w:tcPr>
                <w:p w14:paraId="00C02B51">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限制准入类</w:t>
                  </w:r>
                </w:p>
              </w:tc>
              <w:tc>
                <w:tcPr>
                  <w:tcW w:w="2812" w:type="pct"/>
                  <w:noWrap w:val="0"/>
                  <w:vAlign w:val="center"/>
                </w:tcPr>
                <w:p w14:paraId="5FB403B0">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全市范围内限制准入：</w:t>
                  </w:r>
                </w:p>
                <w:p w14:paraId="0FABD905">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1、新建、扩建不符合国家产能置换要求的严重过剩产能行业的项目。新建、扩建不符合要求的高耗能高排放项目</w:t>
                  </w:r>
                </w:p>
                <w:p w14:paraId="5FD9B7B2">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2、新建、扩建不符合国家石化、现代煤化工等产业布局规划的项目</w:t>
                  </w:r>
                </w:p>
                <w:p w14:paraId="2C8AB0AA">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3、在合规园区外新建、扩建钢铁、石化、化工、焦化、建材、有色、制浆造纸等高污染项目</w:t>
                  </w:r>
                </w:p>
                <w:p w14:paraId="60747FE4">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4、《汽车产业投资管理规定》（国家发展和改革委员会令第22号）明确禁止建设的汽车投资项目</w:t>
                  </w:r>
                </w:p>
              </w:tc>
              <w:tc>
                <w:tcPr>
                  <w:tcW w:w="1133" w:type="pct"/>
                  <w:noWrap w:val="0"/>
                  <w:vAlign w:val="center"/>
                </w:tcPr>
                <w:p w14:paraId="0A74A89C">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项目不属于严重过剩产能行业、高耗能高排放、石化、现代煤化、高污染和明确禁止的汽车投资项目</w:t>
                  </w:r>
                </w:p>
              </w:tc>
              <w:tc>
                <w:tcPr>
                  <w:tcW w:w="589" w:type="pct"/>
                  <w:noWrap w:val="0"/>
                  <w:vAlign w:val="center"/>
                </w:tcPr>
                <w:p w14:paraId="30EEC4FC">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符合</w:t>
                  </w:r>
                </w:p>
              </w:tc>
            </w:tr>
            <w:tr w14:paraId="294F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Merge w:val="continue"/>
                  <w:noWrap w:val="0"/>
                  <w:vAlign w:val="center"/>
                </w:tcPr>
                <w:p w14:paraId="139F04E0">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p>
              </w:tc>
              <w:tc>
                <w:tcPr>
                  <w:tcW w:w="2812" w:type="pct"/>
                  <w:noWrap w:val="0"/>
                  <w:vAlign w:val="center"/>
                </w:tcPr>
                <w:p w14:paraId="1297F5AD">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重点区域范围内限制准入：</w:t>
                  </w:r>
                </w:p>
                <w:p w14:paraId="00765701">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1、长江干支流、重要湖泊岸线1公里范围内新建、扩建化工园区和化工项目，长江、嘉陵江、乌江岸线1公里范围内布局新建纸浆制造、印染等有在环境风险的项目</w:t>
                  </w:r>
                </w:p>
                <w:p w14:paraId="26E47831">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2、在水产种质资源保护区的岸线和河段范围内新建围湖造田等投资建设项目</w:t>
                  </w:r>
                </w:p>
              </w:tc>
              <w:tc>
                <w:tcPr>
                  <w:tcW w:w="1133" w:type="pct"/>
                  <w:noWrap w:val="0"/>
                  <w:vAlign w:val="center"/>
                </w:tcPr>
                <w:p w14:paraId="04D103A7">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default" w:cs="Times New Roman"/>
                      <w:color w:val="auto"/>
                      <w:kern w:val="0"/>
                      <w:sz w:val="22"/>
                      <w:szCs w:val="22"/>
                      <w:vertAlign w:val="baseline"/>
                      <w:lang w:val="en-US" w:eastAsia="zh-CN"/>
                    </w:rPr>
                    <w:t>项目不位于长江、嘉陵江、乌江岸线1公里范围内和水产种质资源保护区的岸线和河段范围内，且项目不属于制浆制造、印染等存在环境风险的项目和围湖造田等投资建设项目</w:t>
                  </w:r>
                </w:p>
              </w:tc>
              <w:tc>
                <w:tcPr>
                  <w:tcW w:w="589" w:type="pct"/>
                  <w:noWrap w:val="0"/>
                  <w:vAlign w:val="center"/>
                </w:tcPr>
                <w:p w14:paraId="580E8EFC">
                  <w:pPr>
                    <w:pStyle w:val="9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2"/>
                      <w:szCs w:val="22"/>
                      <w:vertAlign w:val="baseline"/>
                      <w:lang w:val="en-US" w:eastAsia="zh-CN"/>
                    </w:rPr>
                  </w:pPr>
                  <w:r>
                    <w:rPr>
                      <w:rFonts w:hint="eastAsia" w:cs="Times New Roman"/>
                      <w:color w:val="auto"/>
                      <w:kern w:val="0"/>
                      <w:sz w:val="22"/>
                      <w:szCs w:val="22"/>
                      <w:vertAlign w:val="baseline"/>
                      <w:lang w:val="en-US" w:eastAsia="zh-CN"/>
                    </w:rPr>
                    <w:t>符合</w:t>
                  </w:r>
                </w:p>
              </w:tc>
            </w:tr>
          </w:tbl>
          <w:p w14:paraId="1D347A53">
            <w:pPr>
              <w:autoSpaceDE w:val="0"/>
              <w:autoSpaceDN w:val="0"/>
              <w:adjustRightInd w:val="0"/>
              <w:snapToGrid w:val="0"/>
              <w:spacing w:line="460" w:lineRule="exact"/>
              <w:ind w:firstLine="520" w:firstLineChars="200"/>
              <w:rPr>
                <w:rFonts w:hint="eastAsia"/>
                <w:sz w:val="26"/>
                <w:szCs w:val="26"/>
              </w:rPr>
            </w:pPr>
            <w:r>
              <w:rPr>
                <w:rFonts w:hint="eastAsia" w:cs="Times New Roman"/>
                <w:color w:val="auto"/>
                <w:kern w:val="0"/>
                <w:sz w:val="26"/>
                <w:szCs w:val="26"/>
                <w:lang w:val="en-US" w:eastAsia="zh-CN"/>
              </w:rPr>
              <w:t>由上表分析可知，</w:t>
            </w:r>
            <w:r>
              <w:rPr>
                <w:rFonts w:hint="default" w:ascii="Times New Roman" w:hAnsi="Times New Roman" w:cs="Times New Roman"/>
                <w:color w:val="auto"/>
                <w:sz w:val="26"/>
                <w:szCs w:val="26"/>
              </w:rPr>
              <w:t>本项目符合《重庆市产业投资准入工作手册》（渝发改投</w:t>
            </w:r>
            <w:r>
              <w:rPr>
                <w:rFonts w:hint="default" w:ascii="Times New Roman" w:hAnsi="Times New Roman" w:cs="Times New Roman"/>
                <w:color w:val="auto"/>
                <w:sz w:val="26"/>
                <w:szCs w:val="26"/>
                <w:lang w:val="en-US" w:eastAsia="zh-CN"/>
              </w:rPr>
              <w:t>资</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rPr>
              <w:t>20</w:t>
            </w:r>
            <w:r>
              <w:rPr>
                <w:rFonts w:hint="default" w:ascii="Times New Roman" w:hAnsi="Times New Roman" w:cs="Times New Roman"/>
                <w:color w:val="auto"/>
                <w:sz w:val="26"/>
                <w:szCs w:val="26"/>
                <w:lang w:val="en-US" w:eastAsia="zh-CN"/>
              </w:rPr>
              <w:t>22</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lang w:val="en-US" w:eastAsia="zh-CN"/>
              </w:rPr>
              <w:t>1436</w:t>
            </w:r>
            <w:r>
              <w:rPr>
                <w:rFonts w:hint="default" w:ascii="Times New Roman" w:hAnsi="Times New Roman" w:cs="Times New Roman"/>
                <w:color w:val="auto"/>
                <w:sz w:val="26"/>
                <w:szCs w:val="26"/>
              </w:rPr>
              <w:t>号）产业政策的</w:t>
            </w:r>
            <w:r>
              <w:rPr>
                <w:rFonts w:hint="eastAsia" w:cs="Times New Roman"/>
                <w:color w:val="auto"/>
                <w:sz w:val="26"/>
                <w:szCs w:val="26"/>
                <w:lang w:val="en-US" w:eastAsia="zh-CN"/>
              </w:rPr>
              <w:t>准入</w:t>
            </w:r>
            <w:r>
              <w:rPr>
                <w:rFonts w:hint="default" w:ascii="Times New Roman" w:hAnsi="Times New Roman" w:cs="Times New Roman"/>
                <w:color w:val="auto"/>
                <w:sz w:val="26"/>
                <w:szCs w:val="26"/>
              </w:rPr>
              <w:t>要求。</w:t>
            </w:r>
          </w:p>
          <w:p w14:paraId="76783BCD">
            <w:pPr>
              <w:widowControl/>
              <w:spacing w:line="460" w:lineRule="exact"/>
              <w:rPr>
                <w:b/>
                <w:bCs/>
                <w:kern w:val="0"/>
                <w:sz w:val="26"/>
                <w:szCs w:val="26"/>
              </w:rPr>
            </w:pPr>
            <w:r>
              <w:rPr>
                <w:rFonts w:hint="eastAsia"/>
                <w:b/>
                <w:bCs/>
                <w:kern w:val="0"/>
                <w:sz w:val="26"/>
                <w:szCs w:val="26"/>
              </w:rPr>
              <w:t>1</w:t>
            </w:r>
            <w:r>
              <w:rPr>
                <w:b/>
                <w:bCs/>
                <w:kern w:val="0"/>
                <w:sz w:val="26"/>
                <w:szCs w:val="26"/>
              </w:rPr>
              <w:t>.</w:t>
            </w:r>
            <w:r>
              <w:rPr>
                <w:rFonts w:hint="eastAsia"/>
                <w:b/>
                <w:bCs/>
                <w:kern w:val="0"/>
                <w:sz w:val="26"/>
                <w:szCs w:val="26"/>
              </w:rPr>
              <w:t>3与《挥发性有机污染物（VOCs）防治技术政策》（公告2013年第31号）符合性分析</w:t>
            </w:r>
          </w:p>
          <w:p w14:paraId="7A87E5C2">
            <w:pPr>
              <w:pStyle w:val="14"/>
              <w:widowControl w:val="0"/>
              <w:pBdr>
                <w:top w:val="none" w:color="auto" w:sz="0" w:space="1"/>
                <w:left w:val="none" w:color="auto" w:sz="0" w:space="4"/>
                <w:bottom w:val="none" w:color="auto" w:sz="0" w:space="1"/>
                <w:right w:val="none" w:color="auto" w:sz="0" w:space="4"/>
                <w:between w:val="none" w:color="auto" w:sz="0" w:space="0"/>
              </w:pBdr>
              <w:snapToGrid w:val="0"/>
              <w:spacing w:line="460" w:lineRule="exact"/>
              <w:ind w:firstLine="520" w:firstLineChars="200"/>
              <w:jc w:val="both"/>
              <w:rPr>
                <w:sz w:val="26"/>
              </w:rPr>
            </w:pPr>
            <w:r>
              <w:rPr>
                <w:sz w:val="26"/>
              </w:rPr>
              <w:t>本项目与挥发性有机污染物</w:t>
            </w:r>
            <w:r>
              <w:rPr>
                <w:rFonts w:hint="eastAsia"/>
                <w:sz w:val="26"/>
              </w:rPr>
              <w:t>（VOCs）</w:t>
            </w:r>
            <w:r>
              <w:rPr>
                <w:sz w:val="26"/>
              </w:rPr>
              <w:t>防治技术政策符合性分析见下表。</w:t>
            </w:r>
          </w:p>
          <w:p w14:paraId="1AC588A2">
            <w:pPr>
              <w:pStyle w:val="14"/>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jc w:val="center"/>
              <w:rPr>
                <w:sz w:val="22"/>
                <w:szCs w:val="16"/>
              </w:rPr>
            </w:pPr>
            <w:r>
              <w:rPr>
                <w:sz w:val="22"/>
                <w:szCs w:val="16"/>
              </w:rPr>
              <w:t>表1.</w:t>
            </w:r>
            <w:r>
              <w:rPr>
                <w:rFonts w:hint="eastAsia"/>
                <w:sz w:val="22"/>
                <w:szCs w:val="16"/>
              </w:rPr>
              <w:t>3</w:t>
            </w:r>
            <w:r>
              <w:rPr>
                <w:sz w:val="22"/>
                <w:szCs w:val="16"/>
              </w:rPr>
              <w:t>-1</w:t>
            </w:r>
            <w:r>
              <w:rPr>
                <w:rFonts w:hint="eastAsia"/>
                <w:sz w:val="22"/>
                <w:szCs w:val="16"/>
                <w:lang w:val="en-US" w:eastAsia="zh-CN"/>
              </w:rPr>
              <w:t xml:space="preserve">  与《挥发性有机污染物（VOCs）防治技术政策》</w:t>
            </w:r>
            <w:r>
              <w:rPr>
                <w:sz w:val="22"/>
                <w:szCs w:val="16"/>
              </w:rPr>
              <w:t>符合性分析</w:t>
            </w:r>
          </w:p>
          <w:tbl>
            <w:tblPr>
              <w:tblStyle w:val="17"/>
              <w:tblW w:w="48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57" w:type="dxa"/>
                <w:bottom w:w="0" w:type="dxa"/>
                <w:right w:w="57" w:type="dxa"/>
              </w:tblCellMar>
            </w:tblPr>
            <w:tblGrid>
              <w:gridCol w:w="572"/>
              <w:gridCol w:w="3370"/>
              <w:gridCol w:w="2429"/>
              <w:gridCol w:w="653"/>
            </w:tblGrid>
            <w:tr w14:paraId="491068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tcBorders>
                    <w:top w:val="single" w:color="auto" w:sz="8" w:space="0"/>
                    <w:left w:val="single" w:color="auto" w:sz="8" w:space="0"/>
                    <w:bottom w:val="single" w:color="auto" w:sz="6" w:space="0"/>
                    <w:right w:val="single" w:color="auto" w:sz="6" w:space="0"/>
                  </w:tcBorders>
                  <w:vAlign w:val="center"/>
                </w:tcPr>
                <w:p w14:paraId="6B4CFAFA">
                  <w:pPr>
                    <w:adjustRightInd w:val="0"/>
                    <w:snapToGrid w:val="0"/>
                    <w:jc w:val="center"/>
                    <w:rPr>
                      <w:spacing w:val="-2"/>
                      <w:kern w:val="0"/>
                      <w:sz w:val="22"/>
                      <w:szCs w:val="22"/>
                    </w:rPr>
                  </w:pPr>
                  <w:r>
                    <w:rPr>
                      <w:rFonts w:hint="eastAsia" w:cs="宋体"/>
                      <w:spacing w:val="-2"/>
                      <w:kern w:val="0"/>
                      <w:sz w:val="22"/>
                      <w:szCs w:val="22"/>
                    </w:rPr>
                    <w:t>序号</w:t>
                  </w:r>
                </w:p>
              </w:tc>
              <w:tc>
                <w:tcPr>
                  <w:tcW w:w="3464" w:type="dxa"/>
                  <w:tcBorders>
                    <w:top w:val="single" w:color="auto" w:sz="8" w:space="0"/>
                    <w:left w:val="single" w:color="auto" w:sz="6" w:space="0"/>
                    <w:bottom w:val="single" w:color="auto" w:sz="6" w:space="0"/>
                    <w:right w:val="single" w:color="auto" w:sz="6" w:space="0"/>
                  </w:tcBorders>
                  <w:vAlign w:val="center"/>
                </w:tcPr>
                <w:p w14:paraId="034536BF">
                  <w:pPr>
                    <w:adjustRightInd w:val="0"/>
                    <w:snapToGrid w:val="0"/>
                    <w:jc w:val="center"/>
                    <w:rPr>
                      <w:rFonts w:hint="default" w:eastAsia="宋体" w:cs="宋体"/>
                      <w:spacing w:val="-2"/>
                      <w:kern w:val="0"/>
                      <w:sz w:val="22"/>
                      <w:szCs w:val="22"/>
                      <w:lang w:val="en-US" w:eastAsia="zh-CN"/>
                    </w:rPr>
                  </w:pPr>
                  <w:r>
                    <w:rPr>
                      <w:rFonts w:hint="eastAsia" w:cs="宋体"/>
                      <w:spacing w:val="-2"/>
                      <w:kern w:val="0"/>
                      <w:sz w:val="22"/>
                      <w:szCs w:val="22"/>
                    </w:rPr>
                    <w:t>《挥发性有机污染物防治技术政策》</w:t>
                  </w:r>
                  <w:r>
                    <w:rPr>
                      <w:rFonts w:hint="eastAsia" w:cs="宋体"/>
                      <w:spacing w:val="-2"/>
                      <w:kern w:val="0"/>
                      <w:sz w:val="22"/>
                      <w:szCs w:val="22"/>
                      <w:lang w:val="en-US" w:eastAsia="zh-CN"/>
                    </w:rPr>
                    <w:t>中要求</w:t>
                  </w:r>
                </w:p>
              </w:tc>
              <w:tc>
                <w:tcPr>
                  <w:tcW w:w="2482" w:type="dxa"/>
                  <w:tcBorders>
                    <w:top w:val="single" w:color="auto" w:sz="8" w:space="0"/>
                    <w:left w:val="single" w:color="auto" w:sz="6" w:space="0"/>
                    <w:bottom w:val="single" w:color="auto" w:sz="6" w:space="0"/>
                    <w:right w:val="single" w:color="auto" w:sz="6" w:space="0"/>
                  </w:tcBorders>
                  <w:vAlign w:val="center"/>
                </w:tcPr>
                <w:p w14:paraId="1151DC7C">
                  <w:pPr>
                    <w:adjustRightInd w:val="0"/>
                    <w:snapToGrid w:val="0"/>
                    <w:jc w:val="center"/>
                    <w:rPr>
                      <w:spacing w:val="-2"/>
                      <w:kern w:val="0"/>
                      <w:sz w:val="22"/>
                      <w:szCs w:val="22"/>
                    </w:rPr>
                  </w:pPr>
                  <w:r>
                    <w:rPr>
                      <w:rFonts w:hint="eastAsia" w:cs="宋体"/>
                      <w:spacing w:val="-2"/>
                      <w:kern w:val="0"/>
                      <w:sz w:val="22"/>
                      <w:szCs w:val="22"/>
                    </w:rPr>
                    <w:t>本项目情况</w:t>
                  </w:r>
                </w:p>
              </w:tc>
              <w:tc>
                <w:tcPr>
                  <w:tcW w:w="666" w:type="dxa"/>
                  <w:tcBorders>
                    <w:top w:val="single" w:color="auto" w:sz="8" w:space="0"/>
                    <w:left w:val="single" w:color="auto" w:sz="6" w:space="0"/>
                    <w:bottom w:val="single" w:color="auto" w:sz="6" w:space="0"/>
                    <w:right w:val="single" w:color="auto" w:sz="8" w:space="0"/>
                  </w:tcBorders>
                  <w:vAlign w:val="center"/>
                </w:tcPr>
                <w:p w14:paraId="0C844324">
                  <w:pPr>
                    <w:adjustRightInd w:val="0"/>
                    <w:snapToGrid w:val="0"/>
                    <w:jc w:val="center"/>
                    <w:rPr>
                      <w:spacing w:val="-2"/>
                      <w:kern w:val="0"/>
                      <w:sz w:val="22"/>
                      <w:szCs w:val="22"/>
                    </w:rPr>
                  </w:pPr>
                  <w:r>
                    <w:rPr>
                      <w:rFonts w:hint="eastAsia" w:cs="宋体"/>
                      <w:spacing w:val="-2"/>
                      <w:kern w:val="0"/>
                      <w:sz w:val="22"/>
                      <w:szCs w:val="22"/>
                    </w:rPr>
                    <w:t>符合性</w:t>
                  </w:r>
                </w:p>
              </w:tc>
            </w:tr>
            <w:tr w14:paraId="7477A3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tcBorders>
                    <w:top w:val="single" w:color="auto" w:sz="6" w:space="0"/>
                    <w:left w:val="single" w:color="auto" w:sz="8" w:space="0"/>
                    <w:bottom w:val="single" w:color="auto" w:sz="6" w:space="0"/>
                    <w:right w:val="single" w:color="auto" w:sz="6" w:space="0"/>
                  </w:tcBorders>
                  <w:vAlign w:val="center"/>
                </w:tcPr>
                <w:p w14:paraId="1577D910">
                  <w:pPr>
                    <w:adjustRightInd w:val="0"/>
                    <w:snapToGrid w:val="0"/>
                    <w:jc w:val="center"/>
                    <w:rPr>
                      <w:spacing w:val="-2"/>
                      <w:kern w:val="0"/>
                      <w:sz w:val="22"/>
                      <w:szCs w:val="22"/>
                    </w:rPr>
                  </w:pPr>
                  <w:r>
                    <w:rPr>
                      <w:spacing w:val="-2"/>
                      <w:kern w:val="0"/>
                      <w:sz w:val="22"/>
                      <w:szCs w:val="22"/>
                    </w:rPr>
                    <w:t>1</w:t>
                  </w:r>
                </w:p>
              </w:tc>
              <w:tc>
                <w:tcPr>
                  <w:tcW w:w="3464" w:type="dxa"/>
                  <w:tcBorders>
                    <w:top w:val="single" w:color="auto" w:sz="6" w:space="0"/>
                    <w:left w:val="single" w:color="auto" w:sz="6" w:space="0"/>
                    <w:bottom w:val="single" w:color="auto" w:sz="6" w:space="0"/>
                    <w:right w:val="single" w:color="auto" w:sz="6" w:space="0"/>
                  </w:tcBorders>
                  <w:vAlign w:val="center"/>
                </w:tcPr>
                <w:p w14:paraId="31CF0631">
                  <w:pPr>
                    <w:adjustRightInd w:val="0"/>
                    <w:snapToGrid w:val="0"/>
                    <w:jc w:val="left"/>
                    <w:rPr>
                      <w:spacing w:val="-2"/>
                      <w:kern w:val="0"/>
                      <w:sz w:val="22"/>
                      <w:szCs w:val="22"/>
                    </w:rPr>
                  </w:pPr>
                  <w:r>
                    <w:rPr>
                      <w:spacing w:val="-2"/>
                      <w:kern w:val="0"/>
                      <w:sz w:val="22"/>
                      <w:szCs w:val="22"/>
                    </w:rPr>
                    <w:t>VOCs</w:t>
                  </w:r>
                  <w:r>
                    <w:rPr>
                      <w:rFonts w:hint="eastAsia"/>
                      <w:spacing w:val="-2"/>
                      <w:kern w:val="0"/>
                      <w:sz w:val="22"/>
                      <w:szCs w:val="22"/>
                    </w:rPr>
                    <w:t>物料应储存于密闭的容器、包装袋、储罐、储库、料仓中</w:t>
                  </w:r>
                </w:p>
              </w:tc>
              <w:tc>
                <w:tcPr>
                  <w:tcW w:w="2482" w:type="dxa"/>
                  <w:tcBorders>
                    <w:top w:val="single" w:color="auto" w:sz="6" w:space="0"/>
                    <w:left w:val="single" w:color="auto" w:sz="6" w:space="0"/>
                    <w:bottom w:val="single" w:color="auto" w:sz="6" w:space="0"/>
                    <w:right w:val="single" w:color="auto" w:sz="6" w:space="0"/>
                  </w:tcBorders>
                  <w:vAlign w:val="center"/>
                </w:tcPr>
                <w:p w14:paraId="6E2D554C">
                  <w:pPr>
                    <w:adjustRightInd w:val="0"/>
                    <w:snapToGrid w:val="0"/>
                    <w:jc w:val="center"/>
                    <w:rPr>
                      <w:spacing w:val="-2"/>
                      <w:kern w:val="0"/>
                      <w:sz w:val="22"/>
                      <w:szCs w:val="22"/>
                    </w:rPr>
                  </w:pPr>
                  <w:r>
                    <w:rPr>
                      <w:rFonts w:hint="eastAsia"/>
                      <w:spacing w:val="-2"/>
                      <w:kern w:val="0"/>
                      <w:sz w:val="22"/>
                      <w:szCs w:val="22"/>
                    </w:rPr>
                    <w:t>本项目汽、柴油储存于埋地密闭</w:t>
                  </w:r>
                  <w:r>
                    <w:rPr>
                      <w:rFonts w:hint="eastAsia"/>
                      <w:spacing w:val="-2"/>
                      <w:kern w:val="0"/>
                      <w:sz w:val="22"/>
                      <w:szCs w:val="22"/>
                      <w:lang w:val="en-US" w:eastAsia="zh-CN"/>
                    </w:rPr>
                    <w:t>双层</w:t>
                  </w:r>
                  <w:r>
                    <w:rPr>
                      <w:rFonts w:hint="eastAsia"/>
                      <w:spacing w:val="-2"/>
                      <w:kern w:val="0"/>
                      <w:sz w:val="22"/>
                      <w:szCs w:val="22"/>
                    </w:rPr>
                    <w:t>储油罐内</w:t>
                  </w:r>
                </w:p>
              </w:tc>
              <w:tc>
                <w:tcPr>
                  <w:tcW w:w="666" w:type="dxa"/>
                  <w:tcBorders>
                    <w:top w:val="single" w:color="auto" w:sz="6" w:space="0"/>
                    <w:left w:val="single" w:color="auto" w:sz="6" w:space="0"/>
                    <w:bottom w:val="single" w:color="auto" w:sz="6" w:space="0"/>
                    <w:right w:val="single" w:color="auto" w:sz="8" w:space="0"/>
                  </w:tcBorders>
                  <w:vAlign w:val="center"/>
                </w:tcPr>
                <w:p w14:paraId="5C2E3A18">
                  <w:pPr>
                    <w:adjustRightInd w:val="0"/>
                    <w:snapToGrid w:val="0"/>
                    <w:jc w:val="center"/>
                    <w:rPr>
                      <w:spacing w:val="-2"/>
                      <w:kern w:val="0"/>
                      <w:sz w:val="22"/>
                      <w:szCs w:val="22"/>
                    </w:rPr>
                  </w:pPr>
                  <w:r>
                    <w:rPr>
                      <w:rFonts w:hint="eastAsia" w:cs="宋体"/>
                      <w:spacing w:val="-2"/>
                      <w:kern w:val="0"/>
                      <w:sz w:val="22"/>
                      <w:szCs w:val="22"/>
                    </w:rPr>
                    <w:t>符合</w:t>
                  </w:r>
                </w:p>
              </w:tc>
            </w:tr>
            <w:tr w14:paraId="0A520A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tcBorders>
                    <w:top w:val="single" w:color="auto" w:sz="6" w:space="0"/>
                    <w:left w:val="single" w:color="auto" w:sz="8" w:space="0"/>
                    <w:bottom w:val="single" w:color="auto" w:sz="6" w:space="0"/>
                    <w:right w:val="single" w:color="auto" w:sz="6" w:space="0"/>
                  </w:tcBorders>
                  <w:vAlign w:val="center"/>
                </w:tcPr>
                <w:p w14:paraId="2CD0FDD3">
                  <w:pPr>
                    <w:adjustRightInd w:val="0"/>
                    <w:snapToGrid w:val="0"/>
                    <w:jc w:val="center"/>
                    <w:rPr>
                      <w:spacing w:val="-2"/>
                      <w:kern w:val="0"/>
                      <w:sz w:val="22"/>
                      <w:szCs w:val="22"/>
                    </w:rPr>
                  </w:pPr>
                  <w:r>
                    <w:rPr>
                      <w:spacing w:val="-2"/>
                      <w:kern w:val="0"/>
                      <w:sz w:val="22"/>
                      <w:szCs w:val="22"/>
                    </w:rPr>
                    <w:t>2</w:t>
                  </w:r>
                </w:p>
              </w:tc>
              <w:tc>
                <w:tcPr>
                  <w:tcW w:w="3464" w:type="dxa"/>
                  <w:tcBorders>
                    <w:top w:val="single" w:color="auto" w:sz="6" w:space="0"/>
                    <w:left w:val="single" w:color="auto" w:sz="6" w:space="0"/>
                    <w:bottom w:val="single" w:color="auto" w:sz="6" w:space="0"/>
                    <w:right w:val="single" w:color="auto" w:sz="6" w:space="0"/>
                  </w:tcBorders>
                  <w:vAlign w:val="center"/>
                </w:tcPr>
                <w:p w14:paraId="68A646D1">
                  <w:pPr>
                    <w:adjustRightInd w:val="0"/>
                    <w:snapToGrid w:val="0"/>
                    <w:jc w:val="left"/>
                    <w:rPr>
                      <w:spacing w:val="-2"/>
                      <w:kern w:val="0"/>
                      <w:sz w:val="22"/>
                      <w:szCs w:val="22"/>
                    </w:rPr>
                  </w:pPr>
                  <w:r>
                    <w:rPr>
                      <w:rFonts w:hint="eastAsia"/>
                      <w:spacing w:val="-2"/>
                      <w:kern w:val="0"/>
                      <w:sz w:val="22"/>
                      <w:szCs w:val="22"/>
                    </w:rPr>
                    <w:t>盛装</w:t>
                  </w:r>
                  <w:r>
                    <w:rPr>
                      <w:spacing w:val="-2"/>
                      <w:kern w:val="0"/>
                      <w:sz w:val="22"/>
                      <w:szCs w:val="22"/>
                    </w:rPr>
                    <w:t>VOCs</w:t>
                  </w:r>
                  <w:r>
                    <w:rPr>
                      <w:rFonts w:hint="eastAsia"/>
                      <w:spacing w:val="-2"/>
                      <w:kern w:val="0"/>
                      <w:sz w:val="22"/>
                      <w:szCs w:val="22"/>
                    </w:rPr>
                    <w:t>物料的容器或包装袋应存放于室内，或存放于设置有雨棚，遮阳和防渗设施的专用场地。盛装</w:t>
                  </w:r>
                  <w:r>
                    <w:rPr>
                      <w:spacing w:val="-2"/>
                      <w:kern w:val="0"/>
                      <w:sz w:val="22"/>
                      <w:szCs w:val="22"/>
                    </w:rPr>
                    <w:t>VOCs</w:t>
                  </w:r>
                  <w:r>
                    <w:rPr>
                      <w:rFonts w:hint="eastAsia"/>
                      <w:spacing w:val="-2"/>
                      <w:kern w:val="0"/>
                      <w:sz w:val="22"/>
                      <w:szCs w:val="22"/>
                    </w:rPr>
                    <w:t>物料的容器或包装袋在非取用状态时应加盖、封口，保持密闭</w:t>
                  </w:r>
                </w:p>
              </w:tc>
              <w:tc>
                <w:tcPr>
                  <w:tcW w:w="2482" w:type="dxa"/>
                  <w:tcBorders>
                    <w:top w:val="single" w:color="auto" w:sz="6" w:space="0"/>
                    <w:left w:val="single" w:color="auto" w:sz="6" w:space="0"/>
                    <w:bottom w:val="single" w:color="auto" w:sz="6" w:space="0"/>
                    <w:right w:val="single" w:color="auto" w:sz="6" w:space="0"/>
                  </w:tcBorders>
                  <w:vAlign w:val="center"/>
                </w:tcPr>
                <w:p w14:paraId="4DF79E7C">
                  <w:pPr>
                    <w:adjustRightInd w:val="0"/>
                    <w:snapToGrid w:val="0"/>
                    <w:jc w:val="center"/>
                    <w:rPr>
                      <w:spacing w:val="-2"/>
                      <w:kern w:val="0"/>
                      <w:sz w:val="22"/>
                      <w:szCs w:val="22"/>
                    </w:rPr>
                  </w:pPr>
                  <w:r>
                    <w:rPr>
                      <w:rFonts w:hint="eastAsia"/>
                      <w:spacing w:val="-2"/>
                      <w:kern w:val="0"/>
                      <w:sz w:val="22"/>
                      <w:szCs w:val="22"/>
                    </w:rPr>
                    <w:t>本项目储油罐</w:t>
                  </w:r>
                  <w:r>
                    <w:rPr>
                      <w:rFonts w:hint="eastAsia"/>
                      <w:spacing w:val="-2"/>
                      <w:kern w:val="0"/>
                      <w:sz w:val="22"/>
                      <w:szCs w:val="22"/>
                      <w:lang w:val="en-US" w:eastAsia="zh-CN"/>
                    </w:rPr>
                    <w:t>改造</w:t>
                  </w:r>
                  <w:r>
                    <w:rPr>
                      <w:rFonts w:hint="eastAsia"/>
                      <w:spacing w:val="-2"/>
                      <w:kern w:val="0"/>
                      <w:sz w:val="22"/>
                      <w:szCs w:val="22"/>
                    </w:rPr>
                    <w:t>为埋地式F</w:t>
                  </w:r>
                  <w:r>
                    <w:rPr>
                      <w:spacing w:val="-2"/>
                      <w:kern w:val="0"/>
                      <w:sz w:val="22"/>
                      <w:szCs w:val="22"/>
                    </w:rPr>
                    <w:t>F</w:t>
                  </w:r>
                  <w:r>
                    <w:rPr>
                      <w:rFonts w:hint="eastAsia"/>
                      <w:spacing w:val="-2"/>
                      <w:kern w:val="0"/>
                      <w:sz w:val="22"/>
                      <w:szCs w:val="22"/>
                    </w:rPr>
                    <w:t>双层储罐，可满足防渗要求</w:t>
                  </w:r>
                </w:p>
              </w:tc>
              <w:tc>
                <w:tcPr>
                  <w:tcW w:w="666" w:type="dxa"/>
                  <w:tcBorders>
                    <w:top w:val="single" w:color="auto" w:sz="6" w:space="0"/>
                    <w:left w:val="single" w:color="auto" w:sz="6" w:space="0"/>
                    <w:bottom w:val="single" w:color="auto" w:sz="6" w:space="0"/>
                    <w:right w:val="single" w:color="auto" w:sz="8" w:space="0"/>
                  </w:tcBorders>
                  <w:vAlign w:val="center"/>
                </w:tcPr>
                <w:p w14:paraId="2F87DDBB">
                  <w:pPr>
                    <w:adjustRightInd w:val="0"/>
                    <w:snapToGrid w:val="0"/>
                    <w:jc w:val="center"/>
                    <w:rPr>
                      <w:spacing w:val="-2"/>
                      <w:kern w:val="0"/>
                      <w:sz w:val="22"/>
                      <w:szCs w:val="22"/>
                    </w:rPr>
                  </w:pPr>
                  <w:r>
                    <w:rPr>
                      <w:rFonts w:hint="eastAsia" w:cs="宋体"/>
                      <w:spacing w:val="-2"/>
                      <w:kern w:val="0"/>
                      <w:sz w:val="22"/>
                      <w:szCs w:val="22"/>
                    </w:rPr>
                    <w:t>符合</w:t>
                  </w:r>
                </w:p>
              </w:tc>
            </w:tr>
            <w:tr w14:paraId="668EEB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tcBorders>
                    <w:top w:val="single" w:color="auto" w:sz="6" w:space="0"/>
                    <w:left w:val="single" w:color="auto" w:sz="8" w:space="0"/>
                    <w:bottom w:val="single" w:color="auto" w:sz="6" w:space="0"/>
                    <w:right w:val="single" w:color="auto" w:sz="6" w:space="0"/>
                  </w:tcBorders>
                  <w:vAlign w:val="center"/>
                </w:tcPr>
                <w:p w14:paraId="08781935">
                  <w:pPr>
                    <w:adjustRightInd w:val="0"/>
                    <w:snapToGrid w:val="0"/>
                    <w:jc w:val="center"/>
                    <w:rPr>
                      <w:spacing w:val="-2"/>
                      <w:kern w:val="0"/>
                      <w:sz w:val="22"/>
                      <w:szCs w:val="22"/>
                    </w:rPr>
                  </w:pPr>
                  <w:r>
                    <w:rPr>
                      <w:spacing w:val="-2"/>
                      <w:kern w:val="0"/>
                      <w:sz w:val="22"/>
                      <w:szCs w:val="22"/>
                    </w:rPr>
                    <w:t>3</w:t>
                  </w:r>
                </w:p>
              </w:tc>
              <w:tc>
                <w:tcPr>
                  <w:tcW w:w="3464" w:type="dxa"/>
                  <w:tcBorders>
                    <w:top w:val="single" w:color="auto" w:sz="6" w:space="0"/>
                    <w:left w:val="single" w:color="auto" w:sz="6" w:space="0"/>
                    <w:bottom w:val="single" w:color="auto" w:sz="6" w:space="0"/>
                    <w:right w:val="single" w:color="auto" w:sz="6" w:space="0"/>
                  </w:tcBorders>
                  <w:vAlign w:val="center"/>
                </w:tcPr>
                <w:p w14:paraId="026BB3F7">
                  <w:pPr>
                    <w:adjustRightInd w:val="0"/>
                    <w:snapToGrid w:val="0"/>
                    <w:jc w:val="left"/>
                    <w:rPr>
                      <w:spacing w:val="-2"/>
                      <w:kern w:val="0"/>
                      <w:sz w:val="22"/>
                      <w:szCs w:val="22"/>
                    </w:rPr>
                  </w:pPr>
                  <w:r>
                    <w:rPr>
                      <w:rFonts w:hint="eastAsia"/>
                      <w:sz w:val="22"/>
                      <w:szCs w:val="22"/>
                    </w:rPr>
                    <w:t>液态</w:t>
                  </w:r>
                  <w:r>
                    <w:rPr>
                      <w:sz w:val="22"/>
                      <w:szCs w:val="22"/>
                    </w:rPr>
                    <w:t>VOCs</w:t>
                  </w:r>
                  <w:r>
                    <w:rPr>
                      <w:rFonts w:hint="eastAsia"/>
                      <w:sz w:val="22"/>
                      <w:szCs w:val="22"/>
                    </w:rPr>
                    <w:t>物料应采用密闭管道输送。采用非管道输送方式转移液态</w:t>
                  </w:r>
                  <w:r>
                    <w:rPr>
                      <w:sz w:val="22"/>
                      <w:szCs w:val="22"/>
                    </w:rPr>
                    <w:t>VOCs</w:t>
                  </w:r>
                  <w:r>
                    <w:rPr>
                      <w:rFonts w:hint="eastAsia"/>
                      <w:sz w:val="22"/>
                      <w:szCs w:val="22"/>
                    </w:rPr>
                    <w:t>物料时，应采用密闭容器、罐车</w:t>
                  </w:r>
                </w:p>
              </w:tc>
              <w:tc>
                <w:tcPr>
                  <w:tcW w:w="2482" w:type="dxa"/>
                  <w:tcBorders>
                    <w:top w:val="single" w:color="auto" w:sz="6" w:space="0"/>
                    <w:left w:val="single" w:color="auto" w:sz="6" w:space="0"/>
                    <w:bottom w:val="single" w:color="auto" w:sz="6" w:space="0"/>
                    <w:right w:val="single" w:color="auto" w:sz="6" w:space="0"/>
                  </w:tcBorders>
                  <w:vAlign w:val="center"/>
                </w:tcPr>
                <w:p w14:paraId="78E3B68F">
                  <w:pPr>
                    <w:adjustRightInd w:val="0"/>
                    <w:snapToGrid w:val="0"/>
                    <w:jc w:val="center"/>
                    <w:rPr>
                      <w:spacing w:val="-2"/>
                      <w:kern w:val="0"/>
                      <w:sz w:val="22"/>
                      <w:szCs w:val="22"/>
                    </w:rPr>
                  </w:pPr>
                  <w:r>
                    <w:rPr>
                      <w:rFonts w:hint="eastAsia"/>
                      <w:spacing w:val="-2"/>
                      <w:kern w:val="0"/>
                      <w:sz w:val="22"/>
                      <w:szCs w:val="22"/>
                    </w:rPr>
                    <w:t>本项目</w:t>
                  </w:r>
                  <w:r>
                    <w:rPr>
                      <w:rFonts w:hint="eastAsia"/>
                      <w:sz w:val="22"/>
                      <w:szCs w:val="22"/>
                    </w:rPr>
                    <w:t>加油站采用埋地双层输油管道，采用密闭油罐车对储油罐进行物料输送</w:t>
                  </w:r>
                </w:p>
              </w:tc>
              <w:tc>
                <w:tcPr>
                  <w:tcW w:w="666" w:type="dxa"/>
                  <w:tcBorders>
                    <w:top w:val="single" w:color="auto" w:sz="6" w:space="0"/>
                    <w:left w:val="single" w:color="auto" w:sz="6" w:space="0"/>
                    <w:bottom w:val="single" w:color="auto" w:sz="6" w:space="0"/>
                    <w:right w:val="single" w:color="auto" w:sz="8" w:space="0"/>
                  </w:tcBorders>
                  <w:vAlign w:val="center"/>
                </w:tcPr>
                <w:p w14:paraId="52DF961E">
                  <w:pPr>
                    <w:adjustRightInd w:val="0"/>
                    <w:snapToGrid w:val="0"/>
                    <w:jc w:val="center"/>
                    <w:rPr>
                      <w:spacing w:val="-2"/>
                      <w:kern w:val="0"/>
                      <w:sz w:val="22"/>
                      <w:szCs w:val="22"/>
                    </w:rPr>
                  </w:pPr>
                  <w:r>
                    <w:rPr>
                      <w:rFonts w:hint="eastAsia" w:cs="宋体"/>
                      <w:spacing w:val="-2"/>
                      <w:kern w:val="0"/>
                      <w:sz w:val="22"/>
                      <w:szCs w:val="22"/>
                    </w:rPr>
                    <w:t>符合</w:t>
                  </w:r>
                </w:p>
              </w:tc>
            </w:tr>
            <w:tr w14:paraId="569ABB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tcBorders>
                    <w:top w:val="single" w:color="auto" w:sz="6" w:space="0"/>
                    <w:left w:val="single" w:color="auto" w:sz="8" w:space="0"/>
                    <w:bottom w:val="single" w:color="auto" w:sz="6" w:space="0"/>
                    <w:right w:val="single" w:color="auto" w:sz="6" w:space="0"/>
                  </w:tcBorders>
                  <w:vAlign w:val="center"/>
                </w:tcPr>
                <w:p w14:paraId="13F5BE20">
                  <w:pPr>
                    <w:adjustRightInd w:val="0"/>
                    <w:snapToGrid w:val="0"/>
                    <w:jc w:val="center"/>
                    <w:rPr>
                      <w:spacing w:val="-2"/>
                      <w:kern w:val="0"/>
                      <w:sz w:val="22"/>
                      <w:szCs w:val="22"/>
                    </w:rPr>
                  </w:pPr>
                  <w:r>
                    <w:rPr>
                      <w:spacing w:val="-2"/>
                      <w:kern w:val="0"/>
                      <w:sz w:val="22"/>
                      <w:szCs w:val="22"/>
                    </w:rPr>
                    <w:t>4</w:t>
                  </w:r>
                </w:p>
              </w:tc>
              <w:tc>
                <w:tcPr>
                  <w:tcW w:w="3464" w:type="dxa"/>
                  <w:tcBorders>
                    <w:top w:val="single" w:color="auto" w:sz="6" w:space="0"/>
                    <w:left w:val="single" w:color="auto" w:sz="6" w:space="0"/>
                    <w:bottom w:val="single" w:color="auto" w:sz="6" w:space="0"/>
                    <w:right w:val="single" w:color="auto" w:sz="6" w:space="0"/>
                  </w:tcBorders>
                  <w:vAlign w:val="center"/>
                </w:tcPr>
                <w:p w14:paraId="558B81A7">
                  <w:pPr>
                    <w:adjustRightInd w:val="0"/>
                    <w:snapToGrid w:val="0"/>
                    <w:rPr>
                      <w:sz w:val="22"/>
                      <w:szCs w:val="22"/>
                    </w:rPr>
                  </w:pPr>
                  <w:r>
                    <w:rPr>
                      <w:sz w:val="22"/>
                      <w:szCs w:val="22"/>
                    </w:rPr>
                    <w:t>VOCs</w:t>
                  </w:r>
                  <w:r>
                    <w:rPr>
                      <w:rFonts w:hint="eastAsia"/>
                      <w:sz w:val="22"/>
                      <w:szCs w:val="22"/>
                    </w:rPr>
                    <w:t>储库、料仓应满足密闭空间的要求</w:t>
                  </w:r>
                  <w:r>
                    <w:rPr>
                      <w:sz w:val="22"/>
                      <w:szCs w:val="22"/>
                    </w:rPr>
                    <w:t xml:space="preserve"> </w:t>
                  </w:r>
                </w:p>
              </w:tc>
              <w:tc>
                <w:tcPr>
                  <w:tcW w:w="2482" w:type="dxa"/>
                  <w:tcBorders>
                    <w:top w:val="single" w:color="auto" w:sz="6" w:space="0"/>
                    <w:left w:val="single" w:color="auto" w:sz="6" w:space="0"/>
                    <w:bottom w:val="single" w:color="auto" w:sz="6" w:space="0"/>
                    <w:right w:val="single" w:color="auto" w:sz="6" w:space="0"/>
                  </w:tcBorders>
                  <w:vAlign w:val="center"/>
                </w:tcPr>
                <w:p w14:paraId="63F9CE10">
                  <w:pPr>
                    <w:snapToGrid w:val="0"/>
                    <w:jc w:val="center"/>
                    <w:rPr>
                      <w:spacing w:val="-2"/>
                      <w:sz w:val="22"/>
                      <w:szCs w:val="22"/>
                    </w:rPr>
                  </w:pPr>
                  <w:r>
                    <w:rPr>
                      <w:rFonts w:hint="eastAsia"/>
                      <w:sz w:val="22"/>
                      <w:szCs w:val="22"/>
                    </w:rPr>
                    <w:t>本项目储油罐埋地密闭设置</w:t>
                  </w:r>
                </w:p>
              </w:tc>
              <w:tc>
                <w:tcPr>
                  <w:tcW w:w="666" w:type="dxa"/>
                  <w:tcBorders>
                    <w:top w:val="single" w:color="auto" w:sz="6" w:space="0"/>
                    <w:left w:val="single" w:color="auto" w:sz="6" w:space="0"/>
                    <w:bottom w:val="single" w:color="auto" w:sz="6" w:space="0"/>
                    <w:right w:val="single" w:color="auto" w:sz="8" w:space="0"/>
                  </w:tcBorders>
                  <w:vAlign w:val="center"/>
                </w:tcPr>
                <w:p w14:paraId="01633952">
                  <w:pPr>
                    <w:adjustRightInd w:val="0"/>
                    <w:snapToGrid w:val="0"/>
                    <w:jc w:val="center"/>
                    <w:rPr>
                      <w:spacing w:val="-2"/>
                      <w:kern w:val="0"/>
                      <w:sz w:val="22"/>
                      <w:szCs w:val="22"/>
                    </w:rPr>
                  </w:pPr>
                  <w:r>
                    <w:rPr>
                      <w:rFonts w:hint="eastAsia"/>
                      <w:spacing w:val="-2"/>
                      <w:kern w:val="0"/>
                      <w:sz w:val="22"/>
                      <w:szCs w:val="22"/>
                    </w:rPr>
                    <w:t>符合</w:t>
                  </w:r>
                </w:p>
              </w:tc>
            </w:tr>
            <w:tr w14:paraId="661E86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tcBorders>
                    <w:top w:val="single" w:color="auto" w:sz="6" w:space="0"/>
                    <w:left w:val="single" w:color="auto" w:sz="8" w:space="0"/>
                    <w:bottom w:val="single" w:color="auto" w:sz="6" w:space="0"/>
                    <w:right w:val="single" w:color="auto" w:sz="6" w:space="0"/>
                  </w:tcBorders>
                  <w:vAlign w:val="center"/>
                </w:tcPr>
                <w:p w14:paraId="0922BBF5">
                  <w:pPr>
                    <w:adjustRightInd w:val="0"/>
                    <w:snapToGrid w:val="0"/>
                    <w:jc w:val="center"/>
                    <w:rPr>
                      <w:spacing w:val="-2"/>
                      <w:kern w:val="0"/>
                      <w:sz w:val="22"/>
                      <w:szCs w:val="22"/>
                    </w:rPr>
                  </w:pPr>
                  <w:r>
                    <w:rPr>
                      <w:rFonts w:hint="eastAsia"/>
                      <w:spacing w:val="-2"/>
                      <w:kern w:val="0"/>
                      <w:sz w:val="22"/>
                      <w:szCs w:val="22"/>
                    </w:rPr>
                    <w:t>5</w:t>
                  </w:r>
                </w:p>
              </w:tc>
              <w:tc>
                <w:tcPr>
                  <w:tcW w:w="3464" w:type="dxa"/>
                  <w:tcBorders>
                    <w:top w:val="single" w:color="auto" w:sz="6" w:space="0"/>
                    <w:left w:val="single" w:color="auto" w:sz="6" w:space="0"/>
                    <w:bottom w:val="single" w:color="auto" w:sz="6" w:space="0"/>
                    <w:right w:val="single" w:color="auto" w:sz="6" w:space="0"/>
                  </w:tcBorders>
                  <w:vAlign w:val="center"/>
                </w:tcPr>
                <w:p w14:paraId="14914BD8">
                  <w:pPr>
                    <w:adjustRightInd w:val="0"/>
                    <w:snapToGrid w:val="0"/>
                    <w:rPr>
                      <w:sz w:val="22"/>
                      <w:szCs w:val="22"/>
                    </w:rPr>
                  </w:pPr>
                  <w:r>
                    <w:rPr>
                      <w:sz w:val="22"/>
                      <w:szCs w:val="22"/>
                    </w:rPr>
                    <w:t>VOCs</w:t>
                  </w:r>
                  <w:r>
                    <w:rPr>
                      <w:rFonts w:hint="eastAsia"/>
                      <w:sz w:val="22"/>
                      <w:szCs w:val="22"/>
                    </w:rPr>
                    <w:t>储罐应密封良好，其中挥发性有机液体储罐应符合以下规定：</w:t>
                  </w:r>
                </w:p>
                <w:p w14:paraId="25176CE5">
                  <w:pPr>
                    <w:adjustRightInd w:val="0"/>
                    <w:snapToGrid w:val="0"/>
                    <w:rPr>
                      <w:sz w:val="22"/>
                      <w:szCs w:val="22"/>
                    </w:rPr>
                  </w:pPr>
                  <w:r>
                    <w:rPr>
                      <w:rFonts w:hint="eastAsia"/>
                      <w:sz w:val="22"/>
                      <w:szCs w:val="22"/>
                    </w:rPr>
                    <w:t>储罐运行维护要求：</w:t>
                  </w:r>
                </w:p>
                <w:p w14:paraId="0EB9555A">
                  <w:pPr>
                    <w:adjustRightInd w:val="0"/>
                    <w:snapToGrid w:val="0"/>
                    <w:rPr>
                      <w:sz w:val="22"/>
                      <w:szCs w:val="22"/>
                    </w:rPr>
                  </w:pPr>
                  <w:r>
                    <w:rPr>
                      <w:rFonts w:hint="eastAsia"/>
                      <w:sz w:val="22"/>
                      <w:szCs w:val="22"/>
                    </w:rPr>
                    <w:t>1）固定顶罐应保持完好，不应有孔洞、缝隙；</w:t>
                  </w:r>
                </w:p>
                <w:p w14:paraId="770C0E19">
                  <w:pPr>
                    <w:adjustRightInd w:val="0"/>
                    <w:snapToGrid w:val="0"/>
                    <w:rPr>
                      <w:sz w:val="22"/>
                      <w:szCs w:val="22"/>
                    </w:rPr>
                  </w:pPr>
                  <w:r>
                    <w:rPr>
                      <w:sz w:val="22"/>
                      <w:szCs w:val="22"/>
                    </w:rPr>
                    <w:t>2</w:t>
                  </w:r>
                  <w:r>
                    <w:rPr>
                      <w:rFonts w:hint="eastAsia"/>
                      <w:sz w:val="22"/>
                      <w:szCs w:val="22"/>
                    </w:rPr>
                    <w:t>）储罐附件开口（孔），除采样、计量、例行检查、维护和其它正常活动外，应密闭；</w:t>
                  </w:r>
                </w:p>
                <w:p w14:paraId="2485BBF6">
                  <w:pPr>
                    <w:adjustRightInd w:val="0"/>
                    <w:snapToGrid w:val="0"/>
                    <w:rPr>
                      <w:sz w:val="22"/>
                      <w:szCs w:val="22"/>
                    </w:rPr>
                  </w:pPr>
                  <w:r>
                    <w:rPr>
                      <w:sz w:val="22"/>
                      <w:szCs w:val="22"/>
                    </w:rPr>
                    <w:t>3</w:t>
                  </w:r>
                  <w:r>
                    <w:rPr>
                      <w:rFonts w:hint="eastAsia"/>
                      <w:sz w:val="22"/>
                      <w:szCs w:val="22"/>
                    </w:rPr>
                    <w:t>）定期检查呼吸阀的定压是否符合设定要求</w:t>
                  </w:r>
                </w:p>
              </w:tc>
              <w:tc>
                <w:tcPr>
                  <w:tcW w:w="2482" w:type="dxa"/>
                  <w:tcBorders>
                    <w:top w:val="single" w:color="auto" w:sz="6" w:space="0"/>
                    <w:left w:val="single" w:color="auto" w:sz="6" w:space="0"/>
                    <w:bottom w:val="single" w:color="auto" w:sz="6" w:space="0"/>
                    <w:right w:val="single" w:color="auto" w:sz="6" w:space="0"/>
                  </w:tcBorders>
                  <w:vAlign w:val="center"/>
                </w:tcPr>
                <w:p w14:paraId="39888EFB">
                  <w:pPr>
                    <w:adjustRightInd w:val="0"/>
                    <w:snapToGrid w:val="0"/>
                    <w:rPr>
                      <w:sz w:val="22"/>
                      <w:szCs w:val="22"/>
                    </w:rPr>
                  </w:pPr>
                  <w:r>
                    <w:rPr>
                      <w:rFonts w:hint="eastAsia"/>
                      <w:sz w:val="22"/>
                      <w:szCs w:val="22"/>
                    </w:rPr>
                    <w:t>本项目加油站储罐密封良好，其中：1）储油罐保持完好，无缝隙；</w:t>
                  </w:r>
                </w:p>
                <w:p w14:paraId="46E1F904">
                  <w:pPr>
                    <w:adjustRightInd w:val="0"/>
                    <w:snapToGrid w:val="0"/>
                    <w:rPr>
                      <w:sz w:val="22"/>
                      <w:szCs w:val="22"/>
                    </w:rPr>
                  </w:pPr>
                  <w:r>
                    <w:rPr>
                      <w:sz w:val="22"/>
                      <w:szCs w:val="22"/>
                    </w:rPr>
                    <w:t>2</w:t>
                  </w:r>
                  <w:r>
                    <w:rPr>
                      <w:rFonts w:hint="eastAsia"/>
                      <w:sz w:val="22"/>
                      <w:szCs w:val="22"/>
                    </w:rPr>
                    <w:t>）储油罐阀门仅在采样、计量、检查、维护等情况下打开，日常状态下关闭；</w:t>
                  </w:r>
                </w:p>
                <w:p w14:paraId="661AF361">
                  <w:pPr>
                    <w:snapToGrid w:val="0"/>
                    <w:jc w:val="center"/>
                    <w:rPr>
                      <w:sz w:val="22"/>
                      <w:szCs w:val="22"/>
                    </w:rPr>
                  </w:pPr>
                  <w:r>
                    <w:rPr>
                      <w:sz w:val="22"/>
                      <w:szCs w:val="22"/>
                    </w:rPr>
                    <w:t>3</w:t>
                  </w:r>
                  <w:r>
                    <w:rPr>
                      <w:rFonts w:hint="eastAsia"/>
                      <w:sz w:val="22"/>
                      <w:szCs w:val="22"/>
                    </w:rPr>
                    <w:t>）每年定期检查油气回收系统</w:t>
                  </w:r>
                </w:p>
              </w:tc>
              <w:tc>
                <w:tcPr>
                  <w:tcW w:w="666" w:type="dxa"/>
                  <w:tcBorders>
                    <w:top w:val="single" w:color="auto" w:sz="6" w:space="0"/>
                    <w:left w:val="single" w:color="auto" w:sz="6" w:space="0"/>
                    <w:bottom w:val="single" w:color="auto" w:sz="6" w:space="0"/>
                    <w:right w:val="single" w:color="auto" w:sz="8" w:space="0"/>
                  </w:tcBorders>
                  <w:vAlign w:val="center"/>
                </w:tcPr>
                <w:p w14:paraId="32F7C3C7">
                  <w:pPr>
                    <w:adjustRightInd w:val="0"/>
                    <w:snapToGrid w:val="0"/>
                    <w:jc w:val="center"/>
                    <w:rPr>
                      <w:spacing w:val="-2"/>
                      <w:kern w:val="0"/>
                      <w:sz w:val="22"/>
                      <w:szCs w:val="22"/>
                    </w:rPr>
                  </w:pPr>
                  <w:r>
                    <w:rPr>
                      <w:rFonts w:hint="eastAsia"/>
                      <w:spacing w:val="-2"/>
                      <w:kern w:val="0"/>
                      <w:sz w:val="22"/>
                      <w:szCs w:val="22"/>
                    </w:rPr>
                    <w:t>符合</w:t>
                  </w:r>
                </w:p>
              </w:tc>
            </w:tr>
            <w:tr w14:paraId="5D63A2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tcBorders>
                    <w:top w:val="single" w:color="auto" w:sz="6" w:space="0"/>
                    <w:left w:val="single" w:color="auto" w:sz="8" w:space="0"/>
                    <w:bottom w:val="single" w:color="auto" w:sz="6" w:space="0"/>
                    <w:right w:val="single" w:color="auto" w:sz="6" w:space="0"/>
                  </w:tcBorders>
                  <w:vAlign w:val="center"/>
                </w:tcPr>
                <w:p w14:paraId="5E20770A">
                  <w:pPr>
                    <w:adjustRightInd w:val="0"/>
                    <w:snapToGrid w:val="0"/>
                    <w:jc w:val="center"/>
                    <w:rPr>
                      <w:spacing w:val="-2"/>
                      <w:kern w:val="0"/>
                      <w:sz w:val="22"/>
                      <w:szCs w:val="22"/>
                    </w:rPr>
                  </w:pPr>
                  <w:r>
                    <w:rPr>
                      <w:rFonts w:hint="eastAsia"/>
                      <w:spacing w:val="-2"/>
                      <w:kern w:val="0"/>
                      <w:sz w:val="22"/>
                      <w:szCs w:val="22"/>
                    </w:rPr>
                    <w:t>6</w:t>
                  </w:r>
                </w:p>
              </w:tc>
              <w:tc>
                <w:tcPr>
                  <w:tcW w:w="3464" w:type="dxa"/>
                  <w:tcBorders>
                    <w:top w:val="single" w:color="auto" w:sz="6" w:space="0"/>
                    <w:left w:val="single" w:color="auto" w:sz="6" w:space="0"/>
                    <w:bottom w:val="single" w:color="auto" w:sz="6" w:space="0"/>
                    <w:right w:val="single" w:color="auto" w:sz="6" w:space="0"/>
                  </w:tcBorders>
                  <w:vAlign w:val="center"/>
                </w:tcPr>
                <w:p w14:paraId="34B304B2">
                  <w:pPr>
                    <w:adjustRightInd w:val="0"/>
                    <w:snapToGrid w:val="0"/>
                    <w:rPr>
                      <w:spacing w:val="-2"/>
                      <w:kern w:val="0"/>
                      <w:sz w:val="22"/>
                      <w:szCs w:val="22"/>
                    </w:rPr>
                  </w:pPr>
                  <w:r>
                    <w:rPr>
                      <w:rFonts w:hint="eastAsia"/>
                      <w:spacing w:val="-2"/>
                      <w:kern w:val="0"/>
                      <w:sz w:val="22"/>
                      <w:szCs w:val="22"/>
                    </w:rPr>
                    <w:t>在油类（燃油、溶剂等）的储存、运输和销售过程中的VOCs污染防治技术措施包括：</w:t>
                  </w:r>
                </w:p>
                <w:p w14:paraId="52C7E8EC">
                  <w:pPr>
                    <w:adjustRightInd w:val="0"/>
                    <w:snapToGrid w:val="0"/>
                    <w:rPr>
                      <w:spacing w:val="-2"/>
                      <w:kern w:val="0"/>
                      <w:sz w:val="22"/>
                      <w:szCs w:val="22"/>
                    </w:rPr>
                  </w:pPr>
                  <w:r>
                    <w:rPr>
                      <w:rFonts w:hint="eastAsia"/>
                      <w:spacing w:val="-2"/>
                      <w:kern w:val="0"/>
                      <w:sz w:val="22"/>
                      <w:szCs w:val="22"/>
                    </w:rPr>
                    <w:t>1.储油库、加油站和油罐车宜配备相应的油气收集系统，储油库、加油站宜配备相应的油气回收系统；</w:t>
                  </w:r>
                </w:p>
                <w:p w14:paraId="5A3F8AE3">
                  <w:pPr>
                    <w:adjustRightInd w:val="0"/>
                    <w:snapToGrid w:val="0"/>
                    <w:rPr>
                      <w:spacing w:val="-2"/>
                      <w:kern w:val="0"/>
                      <w:sz w:val="22"/>
                      <w:szCs w:val="22"/>
                    </w:rPr>
                  </w:pPr>
                  <w:r>
                    <w:rPr>
                      <w:rFonts w:hint="eastAsia"/>
                      <w:spacing w:val="-2"/>
                      <w:kern w:val="0"/>
                      <w:sz w:val="22"/>
                      <w:szCs w:val="22"/>
                    </w:rPr>
                    <w:t>2.油类（燃油、溶剂等）储罐宜采用高效密封的内（外）浮顶罐，当采用固定顶罐时，通过密闭排气系统将含VOCs气体输送至回收设备；</w:t>
                  </w:r>
                </w:p>
                <w:p w14:paraId="1E83A389">
                  <w:pPr>
                    <w:adjustRightInd w:val="0"/>
                    <w:snapToGrid w:val="0"/>
                    <w:rPr>
                      <w:sz w:val="22"/>
                      <w:szCs w:val="22"/>
                    </w:rPr>
                  </w:pPr>
                  <w:r>
                    <w:rPr>
                      <w:rFonts w:hint="eastAsia"/>
                      <w:spacing w:val="-2"/>
                      <w:kern w:val="0"/>
                      <w:sz w:val="22"/>
                      <w:szCs w:val="22"/>
                    </w:rPr>
                    <w:t>3.油类（燃油、溶剂等）运载工具（汽车油罐车、铁路油槽车、油轮等）在装载过程中排放的VOCs密闭收集输送至回收设备，也可返回储罐或送入气体管网</w:t>
                  </w:r>
                </w:p>
              </w:tc>
              <w:tc>
                <w:tcPr>
                  <w:tcW w:w="2482" w:type="dxa"/>
                  <w:tcBorders>
                    <w:top w:val="single" w:color="auto" w:sz="6" w:space="0"/>
                    <w:left w:val="single" w:color="auto" w:sz="6" w:space="0"/>
                    <w:bottom w:val="single" w:color="auto" w:sz="6" w:space="0"/>
                    <w:right w:val="single" w:color="auto" w:sz="6" w:space="0"/>
                  </w:tcBorders>
                  <w:vAlign w:val="center"/>
                </w:tcPr>
                <w:p w14:paraId="3B257DA3">
                  <w:pPr>
                    <w:adjustRightInd w:val="0"/>
                    <w:snapToGrid w:val="0"/>
                    <w:jc w:val="center"/>
                    <w:rPr>
                      <w:sz w:val="22"/>
                      <w:szCs w:val="22"/>
                    </w:rPr>
                  </w:pPr>
                  <w:r>
                    <w:rPr>
                      <w:rFonts w:hint="eastAsia"/>
                      <w:spacing w:val="-2"/>
                      <w:kern w:val="0"/>
                      <w:sz w:val="22"/>
                      <w:szCs w:val="22"/>
                    </w:rPr>
                    <w:t>本项目储罐为埋地式卧式双层钢制罐，项目设置有一次卸油油气回收系统和二次加油油气回收系统，本次新增三次储油油罐油气回收系统，对卸车</w:t>
                  </w:r>
                  <w:r>
                    <w:rPr>
                      <w:rFonts w:hint="eastAsia"/>
                      <w:spacing w:val="-2"/>
                      <w:kern w:val="0"/>
                      <w:sz w:val="22"/>
                      <w:szCs w:val="22"/>
                      <w:lang w:eastAsia="zh-CN"/>
                    </w:rPr>
                    <w:t>、</w:t>
                  </w:r>
                  <w:r>
                    <w:rPr>
                      <w:rFonts w:hint="eastAsia"/>
                      <w:spacing w:val="-2"/>
                      <w:kern w:val="0"/>
                      <w:sz w:val="22"/>
                      <w:szCs w:val="22"/>
                      <w:lang w:val="en-US" w:eastAsia="zh-CN"/>
                    </w:rPr>
                    <w:t>加油、储油过程产生的</w:t>
                  </w:r>
                  <w:r>
                    <w:rPr>
                      <w:rFonts w:hint="eastAsia"/>
                      <w:spacing w:val="-2"/>
                      <w:kern w:val="0"/>
                      <w:sz w:val="22"/>
                      <w:szCs w:val="22"/>
                    </w:rPr>
                    <w:t>油气（VOCs）进行回收利用</w:t>
                  </w:r>
                </w:p>
              </w:tc>
              <w:tc>
                <w:tcPr>
                  <w:tcW w:w="666" w:type="dxa"/>
                  <w:tcBorders>
                    <w:top w:val="single" w:color="auto" w:sz="6" w:space="0"/>
                    <w:left w:val="single" w:color="auto" w:sz="6" w:space="0"/>
                    <w:bottom w:val="single" w:color="auto" w:sz="6" w:space="0"/>
                    <w:right w:val="single" w:color="auto" w:sz="8" w:space="0"/>
                  </w:tcBorders>
                  <w:vAlign w:val="center"/>
                </w:tcPr>
                <w:p w14:paraId="285198E7">
                  <w:pPr>
                    <w:adjustRightInd w:val="0"/>
                    <w:snapToGrid w:val="0"/>
                    <w:jc w:val="center"/>
                    <w:rPr>
                      <w:spacing w:val="-2"/>
                      <w:kern w:val="0"/>
                      <w:sz w:val="22"/>
                      <w:szCs w:val="22"/>
                    </w:rPr>
                  </w:pPr>
                  <w:r>
                    <w:rPr>
                      <w:rFonts w:hint="eastAsia"/>
                      <w:spacing w:val="-2"/>
                      <w:kern w:val="0"/>
                      <w:sz w:val="22"/>
                      <w:szCs w:val="22"/>
                    </w:rPr>
                    <w:t>符合</w:t>
                  </w:r>
                </w:p>
              </w:tc>
            </w:tr>
            <w:tr w14:paraId="231623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vMerge w:val="restart"/>
                  <w:tcBorders>
                    <w:top w:val="single" w:color="auto" w:sz="6" w:space="0"/>
                    <w:left w:val="single" w:color="auto" w:sz="8" w:space="0"/>
                    <w:right w:val="single" w:color="auto" w:sz="6" w:space="0"/>
                  </w:tcBorders>
                  <w:vAlign w:val="center"/>
                </w:tcPr>
                <w:p w14:paraId="6656E7E4">
                  <w:pPr>
                    <w:adjustRightInd w:val="0"/>
                    <w:snapToGrid w:val="0"/>
                    <w:jc w:val="center"/>
                    <w:rPr>
                      <w:rFonts w:hint="eastAsia" w:eastAsia="宋体"/>
                      <w:spacing w:val="-2"/>
                      <w:kern w:val="0"/>
                      <w:sz w:val="22"/>
                      <w:szCs w:val="22"/>
                      <w:lang w:val="en-US" w:eastAsia="zh-CN"/>
                    </w:rPr>
                  </w:pPr>
                  <w:r>
                    <w:rPr>
                      <w:rFonts w:hint="eastAsia"/>
                      <w:spacing w:val="-2"/>
                      <w:kern w:val="0"/>
                      <w:sz w:val="22"/>
                      <w:szCs w:val="22"/>
                      <w:lang w:val="en-US" w:eastAsia="zh-CN"/>
                    </w:rPr>
                    <w:t>7</w:t>
                  </w:r>
                </w:p>
              </w:tc>
              <w:tc>
                <w:tcPr>
                  <w:tcW w:w="3464" w:type="dxa"/>
                  <w:tcBorders>
                    <w:top w:val="single" w:color="auto" w:sz="6" w:space="0"/>
                    <w:left w:val="single" w:color="auto" w:sz="6" w:space="0"/>
                    <w:bottom w:val="single" w:color="auto" w:sz="6" w:space="0"/>
                    <w:right w:val="single" w:color="auto" w:sz="6" w:space="0"/>
                  </w:tcBorders>
                  <w:vAlign w:val="center"/>
                </w:tcPr>
                <w:p w14:paraId="7282C878">
                  <w:pPr>
                    <w:adjustRightInd w:val="0"/>
                    <w:snapToGrid w:val="0"/>
                    <w:rPr>
                      <w:rFonts w:hint="eastAsia"/>
                      <w:spacing w:val="-2"/>
                      <w:kern w:val="0"/>
                      <w:sz w:val="22"/>
                      <w:szCs w:val="22"/>
                    </w:rPr>
                  </w:pPr>
                  <w:r>
                    <w:rPr>
                      <w:rFonts w:hint="eastAsia"/>
                      <w:spacing w:val="-2"/>
                      <w:kern w:val="0"/>
                      <w:sz w:val="22"/>
                      <w:szCs w:val="22"/>
                    </w:rPr>
                    <w:t>鼓励 VOCs 的回收利用，并优先鼓励在生产系统内回用</w:t>
                  </w:r>
                </w:p>
              </w:tc>
              <w:tc>
                <w:tcPr>
                  <w:tcW w:w="2482" w:type="dxa"/>
                  <w:vMerge w:val="restart"/>
                  <w:tcBorders>
                    <w:top w:val="single" w:color="auto" w:sz="6" w:space="0"/>
                    <w:left w:val="single" w:color="auto" w:sz="6" w:space="0"/>
                    <w:right w:val="single" w:color="auto" w:sz="6" w:space="0"/>
                  </w:tcBorders>
                  <w:vAlign w:val="center"/>
                </w:tcPr>
                <w:p w14:paraId="7588D0C4">
                  <w:pPr>
                    <w:adjustRightInd w:val="0"/>
                    <w:snapToGrid w:val="0"/>
                    <w:jc w:val="center"/>
                    <w:rPr>
                      <w:rFonts w:hint="eastAsia"/>
                      <w:spacing w:val="-2"/>
                      <w:kern w:val="0"/>
                      <w:sz w:val="22"/>
                      <w:szCs w:val="22"/>
                    </w:rPr>
                  </w:pPr>
                  <w:r>
                    <w:rPr>
                      <w:rFonts w:hint="eastAsia"/>
                      <w:spacing w:val="-2"/>
                      <w:kern w:val="0"/>
                      <w:sz w:val="22"/>
                      <w:szCs w:val="22"/>
                    </w:rPr>
                    <w:t>加油站 VOCs废气经油气回收系统回收处理</w:t>
                  </w:r>
                </w:p>
              </w:tc>
              <w:tc>
                <w:tcPr>
                  <w:tcW w:w="666" w:type="dxa"/>
                  <w:vMerge w:val="restart"/>
                  <w:tcBorders>
                    <w:top w:val="single" w:color="auto" w:sz="6" w:space="0"/>
                    <w:left w:val="single" w:color="auto" w:sz="6" w:space="0"/>
                    <w:right w:val="single" w:color="auto" w:sz="8" w:space="0"/>
                  </w:tcBorders>
                  <w:vAlign w:val="center"/>
                </w:tcPr>
                <w:p w14:paraId="6F543778">
                  <w:pPr>
                    <w:adjustRightInd w:val="0"/>
                    <w:snapToGrid w:val="0"/>
                    <w:jc w:val="center"/>
                    <w:rPr>
                      <w:rFonts w:hint="eastAsia" w:eastAsia="宋体"/>
                      <w:spacing w:val="-2"/>
                      <w:kern w:val="0"/>
                      <w:sz w:val="22"/>
                      <w:szCs w:val="22"/>
                      <w:lang w:val="en-US" w:eastAsia="zh-CN"/>
                    </w:rPr>
                  </w:pPr>
                  <w:r>
                    <w:rPr>
                      <w:rFonts w:hint="eastAsia"/>
                      <w:spacing w:val="-2"/>
                      <w:kern w:val="0"/>
                      <w:sz w:val="22"/>
                      <w:szCs w:val="22"/>
                      <w:lang w:val="en-US" w:eastAsia="zh-CN"/>
                    </w:rPr>
                    <w:t>符合</w:t>
                  </w:r>
                </w:p>
              </w:tc>
            </w:tr>
            <w:tr w14:paraId="111710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82" w:type="dxa"/>
                  <w:vMerge w:val="continue"/>
                  <w:tcBorders>
                    <w:left w:val="single" w:color="auto" w:sz="8" w:space="0"/>
                    <w:bottom w:val="single" w:color="auto" w:sz="8" w:space="0"/>
                    <w:right w:val="single" w:color="auto" w:sz="6" w:space="0"/>
                  </w:tcBorders>
                  <w:vAlign w:val="center"/>
                </w:tcPr>
                <w:p w14:paraId="7EF04B91">
                  <w:pPr>
                    <w:adjustRightInd w:val="0"/>
                    <w:snapToGrid w:val="0"/>
                    <w:jc w:val="center"/>
                    <w:rPr>
                      <w:rFonts w:hint="eastAsia"/>
                      <w:spacing w:val="-2"/>
                      <w:kern w:val="0"/>
                      <w:sz w:val="22"/>
                      <w:szCs w:val="22"/>
                      <w:lang w:val="en-US" w:eastAsia="zh-CN"/>
                    </w:rPr>
                  </w:pPr>
                </w:p>
              </w:tc>
              <w:tc>
                <w:tcPr>
                  <w:tcW w:w="3464" w:type="dxa"/>
                  <w:tcBorders>
                    <w:top w:val="single" w:color="auto" w:sz="6" w:space="0"/>
                    <w:left w:val="single" w:color="auto" w:sz="6" w:space="0"/>
                    <w:bottom w:val="single" w:color="auto" w:sz="8" w:space="0"/>
                    <w:right w:val="single" w:color="auto" w:sz="6" w:space="0"/>
                  </w:tcBorders>
                  <w:vAlign w:val="center"/>
                </w:tcPr>
                <w:p w14:paraId="4A0C986F">
                  <w:pPr>
                    <w:adjustRightInd w:val="0"/>
                    <w:snapToGrid w:val="0"/>
                    <w:rPr>
                      <w:rFonts w:hint="eastAsia"/>
                      <w:spacing w:val="-2"/>
                      <w:kern w:val="0"/>
                      <w:sz w:val="22"/>
                      <w:szCs w:val="22"/>
                    </w:rPr>
                  </w:pPr>
                  <w:r>
                    <w:rPr>
                      <w:rFonts w:hint="eastAsia"/>
                      <w:spacing w:val="-2"/>
                      <w:kern w:val="0"/>
                      <w:sz w:val="22"/>
                      <w:szCs w:val="22"/>
                    </w:rPr>
                    <w:t>对于含低浓度 VOCs 的废气，有回收价值时可采用吸附技术、吸收技术对有机溶剂回收后达标排放；不宜回收时，可采用吸附浓缩燃烧技术、生物技术、吸收技术、等离子体技术或紫外光高级氧化技术等净化后达标排放</w:t>
                  </w:r>
                </w:p>
              </w:tc>
              <w:tc>
                <w:tcPr>
                  <w:tcW w:w="2482" w:type="dxa"/>
                  <w:vMerge w:val="continue"/>
                  <w:tcBorders>
                    <w:left w:val="single" w:color="auto" w:sz="6" w:space="0"/>
                    <w:bottom w:val="single" w:color="auto" w:sz="8" w:space="0"/>
                    <w:right w:val="single" w:color="auto" w:sz="6" w:space="0"/>
                  </w:tcBorders>
                  <w:vAlign w:val="center"/>
                </w:tcPr>
                <w:p w14:paraId="19B425B2">
                  <w:pPr>
                    <w:adjustRightInd w:val="0"/>
                    <w:snapToGrid w:val="0"/>
                    <w:jc w:val="center"/>
                    <w:rPr>
                      <w:rFonts w:hint="eastAsia"/>
                      <w:spacing w:val="-2"/>
                      <w:kern w:val="0"/>
                      <w:sz w:val="22"/>
                      <w:szCs w:val="22"/>
                    </w:rPr>
                  </w:pPr>
                </w:p>
              </w:tc>
              <w:tc>
                <w:tcPr>
                  <w:tcW w:w="666" w:type="dxa"/>
                  <w:vMerge w:val="continue"/>
                  <w:tcBorders>
                    <w:left w:val="single" w:color="auto" w:sz="6" w:space="0"/>
                    <w:bottom w:val="single" w:color="auto" w:sz="8" w:space="0"/>
                    <w:right w:val="single" w:color="auto" w:sz="8" w:space="0"/>
                  </w:tcBorders>
                  <w:vAlign w:val="center"/>
                </w:tcPr>
                <w:p w14:paraId="0E373715">
                  <w:pPr>
                    <w:adjustRightInd w:val="0"/>
                    <w:snapToGrid w:val="0"/>
                    <w:jc w:val="center"/>
                    <w:rPr>
                      <w:rFonts w:hint="eastAsia"/>
                      <w:spacing w:val="-2"/>
                      <w:kern w:val="0"/>
                      <w:sz w:val="22"/>
                      <w:szCs w:val="22"/>
                    </w:rPr>
                  </w:pPr>
                </w:p>
              </w:tc>
            </w:tr>
          </w:tbl>
          <w:p w14:paraId="1DC4EF0E">
            <w:pPr>
              <w:widowControl/>
              <w:spacing w:line="460" w:lineRule="exact"/>
              <w:ind w:firstLine="520" w:firstLineChars="200"/>
              <w:jc w:val="left"/>
              <w:rPr>
                <w:kern w:val="0"/>
                <w:sz w:val="26"/>
                <w:szCs w:val="26"/>
              </w:rPr>
            </w:pPr>
            <w:r>
              <w:rPr>
                <w:rFonts w:hint="eastAsia" w:cs="Times New Roman"/>
                <w:color w:val="auto"/>
                <w:kern w:val="0"/>
                <w:sz w:val="26"/>
                <w:szCs w:val="26"/>
                <w:lang w:val="en-US" w:eastAsia="zh-CN"/>
              </w:rPr>
              <w:t>由上表分析可知，</w:t>
            </w:r>
            <w:r>
              <w:rPr>
                <w:rFonts w:hint="default" w:ascii="Times New Roman" w:hAnsi="Times New Roman" w:cs="Times New Roman"/>
                <w:color w:val="auto"/>
                <w:sz w:val="26"/>
                <w:szCs w:val="26"/>
              </w:rPr>
              <w:t>本项目符合《挥发性有机污染物（VOCs）防治技术政策》（公告2013年第31号）要求。</w:t>
            </w:r>
          </w:p>
          <w:p w14:paraId="260AD52B">
            <w:pPr>
              <w:widowControl/>
              <w:spacing w:line="460" w:lineRule="exact"/>
              <w:jc w:val="left"/>
              <w:rPr>
                <w:kern w:val="0"/>
                <w:sz w:val="26"/>
                <w:szCs w:val="26"/>
                <w:highlight w:val="yellow"/>
              </w:rPr>
            </w:pPr>
            <w:r>
              <w:rPr>
                <w:rFonts w:hint="eastAsia"/>
                <w:b/>
                <w:bCs/>
                <w:kern w:val="0"/>
                <w:sz w:val="26"/>
                <w:szCs w:val="26"/>
              </w:rPr>
              <w:t>1.4关于印发《重点行业挥发性有机物综合治理方案》的通知（环大气〔20</w:t>
            </w:r>
            <w:r>
              <w:rPr>
                <w:rFonts w:hint="eastAsia"/>
                <w:b/>
                <w:bCs/>
                <w:kern w:val="0"/>
                <w:sz w:val="26"/>
                <w:szCs w:val="26"/>
                <w:lang w:val="en-US" w:eastAsia="zh-CN"/>
              </w:rPr>
              <w:t>19</w:t>
            </w:r>
            <w:r>
              <w:rPr>
                <w:rFonts w:hint="eastAsia"/>
                <w:b/>
                <w:bCs/>
                <w:kern w:val="0"/>
                <w:sz w:val="26"/>
                <w:szCs w:val="26"/>
              </w:rPr>
              <w:t>〕</w:t>
            </w:r>
            <w:r>
              <w:rPr>
                <w:b/>
                <w:bCs/>
                <w:kern w:val="0"/>
                <w:sz w:val="26"/>
                <w:szCs w:val="26"/>
              </w:rPr>
              <w:t>53</w:t>
            </w:r>
            <w:r>
              <w:rPr>
                <w:rFonts w:hint="eastAsia"/>
                <w:b/>
                <w:bCs/>
                <w:kern w:val="0"/>
                <w:sz w:val="26"/>
                <w:szCs w:val="26"/>
              </w:rPr>
              <w:t>号）</w:t>
            </w:r>
          </w:p>
          <w:p w14:paraId="08A09802">
            <w:pPr>
              <w:widowControl/>
              <w:spacing w:line="460" w:lineRule="exact"/>
              <w:ind w:firstLine="520" w:firstLineChars="200"/>
              <w:rPr>
                <w:kern w:val="0"/>
                <w:sz w:val="26"/>
                <w:szCs w:val="26"/>
              </w:rPr>
            </w:pPr>
            <w:r>
              <w:rPr>
                <w:rFonts w:hint="eastAsia"/>
                <w:kern w:val="0"/>
                <w:sz w:val="26"/>
                <w:szCs w:val="26"/>
              </w:rPr>
              <w:t>根据《重点行业挥发性有机物综合治理方案》：到2020年，建立健全VOCs污染防治管理体系，重点区域、重点行业VOCs治理取得明显成效，完成“十三五”规划确定的VOCs排放量下降10%的目标任务，协同控制温室气体排放，推动环境空气质量持续改善。控制思路与要求：（一）大力推进源头替代；（二）全面加强无组织排放控制；（三）推进建设适宜高效的治污设施；（四）深入实施精细化管控。</w:t>
            </w:r>
          </w:p>
          <w:p w14:paraId="13F43FD9">
            <w:pPr>
              <w:widowControl/>
              <w:spacing w:line="460" w:lineRule="exact"/>
              <w:ind w:firstLine="520" w:firstLineChars="200"/>
              <w:rPr>
                <w:kern w:val="0"/>
                <w:sz w:val="26"/>
                <w:szCs w:val="26"/>
              </w:rPr>
            </w:pPr>
            <w:r>
              <w:rPr>
                <w:rFonts w:hint="eastAsia"/>
                <w:kern w:val="0"/>
                <w:sz w:val="26"/>
                <w:szCs w:val="26"/>
              </w:rPr>
              <w:t>重点行业治理任务：（一）石化行业VOCs综合治理；（二）化工行业VOCs综合治理；（三）工业涂装VOCs综合治理；（四）包装印刷行业VOCs综合治理；（五）油品储运销VOCs综合治理；（六）工业园区和产业集群VOCs综合治理。</w:t>
            </w:r>
          </w:p>
          <w:p w14:paraId="1C422760">
            <w:pPr>
              <w:widowControl/>
              <w:spacing w:line="460" w:lineRule="exact"/>
              <w:ind w:firstLine="520" w:firstLineChars="200"/>
              <w:rPr>
                <w:kern w:val="0"/>
                <w:sz w:val="26"/>
                <w:szCs w:val="26"/>
              </w:rPr>
            </w:pPr>
            <w:r>
              <w:rPr>
                <w:rFonts w:hint="eastAsia"/>
                <w:kern w:val="0"/>
                <w:sz w:val="26"/>
                <w:szCs w:val="26"/>
              </w:rPr>
              <w:t>本项目为机动车燃料零售，属于VOCs排放的重点行业（油品储运销VOCs综合治理），挥发性有机物综合治理方案符合性分析见下表1</w:t>
            </w:r>
            <w:r>
              <w:rPr>
                <w:kern w:val="0"/>
                <w:sz w:val="26"/>
                <w:szCs w:val="26"/>
              </w:rPr>
              <w:t>.</w:t>
            </w:r>
            <w:r>
              <w:rPr>
                <w:rFonts w:hint="eastAsia"/>
                <w:kern w:val="0"/>
                <w:sz w:val="26"/>
                <w:szCs w:val="26"/>
              </w:rPr>
              <w:t>4-</w:t>
            </w:r>
            <w:r>
              <w:rPr>
                <w:kern w:val="0"/>
                <w:sz w:val="26"/>
                <w:szCs w:val="26"/>
              </w:rPr>
              <w:t>1</w:t>
            </w:r>
            <w:r>
              <w:rPr>
                <w:rFonts w:hint="eastAsia"/>
                <w:kern w:val="0"/>
                <w:sz w:val="26"/>
                <w:szCs w:val="26"/>
              </w:rPr>
              <w:t>。</w:t>
            </w:r>
          </w:p>
          <w:p w14:paraId="30ED428D">
            <w:pPr>
              <w:snapToGrid w:val="0"/>
              <w:spacing w:line="240" w:lineRule="auto"/>
              <w:jc w:val="center"/>
              <w:rPr>
                <w:sz w:val="22"/>
                <w:szCs w:val="22"/>
              </w:rPr>
            </w:pPr>
            <w:r>
              <w:rPr>
                <w:rFonts w:hint="eastAsia"/>
                <w:sz w:val="22"/>
                <w:szCs w:val="22"/>
              </w:rPr>
              <w:t>表</w:t>
            </w:r>
            <w:r>
              <w:rPr>
                <w:sz w:val="22"/>
                <w:szCs w:val="22"/>
              </w:rPr>
              <w:t>1.</w:t>
            </w:r>
            <w:r>
              <w:rPr>
                <w:rFonts w:hint="eastAsia"/>
                <w:sz w:val="22"/>
                <w:szCs w:val="22"/>
              </w:rPr>
              <w:t>4-</w:t>
            </w:r>
            <w:r>
              <w:rPr>
                <w:sz w:val="22"/>
                <w:szCs w:val="22"/>
              </w:rPr>
              <w:t>1</w:t>
            </w:r>
            <w:r>
              <w:rPr>
                <w:rFonts w:hint="eastAsia"/>
                <w:sz w:val="22"/>
                <w:szCs w:val="22"/>
                <w:lang w:val="en-US" w:eastAsia="zh-CN"/>
              </w:rPr>
              <w:t xml:space="preserve">  与《重点行业挥发性有机物综合治理方案》</w:t>
            </w:r>
            <w:r>
              <w:rPr>
                <w:rFonts w:hint="eastAsia"/>
                <w:sz w:val="22"/>
                <w:szCs w:val="22"/>
              </w:rPr>
              <w:t>符合性分析</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57" w:type="dxa"/>
                <w:bottom w:w="0" w:type="dxa"/>
                <w:right w:w="57" w:type="dxa"/>
              </w:tblCellMar>
            </w:tblPr>
            <w:tblGrid>
              <w:gridCol w:w="586"/>
              <w:gridCol w:w="4475"/>
              <w:gridCol w:w="1509"/>
              <w:gridCol w:w="671"/>
            </w:tblGrid>
            <w:tr w14:paraId="308FBB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91" w:type="dxa"/>
                  <w:tcBorders>
                    <w:top w:val="single" w:color="auto" w:sz="8" w:space="0"/>
                    <w:left w:val="single" w:color="auto" w:sz="8" w:space="0"/>
                    <w:bottom w:val="single" w:color="auto" w:sz="6" w:space="0"/>
                    <w:right w:val="single" w:color="auto" w:sz="6" w:space="0"/>
                  </w:tcBorders>
                  <w:vAlign w:val="center"/>
                </w:tcPr>
                <w:p w14:paraId="191EE94D">
                  <w:pPr>
                    <w:adjustRightInd w:val="0"/>
                    <w:snapToGrid w:val="0"/>
                    <w:jc w:val="center"/>
                    <w:rPr>
                      <w:spacing w:val="-2"/>
                      <w:kern w:val="0"/>
                      <w:sz w:val="22"/>
                      <w:szCs w:val="22"/>
                    </w:rPr>
                  </w:pPr>
                  <w:r>
                    <w:rPr>
                      <w:rFonts w:hint="eastAsia" w:cs="宋体"/>
                      <w:spacing w:val="-2"/>
                      <w:kern w:val="0"/>
                      <w:sz w:val="22"/>
                      <w:szCs w:val="22"/>
                    </w:rPr>
                    <w:t>序号</w:t>
                  </w:r>
                </w:p>
              </w:tc>
              <w:tc>
                <w:tcPr>
                  <w:tcW w:w="3748" w:type="dxa"/>
                  <w:tcBorders>
                    <w:top w:val="single" w:color="auto" w:sz="8" w:space="0"/>
                    <w:left w:val="single" w:color="auto" w:sz="6" w:space="0"/>
                    <w:bottom w:val="single" w:color="auto" w:sz="6" w:space="0"/>
                    <w:right w:val="single" w:color="auto" w:sz="6" w:space="0"/>
                  </w:tcBorders>
                  <w:vAlign w:val="center"/>
                </w:tcPr>
                <w:p w14:paraId="51E8ECCA">
                  <w:pPr>
                    <w:adjustRightInd w:val="0"/>
                    <w:snapToGrid w:val="0"/>
                    <w:jc w:val="center"/>
                    <w:rPr>
                      <w:spacing w:val="-2"/>
                      <w:kern w:val="0"/>
                      <w:sz w:val="22"/>
                      <w:szCs w:val="22"/>
                    </w:rPr>
                  </w:pPr>
                  <w:r>
                    <w:rPr>
                      <w:rFonts w:hint="eastAsia"/>
                      <w:sz w:val="22"/>
                      <w:szCs w:val="22"/>
                    </w:rPr>
                    <w:t>《重点行业挥发性有机物综合治理方案》</w:t>
                  </w:r>
                </w:p>
              </w:tc>
              <w:tc>
                <w:tcPr>
                  <w:tcW w:w="1264" w:type="dxa"/>
                  <w:tcBorders>
                    <w:top w:val="single" w:color="auto" w:sz="8" w:space="0"/>
                    <w:left w:val="single" w:color="auto" w:sz="6" w:space="0"/>
                    <w:bottom w:val="single" w:color="auto" w:sz="6" w:space="0"/>
                    <w:right w:val="single" w:color="auto" w:sz="6" w:space="0"/>
                  </w:tcBorders>
                  <w:vAlign w:val="center"/>
                </w:tcPr>
                <w:p w14:paraId="6FD0D59A">
                  <w:pPr>
                    <w:adjustRightInd w:val="0"/>
                    <w:snapToGrid w:val="0"/>
                    <w:jc w:val="center"/>
                    <w:rPr>
                      <w:spacing w:val="-2"/>
                      <w:kern w:val="0"/>
                      <w:sz w:val="22"/>
                      <w:szCs w:val="22"/>
                    </w:rPr>
                  </w:pPr>
                  <w:r>
                    <w:rPr>
                      <w:rFonts w:hint="eastAsia" w:cs="宋体"/>
                      <w:spacing w:val="-2"/>
                      <w:kern w:val="0"/>
                      <w:sz w:val="22"/>
                      <w:szCs w:val="22"/>
                    </w:rPr>
                    <w:t>本项目情况</w:t>
                  </w:r>
                </w:p>
              </w:tc>
              <w:tc>
                <w:tcPr>
                  <w:tcW w:w="561" w:type="dxa"/>
                  <w:tcBorders>
                    <w:top w:val="single" w:color="auto" w:sz="8" w:space="0"/>
                    <w:left w:val="single" w:color="auto" w:sz="6" w:space="0"/>
                    <w:bottom w:val="single" w:color="auto" w:sz="6" w:space="0"/>
                    <w:right w:val="single" w:color="auto" w:sz="8" w:space="0"/>
                  </w:tcBorders>
                  <w:vAlign w:val="center"/>
                </w:tcPr>
                <w:p w14:paraId="399F5514">
                  <w:pPr>
                    <w:adjustRightInd w:val="0"/>
                    <w:snapToGrid w:val="0"/>
                    <w:jc w:val="center"/>
                    <w:rPr>
                      <w:spacing w:val="-2"/>
                      <w:kern w:val="0"/>
                      <w:sz w:val="22"/>
                      <w:szCs w:val="22"/>
                    </w:rPr>
                  </w:pPr>
                  <w:r>
                    <w:rPr>
                      <w:rFonts w:hint="eastAsia" w:cs="宋体"/>
                      <w:spacing w:val="-2"/>
                      <w:kern w:val="0"/>
                      <w:sz w:val="22"/>
                      <w:szCs w:val="22"/>
                    </w:rPr>
                    <w:t>符合性</w:t>
                  </w:r>
                </w:p>
              </w:tc>
            </w:tr>
            <w:tr w14:paraId="020759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91" w:type="dxa"/>
                  <w:tcBorders>
                    <w:top w:val="single" w:color="auto" w:sz="6" w:space="0"/>
                    <w:left w:val="single" w:color="auto" w:sz="8" w:space="0"/>
                    <w:bottom w:val="single" w:color="auto" w:sz="6" w:space="0"/>
                    <w:right w:val="single" w:color="auto" w:sz="6" w:space="0"/>
                  </w:tcBorders>
                  <w:vAlign w:val="center"/>
                </w:tcPr>
                <w:p w14:paraId="15286C61">
                  <w:pPr>
                    <w:adjustRightInd w:val="0"/>
                    <w:snapToGrid w:val="0"/>
                    <w:jc w:val="center"/>
                    <w:rPr>
                      <w:spacing w:val="-2"/>
                      <w:kern w:val="0"/>
                      <w:sz w:val="22"/>
                      <w:szCs w:val="22"/>
                    </w:rPr>
                  </w:pPr>
                  <w:r>
                    <w:rPr>
                      <w:spacing w:val="-2"/>
                      <w:kern w:val="0"/>
                      <w:sz w:val="22"/>
                      <w:szCs w:val="22"/>
                    </w:rPr>
                    <w:t>1</w:t>
                  </w:r>
                </w:p>
              </w:tc>
              <w:tc>
                <w:tcPr>
                  <w:tcW w:w="3748" w:type="dxa"/>
                  <w:tcBorders>
                    <w:top w:val="single" w:color="auto" w:sz="6" w:space="0"/>
                    <w:left w:val="single" w:color="auto" w:sz="6" w:space="0"/>
                    <w:bottom w:val="single" w:color="auto" w:sz="6" w:space="0"/>
                    <w:right w:val="single" w:color="auto" w:sz="6" w:space="0"/>
                  </w:tcBorders>
                  <w:vAlign w:val="center"/>
                </w:tcPr>
                <w:p w14:paraId="4AD28873">
                  <w:pPr>
                    <w:adjustRightInd w:val="0"/>
                    <w:snapToGrid w:val="0"/>
                    <w:rPr>
                      <w:spacing w:val="-2"/>
                      <w:kern w:val="0"/>
                      <w:sz w:val="22"/>
                      <w:szCs w:val="22"/>
                    </w:rPr>
                  </w:pPr>
                  <w:r>
                    <w:rPr>
                      <w:rFonts w:hint="eastAsia"/>
                      <w:spacing w:val="-2"/>
                      <w:kern w:val="0"/>
                      <w:sz w:val="22"/>
                      <w:szCs w:val="22"/>
                    </w:rPr>
                    <w:t>加大汽油（含乙醇汽油）、石脑油、煤油（含航空煤油）以及原油等VOCs排放控制，重点推进加油站、油罐车、储油库油气回收治理。重点区域还应推进油船油气回收治理工作</w:t>
                  </w:r>
                </w:p>
              </w:tc>
              <w:tc>
                <w:tcPr>
                  <w:tcW w:w="1264" w:type="dxa"/>
                  <w:tcBorders>
                    <w:top w:val="single" w:color="auto" w:sz="6" w:space="0"/>
                    <w:left w:val="single" w:color="auto" w:sz="6" w:space="0"/>
                    <w:bottom w:val="single" w:color="auto" w:sz="6" w:space="0"/>
                    <w:right w:val="single" w:color="auto" w:sz="6" w:space="0"/>
                  </w:tcBorders>
                  <w:vAlign w:val="center"/>
                </w:tcPr>
                <w:p w14:paraId="09C97AFF">
                  <w:pPr>
                    <w:adjustRightInd w:val="0"/>
                    <w:snapToGrid w:val="0"/>
                    <w:jc w:val="center"/>
                    <w:rPr>
                      <w:rFonts w:hint="default" w:eastAsia="宋体"/>
                      <w:spacing w:val="-2"/>
                      <w:kern w:val="0"/>
                      <w:sz w:val="22"/>
                      <w:szCs w:val="22"/>
                      <w:lang w:val="en-US" w:eastAsia="zh-CN"/>
                    </w:rPr>
                  </w:pPr>
                  <w:r>
                    <w:rPr>
                      <w:rFonts w:hint="eastAsia"/>
                      <w:spacing w:val="-2"/>
                      <w:kern w:val="0"/>
                      <w:sz w:val="22"/>
                      <w:szCs w:val="22"/>
                    </w:rPr>
                    <w:t>本项目汽油加油、卸油</w:t>
                  </w:r>
                  <w:r>
                    <w:rPr>
                      <w:rFonts w:hint="eastAsia"/>
                      <w:spacing w:val="-2"/>
                      <w:kern w:val="0"/>
                      <w:sz w:val="22"/>
                      <w:szCs w:val="22"/>
                      <w:lang w:eastAsia="zh-CN"/>
                    </w:rPr>
                    <w:t>、</w:t>
                  </w:r>
                  <w:r>
                    <w:rPr>
                      <w:rFonts w:hint="eastAsia"/>
                      <w:spacing w:val="-2"/>
                      <w:kern w:val="0"/>
                      <w:sz w:val="22"/>
                      <w:szCs w:val="22"/>
                      <w:lang w:val="en-US" w:eastAsia="zh-CN"/>
                    </w:rPr>
                    <w:t>储油</w:t>
                  </w:r>
                  <w:r>
                    <w:rPr>
                      <w:rFonts w:hint="eastAsia"/>
                      <w:spacing w:val="-2"/>
                      <w:kern w:val="0"/>
                      <w:sz w:val="22"/>
                      <w:szCs w:val="22"/>
                    </w:rPr>
                    <w:t>系统</w:t>
                  </w:r>
                  <w:r>
                    <w:rPr>
                      <w:rFonts w:hint="eastAsia"/>
                      <w:spacing w:val="-2"/>
                      <w:kern w:val="0"/>
                      <w:sz w:val="22"/>
                      <w:szCs w:val="22"/>
                      <w:lang w:val="en-US" w:eastAsia="zh-CN"/>
                    </w:rPr>
                    <w:t>均</w:t>
                  </w:r>
                  <w:r>
                    <w:rPr>
                      <w:rFonts w:hint="eastAsia"/>
                      <w:spacing w:val="-2"/>
                      <w:kern w:val="0"/>
                      <w:sz w:val="22"/>
                      <w:szCs w:val="22"/>
                    </w:rPr>
                    <w:t>设置有油气回收装置</w:t>
                  </w:r>
                </w:p>
              </w:tc>
              <w:tc>
                <w:tcPr>
                  <w:tcW w:w="561" w:type="dxa"/>
                  <w:tcBorders>
                    <w:top w:val="single" w:color="auto" w:sz="6" w:space="0"/>
                    <w:left w:val="single" w:color="auto" w:sz="6" w:space="0"/>
                    <w:bottom w:val="single" w:color="auto" w:sz="6" w:space="0"/>
                    <w:right w:val="single" w:color="auto" w:sz="8" w:space="0"/>
                  </w:tcBorders>
                  <w:vAlign w:val="center"/>
                </w:tcPr>
                <w:p w14:paraId="11804C9A">
                  <w:pPr>
                    <w:adjustRightInd w:val="0"/>
                    <w:snapToGrid w:val="0"/>
                    <w:jc w:val="center"/>
                    <w:rPr>
                      <w:spacing w:val="-2"/>
                      <w:kern w:val="0"/>
                      <w:sz w:val="22"/>
                      <w:szCs w:val="22"/>
                    </w:rPr>
                  </w:pPr>
                  <w:r>
                    <w:rPr>
                      <w:rFonts w:hint="eastAsia" w:cs="宋体"/>
                      <w:spacing w:val="-2"/>
                      <w:kern w:val="0"/>
                      <w:sz w:val="22"/>
                      <w:szCs w:val="22"/>
                    </w:rPr>
                    <w:t>符合</w:t>
                  </w:r>
                </w:p>
              </w:tc>
            </w:tr>
            <w:tr w14:paraId="5BCDFF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91" w:type="dxa"/>
                  <w:tcBorders>
                    <w:top w:val="single" w:color="auto" w:sz="6" w:space="0"/>
                    <w:left w:val="single" w:color="auto" w:sz="8" w:space="0"/>
                    <w:bottom w:val="single" w:color="auto" w:sz="6" w:space="0"/>
                    <w:right w:val="single" w:color="auto" w:sz="6" w:space="0"/>
                  </w:tcBorders>
                  <w:vAlign w:val="center"/>
                </w:tcPr>
                <w:p w14:paraId="6F0B2896">
                  <w:pPr>
                    <w:adjustRightInd w:val="0"/>
                    <w:snapToGrid w:val="0"/>
                    <w:jc w:val="center"/>
                    <w:rPr>
                      <w:spacing w:val="-2"/>
                      <w:kern w:val="0"/>
                      <w:sz w:val="22"/>
                      <w:szCs w:val="22"/>
                    </w:rPr>
                  </w:pPr>
                  <w:r>
                    <w:rPr>
                      <w:spacing w:val="-2"/>
                      <w:kern w:val="0"/>
                      <w:sz w:val="22"/>
                      <w:szCs w:val="22"/>
                    </w:rPr>
                    <w:t>2</w:t>
                  </w:r>
                </w:p>
              </w:tc>
              <w:tc>
                <w:tcPr>
                  <w:tcW w:w="3748" w:type="dxa"/>
                  <w:tcBorders>
                    <w:top w:val="single" w:color="auto" w:sz="6" w:space="0"/>
                    <w:left w:val="single" w:color="auto" w:sz="6" w:space="0"/>
                    <w:bottom w:val="single" w:color="auto" w:sz="6" w:space="0"/>
                    <w:right w:val="single" w:color="auto" w:sz="6" w:space="0"/>
                  </w:tcBorders>
                  <w:vAlign w:val="center"/>
                </w:tcPr>
                <w:p w14:paraId="1A20FCC8">
                  <w:pPr>
                    <w:adjustRightInd w:val="0"/>
                    <w:snapToGrid w:val="0"/>
                    <w:rPr>
                      <w:spacing w:val="-2"/>
                      <w:kern w:val="0"/>
                      <w:sz w:val="22"/>
                      <w:szCs w:val="22"/>
                    </w:rPr>
                  </w:pPr>
                  <w:r>
                    <w:rPr>
                      <w:rFonts w:hint="eastAsia"/>
                      <w:spacing w:val="-2"/>
                      <w:kern w:val="0"/>
                      <w:sz w:val="22"/>
                      <w:szCs w:val="22"/>
                    </w:rPr>
                    <w:t>深化加油站油气回收工作。O</w:t>
                  </w:r>
                  <w:r>
                    <w:rPr>
                      <w:spacing w:val="-2"/>
                      <w:kern w:val="0"/>
                      <w:sz w:val="22"/>
                      <w:szCs w:val="22"/>
                      <w:vertAlign w:val="subscript"/>
                    </w:rPr>
                    <w:t>3</w:t>
                  </w:r>
                  <w:r>
                    <w:rPr>
                      <w:rFonts w:hint="eastAsia"/>
                      <w:spacing w:val="-2"/>
                      <w:kern w:val="0"/>
                      <w:sz w:val="22"/>
                      <w:szCs w:val="22"/>
                      <w:vertAlign w:val="baseline"/>
                    </w:rPr>
                    <w:t>-</w:t>
                  </w:r>
                  <w:r>
                    <w:rPr>
                      <w:rFonts w:hint="eastAsia"/>
                      <w:spacing w:val="-2"/>
                      <w:kern w:val="0"/>
                      <w:sz w:val="22"/>
                      <w:szCs w:val="22"/>
                    </w:rPr>
                    <w:t>污染较重的地区，行政区域内大力推进加油站储油、加油油气回收治理工作，重点区域2019年年底前基本完成。埋地油罐全面采用电子液位仪进行汽油密闭测量。规范油气回收设施运行，自行或聘请第三方加强加油枪气液比、系统密闭性及管线液阻等检查,提高检测频次，重点区域原则上每半年开展一次,确保油气回收系统正常运行。重点区域加快推进年销售汽油量大于5000吨的加油站安装油气回收自动监控设备，并与生态环境部门联网，2020年年底前基本完成</w:t>
                  </w:r>
                </w:p>
              </w:tc>
              <w:tc>
                <w:tcPr>
                  <w:tcW w:w="1264" w:type="dxa"/>
                  <w:tcBorders>
                    <w:top w:val="single" w:color="auto" w:sz="6" w:space="0"/>
                    <w:left w:val="single" w:color="auto" w:sz="6" w:space="0"/>
                    <w:bottom w:val="single" w:color="auto" w:sz="6" w:space="0"/>
                    <w:right w:val="single" w:color="auto" w:sz="6" w:space="0"/>
                  </w:tcBorders>
                  <w:vAlign w:val="center"/>
                </w:tcPr>
                <w:p w14:paraId="7E8E39A1">
                  <w:pPr>
                    <w:adjustRightInd w:val="0"/>
                    <w:snapToGrid w:val="0"/>
                    <w:jc w:val="center"/>
                    <w:rPr>
                      <w:spacing w:val="-2"/>
                      <w:kern w:val="0"/>
                      <w:sz w:val="22"/>
                      <w:szCs w:val="22"/>
                    </w:rPr>
                  </w:pPr>
                  <w:r>
                    <w:rPr>
                      <w:rFonts w:hint="eastAsia"/>
                      <w:spacing w:val="-2"/>
                      <w:kern w:val="0"/>
                      <w:sz w:val="22"/>
                      <w:szCs w:val="22"/>
                    </w:rPr>
                    <w:t>本项目输油管线均为双层防渗漏密闭管线，加油</w:t>
                  </w:r>
                  <w:r>
                    <w:rPr>
                      <w:rFonts w:hint="eastAsia"/>
                      <w:spacing w:val="-2"/>
                      <w:kern w:val="0"/>
                      <w:sz w:val="22"/>
                      <w:szCs w:val="22"/>
                      <w:lang w:eastAsia="zh-CN"/>
                    </w:rPr>
                    <w:t>、</w:t>
                  </w:r>
                  <w:r>
                    <w:rPr>
                      <w:rFonts w:hint="eastAsia"/>
                      <w:spacing w:val="-2"/>
                      <w:kern w:val="0"/>
                      <w:sz w:val="22"/>
                      <w:szCs w:val="22"/>
                      <w:lang w:val="en-US" w:eastAsia="zh-CN"/>
                    </w:rPr>
                    <w:t>储油</w:t>
                  </w:r>
                  <w:r>
                    <w:rPr>
                      <w:rFonts w:hint="eastAsia"/>
                      <w:spacing w:val="-2"/>
                      <w:kern w:val="0"/>
                      <w:sz w:val="22"/>
                      <w:szCs w:val="22"/>
                    </w:rPr>
                    <w:t>与卸油系统均安装有油气回收系统；每年加油系统与卸油系统就要进行系统密闭性和油气回收气动阀门密闭性检测</w:t>
                  </w:r>
                </w:p>
              </w:tc>
              <w:tc>
                <w:tcPr>
                  <w:tcW w:w="561" w:type="dxa"/>
                  <w:tcBorders>
                    <w:top w:val="single" w:color="auto" w:sz="6" w:space="0"/>
                    <w:left w:val="single" w:color="auto" w:sz="6" w:space="0"/>
                    <w:bottom w:val="single" w:color="auto" w:sz="6" w:space="0"/>
                    <w:right w:val="single" w:color="auto" w:sz="8" w:space="0"/>
                  </w:tcBorders>
                  <w:vAlign w:val="center"/>
                </w:tcPr>
                <w:p w14:paraId="3145BF70">
                  <w:pPr>
                    <w:adjustRightInd w:val="0"/>
                    <w:snapToGrid w:val="0"/>
                    <w:jc w:val="center"/>
                    <w:rPr>
                      <w:spacing w:val="-2"/>
                      <w:kern w:val="0"/>
                      <w:sz w:val="22"/>
                      <w:szCs w:val="22"/>
                    </w:rPr>
                  </w:pPr>
                  <w:r>
                    <w:rPr>
                      <w:rFonts w:hint="eastAsia" w:cs="宋体"/>
                      <w:spacing w:val="-2"/>
                      <w:kern w:val="0"/>
                      <w:sz w:val="22"/>
                      <w:szCs w:val="22"/>
                    </w:rPr>
                    <w:t>符合</w:t>
                  </w:r>
                </w:p>
              </w:tc>
            </w:tr>
            <w:tr w14:paraId="0FF34E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491" w:type="dxa"/>
                  <w:tcBorders>
                    <w:top w:val="single" w:color="auto" w:sz="6" w:space="0"/>
                    <w:left w:val="single" w:color="auto" w:sz="8" w:space="0"/>
                    <w:bottom w:val="single" w:color="auto" w:sz="6" w:space="0"/>
                    <w:right w:val="single" w:color="auto" w:sz="6" w:space="0"/>
                  </w:tcBorders>
                  <w:vAlign w:val="center"/>
                </w:tcPr>
                <w:p w14:paraId="08D0E811">
                  <w:pPr>
                    <w:adjustRightInd w:val="0"/>
                    <w:snapToGrid w:val="0"/>
                    <w:jc w:val="center"/>
                    <w:rPr>
                      <w:spacing w:val="-2"/>
                      <w:kern w:val="0"/>
                      <w:sz w:val="22"/>
                      <w:szCs w:val="22"/>
                    </w:rPr>
                  </w:pPr>
                  <w:r>
                    <w:rPr>
                      <w:spacing w:val="-2"/>
                      <w:kern w:val="0"/>
                      <w:sz w:val="22"/>
                      <w:szCs w:val="22"/>
                    </w:rPr>
                    <w:t>3</w:t>
                  </w:r>
                </w:p>
              </w:tc>
              <w:tc>
                <w:tcPr>
                  <w:tcW w:w="3748" w:type="dxa"/>
                  <w:tcBorders>
                    <w:top w:val="single" w:color="auto" w:sz="6" w:space="0"/>
                    <w:left w:val="single" w:color="auto" w:sz="6" w:space="0"/>
                    <w:bottom w:val="single" w:color="auto" w:sz="6" w:space="0"/>
                    <w:right w:val="single" w:color="auto" w:sz="6" w:space="0"/>
                  </w:tcBorders>
                  <w:vAlign w:val="center"/>
                </w:tcPr>
                <w:p w14:paraId="5163779E">
                  <w:pPr>
                    <w:adjustRightInd w:val="0"/>
                    <w:snapToGrid w:val="0"/>
                    <w:rPr>
                      <w:spacing w:val="-2"/>
                      <w:kern w:val="0"/>
                      <w:sz w:val="22"/>
                      <w:szCs w:val="22"/>
                    </w:rPr>
                  </w:pPr>
                  <w:r>
                    <w:rPr>
                      <w:rFonts w:hint="eastAsia"/>
                      <w:spacing w:val="-2"/>
                      <w:kern w:val="0"/>
                      <w:sz w:val="22"/>
                      <w:szCs w:val="22"/>
                    </w:rPr>
                    <w:t>推进储油库油气回收治理。汽油、航空煤油、原油以及真实蒸气压小于76.6kPa的石脑油应采用浮顶罐储存，其中，油品容积小于等于100立方米的，可采用卧式储罐。真实蒸气压大于等于76.6kPa的石脑油应采用低压罐、压力罐或其他等效措施储存。加快推进油品收发过程排放的油气收集处理。加强储油库发油油气回收系统接口泄漏检测，提高检测频次，减少油气泄漏，确保油品装卸过程油气回收处理装置正常运行。加强油罐车油气回收系统密闭性和油气回收气动阀门密闭性检测，每年至少开展一次。推动储油库安装油气回收自动监控设施</w:t>
                  </w:r>
                </w:p>
              </w:tc>
              <w:tc>
                <w:tcPr>
                  <w:tcW w:w="1264" w:type="dxa"/>
                  <w:tcBorders>
                    <w:top w:val="single" w:color="auto" w:sz="6" w:space="0"/>
                    <w:left w:val="single" w:color="auto" w:sz="6" w:space="0"/>
                    <w:bottom w:val="single" w:color="auto" w:sz="6" w:space="0"/>
                    <w:right w:val="single" w:color="auto" w:sz="6" w:space="0"/>
                  </w:tcBorders>
                  <w:vAlign w:val="center"/>
                </w:tcPr>
                <w:p w14:paraId="6FF0BF03">
                  <w:pPr>
                    <w:adjustRightInd w:val="0"/>
                    <w:snapToGrid w:val="0"/>
                    <w:jc w:val="center"/>
                    <w:rPr>
                      <w:spacing w:val="-2"/>
                      <w:kern w:val="0"/>
                      <w:sz w:val="22"/>
                      <w:szCs w:val="22"/>
                    </w:rPr>
                  </w:pPr>
                  <w:r>
                    <w:rPr>
                      <w:rFonts w:hint="eastAsia"/>
                      <w:spacing w:val="-2"/>
                      <w:kern w:val="0"/>
                      <w:sz w:val="22"/>
                      <w:szCs w:val="22"/>
                    </w:rPr>
                    <w:t>本项目采用埋地式卧室双层罐，设有汽油回收系统及自动监控设施</w:t>
                  </w:r>
                </w:p>
              </w:tc>
              <w:tc>
                <w:tcPr>
                  <w:tcW w:w="561" w:type="dxa"/>
                  <w:tcBorders>
                    <w:top w:val="single" w:color="auto" w:sz="6" w:space="0"/>
                    <w:left w:val="single" w:color="auto" w:sz="6" w:space="0"/>
                    <w:bottom w:val="single" w:color="auto" w:sz="6" w:space="0"/>
                    <w:right w:val="single" w:color="auto" w:sz="8" w:space="0"/>
                  </w:tcBorders>
                  <w:vAlign w:val="center"/>
                </w:tcPr>
                <w:p w14:paraId="01DCD566">
                  <w:pPr>
                    <w:adjustRightInd w:val="0"/>
                    <w:snapToGrid w:val="0"/>
                    <w:jc w:val="center"/>
                    <w:rPr>
                      <w:spacing w:val="-2"/>
                      <w:kern w:val="0"/>
                      <w:sz w:val="22"/>
                      <w:szCs w:val="22"/>
                    </w:rPr>
                  </w:pPr>
                  <w:r>
                    <w:rPr>
                      <w:rFonts w:hint="eastAsia" w:cs="宋体"/>
                      <w:spacing w:val="-2"/>
                      <w:kern w:val="0"/>
                      <w:sz w:val="22"/>
                      <w:szCs w:val="22"/>
                    </w:rPr>
                    <w:t>符合</w:t>
                  </w:r>
                </w:p>
              </w:tc>
            </w:tr>
          </w:tbl>
          <w:p w14:paraId="17E5A3DD">
            <w:pPr>
              <w:autoSpaceDE w:val="0"/>
              <w:autoSpaceDN w:val="0"/>
              <w:adjustRightInd w:val="0"/>
              <w:snapToGrid w:val="0"/>
              <w:spacing w:line="460" w:lineRule="exact"/>
              <w:ind w:firstLine="520" w:firstLineChars="200"/>
              <w:rPr>
                <w:rFonts w:hint="default" w:eastAsia="宋体"/>
                <w:sz w:val="26"/>
                <w:szCs w:val="26"/>
                <w:lang w:val="en-US" w:eastAsia="zh-CN"/>
              </w:rPr>
            </w:pPr>
            <w:r>
              <w:rPr>
                <w:rFonts w:hint="eastAsia"/>
                <w:sz w:val="26"/>
                <w:szCs w:val="26"/>
                <w:lang w:val="en-US" w:eastAsia="zh-CN"/>
              </w:rPr>
              <w:t>根据上表分析内容，本项目符合《重点行业挥发性有机物综合治理方案》（环大气〔2022〕53号）相关要求。</w:t>
            </w:r>
          </w:p>
          <w:p w14:paraId="31C73B64">
            <w:pPr>
              <w:pStyle w:val="47"/>
              <w:spacing w:line="460" w:lineRule="exact"/>
              <w:ind w:firstLine="0" w:firstLineChars="0"/>
              <w:rPr>
                <w:rFonts w:hint="eastAsia" w:ascii="Times New Roman" w:hAnsi="Times New Roman" w:eastAsia="宋体" w:cs="Times New Roman"/>
                <w:b/>
                <w:bCs/>
                <w:kern w:val="0"/>
                <w:sz w:val="26"/>
                <w:szCs w:val="26"/>
                <w:lang w:val="en-US" w:eastAsia="zh-CN" w:bidi="ar-SA"/>
              </w:rPr>
            </w:pPr>
            <w:r>
              <w:rPr>
                <w:rFonts w:hint="eastAsia" w:ascii="Times New Roman" w:hAnsi="Times New Roman" w:eastAsia="宋体" w:cs="Times New Roman"/>
                <w:b/>
                <w:bCs/>
                <w:kern w:val="0"/>
                <w:sz w:val="26"/>
                <w:szCs w:val="26"/>
                <w:lang w:val="en-US" w:eastAsia="zh-CN" w:bidi="ar-SA"/>
              </w:rPr>
              <w:t>1.5与《挥发性有机物无组织排放控制标准》（GB 37822-2019）符合性分析</w:t>
            </w:r>
          </w:p>
          <w:p w14:paraId="433E4265">
            <w:pPr>
              <w:adjustRightInd w:val="0"/>
              <w:snapToGrid w:val="0"/>
              <w:spacing w:line="460" w:lineRule="exact"/>
              <w:ind w:firstLine="520" w:firstLineChars="200"/>
              <w:rPr>
                <w:snapToGrid w:val="0"/>
                <w:kern w:val="0"/>
                <w:sz w:val="26"/>
                <w:szCs w:val="26"/>
              </w:rPr>
            </w:pPr>
            <w:r>
              <w:rPr>
                <w:snapToGrid w:val="0"/>
                <w:kern w:val="0"/>
                <w:sz w:val="26"/>
                <w:szCs w:val="26"/>
              </w:rPr>
              <w:t>项目与《挥发性有机物无组织排放控制标准》（GB 37822-2019）符合性分析见下表1.</w:t>
            </w:r>
            <w:r>
              <w:rPr>
                <w:rFonts w:hint="eastAsia"/>
                <w:snapToGrid w:val="0"/>
                <w:kern w:val="0"/>
                <w:sz w:val="26"/>
                <w:szCs w:val="26"/>
              </w:rPr>
              <w:t>5</w:t>
            </w:r>
            <w:r>
              <w:rPr>
                <w:snapToGrid w:val="0"/>
                <w:kern w:val="0"/>
                <w:sz w:val="26"/>
                <w:szCs w:val="26"/>
              </w:rPr>
              <w:t>-1。</w:t>
            </w:r>
          </w:p>
          <w:p w14:paraId="1CB14CAF">
            <w:pPr>
              <w:spacing w:line="240" w:lineRule="auto"/>
              <w:jc w:val="center"/>
              <w:rPr>
                <w:sz w:val="26"/>
                <w:szCs w:val="26"/>
              </w:rPr>
            </w:pPr>
            <w:r>
              <w:rPr>
                <w:sz w:val="22"/>
                <w:szCs w:val="22"/>
              </w:rPr>
              <w:t>表1.</w:t>
            </w:r>
            <w:r>
              <w:rPr>
                <w:rFonts w:hint="eastAsia"/>
                <w:sz w:val="22"/>
                <w:szCs w:val="22"/>
              </w:rPr>
              <w:t>5</w:t>
            </w:r>
            <w:r>
              <w:rPr>
                <w:sz w:val="22"/>
                <w:szCs w:val="22"/>
              </w:rPr>
              <w:t>-1</w:t>
            </w:r>
            <w:r>
              <w:rPr>
                <w:rFonts w:hint="eastAsia"/>
                <w:sz w:val="22"/>
                <w:szCs w:val="22"/>
                <w:lang w:val="en-US" w:eastAsia="zh-CN"/>
              </w:rPr>
              <w:t xml:space="preserve">  </w:t>
            </w:r>
            <w:r>
              <w:rPr>
                <w:sz w:val="22"/>
                <w:szCs w:val="22"/>
              </w:rPr>
              <w:t>与《挥发性有机物无组织排放控制标准》符合性分析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269"/>
              <w:gridCol w:w="2378"/>
              <w:gridCol w:w="820"/>
            </w:tblGrid>
            <w:tr w14:paraId="34A0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14:paraId="58D795F0">
                  <w:pPr>
                    <w:spacing w:before="24" w:beforeLines="10" w:line="300" w:lineRule="exact"/>
                    <w:jc w:val="center"/>
                    <w:rPr>
                      <w:sz w:val="22"/>
                      <w:szCs w:val="22"/>
                    </w:rPr>
                  </w:pPr>
                  <w:r>
                    <w:rPr>
                      <w:sz w:val="22"/>
                      <w:szCs w:val="22"/>
                    </w:rPr>
                    <w:t>类别</w:t>
                  </w:r>
                </w:p>
              </w:tc>
              <w:tc>
                <w:tcPr>
                  <w:tcW w:w="3375" w:type="dxa"/>
                  <w:vAlign w:val="center"/>
                </w:tcPr>
                <w:p w14:paraId="619FF326">
                  <w:pPr>
                    <w:spacing w:before="24" w:beforeLines="10" w:line="300" w:lineRule="exact"/>
                    <w:jc w:val="center"/>
                    <w:rPr>
                      <w:sz w:val="22"/>
                      <w:szCs w:val="22"/>
                    </w:rPr>
                  </w:pPr>
                  <w:r>
                    <w:rPr>
                      <w:sz w:val="22"/>
                      <w:szCs w:val="22"/>
                    </w:rPr>
                    <w:t>标准要求</w:t>
                  </w:r>
                </w:p>
              </w:tc>
              <w:tc>
                <w:tcPr>
                  <w:tcW w:w="2421" w:type="dxa"/>
                  <w:vAlign w:val="center"/>
                </w:tcPr>
                <w:p w14:paraId="503FE646">
                  <w:pPr>
                    <w:spacing w:before="24" w:beforeLines="10" w:line="300" w:lineRule="exact"/>
                    <w:jc w:val="center"/>
                    <w:rPr>
                      <w:sz w:val="22"/>
                      <w:szCs w:val="22"/>
                    </w:rPr>
                  </w:pPr>
                  <w:r>
                    <w:rPr>
                      <w:sz w:val="22"/>
                      <w:szCs w:val="22"/>
                    </w:rPr>
                    <w:t>项目实际情况</w:t>
                  </w:r>
                </w:p>
              </w:tc>
              <w:tc>
                <w:tcPr>
                  <w:tcW w:w="845" w:type="dxa"/>
                  <w:vAlign w:val="center"/>
                </w:tcPr>
                <w:p w14:paraId="3E71F3BB">
                  <w:pPr>
                    <w:spacing w:before="24" w:beforeLines="10" w:line="300" w:lineRule="exact"/>
                    <w:jc w:val="center"/>
                    <w:rPr>
                      <w:sz w:val="22"/>
                      <w:szCs w:val="22"/>
                    </w:rPr>
                  </w:pPr>
                  <w:r>
                    <w:rPr>
                      <w:sz w:val="22"/>
                      <w:szCs w:val="22"/>
                    </w:rPr>
                    <w:t>符合性</w:t>
                  </w:r>
                </w:p>
              </w:tc>
            </w:tr>
            <w:tr w14:paraId="20FE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restart"/>
                  <w:vAlign w:val="center"/>
                </w:tcPr>
                <w:p w14:paraId="7E1655F2">
                  <w:pPr>
                    <w:spacing w:before="24" w:beforeLines="10" w:line="300" w:lineRule="exact"/>
                    <w:jc w:val="center"/>
                    <w:rPr>
                      <w:sz w:val="22"/>
                      <w:szCs w:val="22"/>
                    </w:rPr>
                  </w:pPr>
                  <w:r>
                    <w:rPr>
                      <w:sz w:val="22"/>
                      <w:szCs w:val="22"/>
                    </w:rPr>
                    <w:t>储存无组织排放控制要求</w:t>
                  </w:r>
                </w:p>
              </w:tc>
              <w:tc>
                <w:tcPr>
                  <w:tcW w:w="3375" w:type="dxa"/>
                  <w:vAlign w:val="center"/>
                </w:tcPr>
                <w:p w14:paraId="39EC1515">
                  <w:pPr>
                    <w:spacing w:before="24" w:beforeLines="10" w:line="300" w:lineRule="exact"/>
                    <w:jc w:val="left"/>
                    <w:rPr>
                      <w:sz w:val="22"/>
                      <w:szCs w:val="22"/>
                    </w:rPr>
                  </w:pPr>
                  <w:r>
                    <w:rPr>
                      <w:sz w:val="22"/>
                      <w:szCs w:val="22"/>
                    </w:rPr>
                    <w:t>VOCs物料应储存于密闭的容器、包装袋、储罐、储库、料仓中。</w:t>
                  </w:r>
                </w:p>
              </w:tc>
              <w:tc>
                <w:tcPr>
                  <w:tcW w:w="2421" w:type="dxa"/>
                  <w:vAlign w:val="center"/>
                </w:tcPr>
                <w:p w14:paraId="30F19D52">
                  <w:pPr>
                    <w:spacing w:before="24" w:beforeLines="10" w:line="300" w:lineRule="exact"/>
                    <w:rPr>
                      <w:sz w:val="22"/>
                      <w:szCs w:val="22"/>
                    </w:rPr>
                  </w:pPr>
                  <w:r>
                    <w:rPr>
                      <w:rFonts w:hint="eastAsia"/>
                      <w:spacing w:val="-2"/>
                      <w:kern w:val="0"/>
                      <w:sz w:val="22"/>
                      <w:szCs w:val="22"/>
                    </w:rPr>
                    <w:t>油品均储存于地埋式储油罐；本项目汽油加油、卸油</w:t>
                  </w:r>
                  <w:r>
                    <w:rPr>
                      <w:rFonts w:hint="eastAsia"/>
                      <w:spacing w:val="-2"/>
                      <w:kern w:val="0"/>
                      <w:sz w:val="22"/>
                      <w:szCs w:val="22"/>
                      <w:lang w:eastAsia="zh-CN"/>
                    </w:rPr>
                    <w:t>、</w:t>
                  </w:r>
                  <w:r>
                    <w:rPr>
                      <w:rFonts w:hint="eastAsia"/>
                      <w:spacing w:val="-2"/>
                      <w:kern w:val="0"/>
                      <w:sz w:val="22"/>
                      <w:szCs w:val="22"/>
                      <w:lang w:val="en-US" w:eastAsia="zh-CN"/>
                    </w:rPr>
                    <w:t>储油</w:t>
                  </w:r>
                  <w:r>
                    <w:rPr>
                      <w:rFonts w:hint="eastAsia"/>
                      <w:spacing w:val="-2"/>
                      <w:kern w:val="0"/>
                      <w:sz w:val="22"/>
                      <w:szCs w:val="22"/>
                    </w:rPr>
                    <w:t>系统</w:t>
                  </w:r>
                  <w:r>
                    <w:rPr>
                      <w:rFonts w:hint="eastAsia"/>
                      <w:spacing w:val="-2"/>
                      <w:kern w:val="0"/>
                      <w:sz w:val="22"/>
                      <w:szCs w:val="22"/>
                      <w:lang w:val="en-US" w:eastAsia="zh-CN"/>
                    </w:rPr>
                    <w:t>均</w:t>
                  </w:r>
                  <w:r>
                    <w:rPr>
                      <w:rFonts w:hint="eastAsia"/>
                      <w:spacing w:val="-2"/>
                      <w:kern w:val="0"/>
                      <w:sz w:val="22"/>
                      <w:szCs w:val="22"/>
                    </w:rPr>
                    <w:t>设置有油气回收装置。</w:t>
                  </w:r>
                </w:p>
              </w:tc>
              <w:tc>
                <w:tcPr>
                  <w:tcW w:w="845" w:type="dxa"/>
                  <w:vAlign w:val="center"/>
                </w:tcPr>
                <w:p w14:paraId="402D32B3">
                  <w:pPr>
                    <w:spacing w:before="24" w:beforeLines="10" w:line="300" w:lineRule="exact"/>
                    <w:jc w:val="center"/>
                    <w:rPr>
                      <w:sz w:val="22"/>
                      <w:szCs w:val="22"/>
                    </w:rPr>
                  </w:pPr>
                  <w:r>
                    <w:rPr>
                      <w:sz w:val="22"/>
                      <w:szCs w:val="22"/>
                    </w:rPr>
                    <w:t>符合</w:t>
                  </w:r>
                </w:p>
              </w:tc>
            </w:tr>
            <w:tr w14:paraId="11B5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68A5F56D">
                  <w:pPr>
                    <w:spacing w:before="24" w:beforeLines="10" w:line="300" w:lineRule="exact"/>
                    <w:jc w:val="center"/>
                    <w:rPr>
                      <w:sz w:val="22"/>
                      <w:szCs w:val="22"/>
                    </w:rPr>
                  </w:pPr>
                </w:p>
              </w:tc>
              <w:tc>
                <w:tcPr>
                  <w:tcW w:w="3375" w:type="dxa"/>
                  <w:vAlign w:val="center"/>
                </w:tcPr>
                <w:p w14:paraId="41C5432B">
                  <w:pPr>
                    <w:spacing w:before="24" w:beforeLines="10" w:line="300" w:lineRule="exact"/>
                    <w:jc w:val="left"/>
                    <w:rPr>
                      <w:sz w:val="22"/>
                      <w:szCs w:val="22"/>
                    </w:rPr>
                  </w:pPr>
                  <w:r>
                    <w:rPr>
                      <w:sz w:val="22"/>
                      <w:szCs w:val="22"/>
                    </w:rPr>
                    <w:t>盛装VOCs物料的容器或包装袋应存放于室内，或存放于设置有雨棚、遮阳和防渗设施的专用场地。盛装VOCs物料的容器或包装袋在非取用状态时应加盖、封口，保持密闭。</w:t>
                  </w:r>
                </w:p>
              </w:tc>
              <w:tc>
                <w:tcPr>
                  <w:tcW w:w="2421" w:type="dxa"/>
                  <w:vAlign w:val="center"/>
                </w:tcPr>
                <w:p w14:paraId="47AEAA07">
                  <w:pPr>
                    <w:spacing w:before="24" w:beforeLines="10" w:line="300" w:lineRule="exact"/>
                    <w:rPr>
                      <w:sz w:val="22"/>
                      <w:szCs w:val="22"/>
                    </w:rPr>
                  </w:pPr>
                  <w:r>
                    <w:rPr>
                      <w:rFonts w:hint="eastAsia"/>
                      <w:spacing w:val="-2"/>
                      <w:kern w:val="0"/>
                      <w:sz w:val="22"/>
                      <w:szCs w:val="22"/>
                    </w:rPr>
                    <w:t>本项目储油罐</w:t>
                  </w:r>
                  <w:r>
                    <w:rPr>
                      <w:rFonts w:hint="eastAsia"/>
                      <w:spacing w:val="-2"/>
                      <w:kern w:val="0"/>
                      <w:sz w:val="22"/>
                      <w:szCs w:val="22"/>
                      <w:lang w:val="en-US" w:eastAsia="zh-CN"/>
                    </w:rPr>
                    <w:t>改造</w:t>
                  </w:r>
                  <w:r>
                    <w:rPr>
                      <w:rFonts w:hint="eastAsia"/>
                      <w:spacing w:val="-2"/>
                      <w:kern w:val="0"/>
                      <w:sz w:val="22"/>
                      <w:szCs w:val="22"/>
                    </w:rPr>
                    <w:t>为埋地式F</w:t>
                  </w:r>
                  <w:r>
                    <w:rPr>
                      <w:spacing w:val="-2"/>
                      <w:kern w:val="0"/>
                      <w:sz w:val="22"/>
                      <w:szCs w:val="22"/>
                    </w:rPr>
                    <w:t>F</w:t>
                  </w:r>
                  <w:r>
                    <w:rPr>
                      <w:rFonts w:hint="eastAsia"/>
                      <w:spacing w:val="-2"/>
                      <w:kern w:val="0"/>
                      <w:sz w:val="22"/>
                      <w:szCs w:val="22"/>
                    </w:rPr>
                    <w:t>双层储罐，可满足防渗要求。</w:t>
                  </w:r>
                </w:p>
              </w:tc>
              <w:tc>
                <w:tcPr>
                  <w:tcW w:w="845" w:type="dxa"/>
                  <w:vAlign w:val="center"/>
                </w:tcPr>
                <w:p w14:paraId="12BDAD7B">
                  <w:pPr>
                    <w:spacing w:before="24" w:beforeLines="10" w:line="300" w:lineRule="exact"/>
                    <w:jc w:val="center"/>
                    <w:rPr>
                      <w:sz w:val="22"/>
                      <w:szCs w:val="22"/>
                    </w:rPr>
                  </w:pPr>
                  <w:r>
                    <w:rPr>
                      <w:sz w:val="22"/>
                      <w:szCs w:val="22"/>
                    </w:rPr>
                    <w:t>符合</w:t>
                  </w:r>
                </w:p>
              </w:tc>
            </w:tr>
            <w:tr w14:paraId="5D95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67E03C62">
                  <w:pPr>
                    <w:spacing w:before="24" w:beforeLines="10" w:line="300" w:lineRule="exact"/>
                    <w:jc w:val="center"/>
                    <w:rPr>
                      <w:sz w:val="22"/>
                      <w:szCs w:val="22"/>
                    </w:rPr>
                  </w:pPr>
                </w:p>
              </w:tc>
              <w:tc>
                <w:tcPr>
                  <w:tcW w:w="3375" w:type="dxa"/>
                  <w:vAlign w:val="center"/>
                </w:tcPr>
                <w:p w14:paraId="2079634E">
                  <w:pPr>
                    <w:spacing w:before="24" w:beforeLines="10" w:line="300" w:lineRule="exact"/>
                    <w:rPr>
                      <w:sz w:val="22"/>
                      <w:szCs w:val="22"/>
                    </w:rPr>
                  </w:pPr>
                  <w:r>
                    <w:rPr>
                      <w:sz w:val="22"/>
                      <w:szCs w:val="22"/>
                    </w:rPr>
                    <w:t>VOCs物料储库、料仓应满足“利用完整的围护结构将污染物质、作业场所等与周围空间阻隔所形成的封闭区域或封闭式建筑物。该封闭区域或封闭式建筑物除人员、车辆、设备、物料进出时，以及依法设立的排气筒、通风口外，门窗及其他开口(孔)部位应随时保持关闭状态”的要求</w:t>
                  </w:r>
                </w:p>
              </w:tc>
              <w:tc>
                <w:tcPr>
                  <w:tcW w:w="2421" w:type="dxa"/>
                  <w:vAlign w:val="center"/>
                </w:tcPr>
                <w:p w14:paraId="1E8AF1EB">
                  <w:pPr>
                    <w:adjustRightInd w:val="0"/>
                    <w:snapToGrid w:val="0"/>
                    <w:rPr>
                      <w:sz w:val="22"/>
                      <w:szCs w:val="22"/>
                    </w:rPr>
                  </w:pPr>
                  <w:r>
                    <w:rPr>
                      <w:rFonts w:hint="eastAsia"/>
                      <w:sz w:val="22"/>
                      <w:szCs w:val="22"/>
                    </w:rPr>
                    <w:t>本项目加油站储罐密封良好，其中：</w:t>
                  </w:r>
                </w:p>
                <w:p w14:paraId="47803029">
                  <w:pPr>
                    <w:adjustRightInd w:val="0"/>
                    <w:snapToGrid w:val="0"/>
                    <w:rPr>
                      <w:sz w:val="22"/>
                      <w:szCs w:val="22"/>
                    </w:rPr>
                  </w:pPr>
                  <w:r>
                    <w:rPr>
                      <w:rFonts w:hint="eastAsia"/>
                      <w:sz w:val="22"/>
                      <w:szCs w:val="22"/>
                    </w:rPr>
                    <w:t>1）储油罐保持完好，无缝隙；</w:t>
                  </w:r>
                </w:p>
                <w:p w14:paraId="1BC46AD7">
                  <w:pPr>
                    <w:adjustRightInd w:val="0"/>
                    <w:snapToGrid w:val="0"/>
                    <w:rPr>
                      <w:sz w:val="22"/>
                      <w:szCs w:val="22"/>
                    </w:rPr>
                  </w:pPr>
                  <w:r>
                    <w:rPr>
                      <w:sz w:val="22"/>
                      <w:szCs w:val="22"/>
                    </w:rPr>
                    <w:t>2</w:t>
                  </w:r>
                  <w:r>
                    <w:rPr>
                      <w:rFonts w:hint="eastAsia"/>
                      <w:sz w:val="22"/>
                      <w:szCs w:val="22"/>
                    </w:rPr>
                    <w:t>）储油罐阀门仅在采样、计量、检查、维护等情况下打开，日常状态下关闭；</w:t>
                  </w:r>
                </w:p>
                <w:p w14:paraId="6BE369CC">
                  <w:pPr>
                    <w:spacing w:before="24" w:beforeLines="10" w:line="300" w:lineRule="exact"/>
                    <w:jc w:val="left"/>
                    <w:rPr>
                      <w:sz w:val="22"/>
                      <w:szCs w:val="22"/>
                    </w:rPr>
                  </w:pPr>
                  <w:r>
                    <w:rPr>
                      <w:sz w:val="22"/>
                      <w:szCs w:val="22"/>
                    </w:rPr>
                    <w:t>3</w:t>
                  </w:r>
                  <w:r>
                    <w:rPr>
                      <w:rFonts w:hint="eastAsia"/>
                      <w:sz w:val="22"/>
                      <w:szCs w:val="22"/>
                    </w:rPr>
                    <w:t>）每年定期检查油气回收系统。</w:t>
                  </w:r>
                </w:p>
              </w:tc>
              <w:tc>
                <w:tcPr>
                  <w:tcW w:w="845" w:type="dxa"/>
                  <w:vAlign w:val="center"/>
                </w:tcPr>
                <w:p w14:paraId="0E5E955F">
                  <w:pPr>
                    <w:spacing w:before="24" w:beforeLines="10" w:line="300" w:lineRule="exact"/>
                    <w:jc w:val="center"/>
                    <w:rPr>
                      <w:sz w:val="22"/>
                      <w:szCs w:val="22"/>
                    </w:rPr>
                  </w:pPr>
                  <w:r>
                    <w:rPr>
                      <w:sz w:val="22"/>
                      <w:szCs w:val="22"/>
                    </w:rPr>
                    <w:t>符合</w:t>
                  </w:r>
                </w:p>
              </w:tc>
            </w:tr>
            <w:tr w14:paraId="1AD8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restart"/>
                  <w:vAlign w:val="center"/>
                </w:tcPr>
                <w:p w14:paraId="3DA4E9F5">
                  <w:pPr>
                    <w:spacing w:before="24" w:beforeLines="10" w:line="300" w:lineRule="exact"/>
                    <w:jc w:val="center"/>
                    <w:rPr>
                      <w:sz w:val="22"/>
                      <w:szCs w:val="22"/>
                    </w:rPr>
                  </w:pPr>
                  <w:r>
                    <w:rPr>
                      <w:sz w:val="22"/>
                      <w:szCs w:val="22"/>
                    </w:rPr>
                    <w:t>物料转</w:t>
                  </w:r>
                </w:p>
                <w:p w14:paraId="7AB03816">
                  <w:pPr>
                    <w:spacing w:before="24" w:beforeLines="10" w:line="300" w:lineRule="exact"/>
                    <w:jc w:val="center"/>
                    <w:rPr>
                      <w:sz w:val="22"/>
                      <w:szCs w:val="22"/>
                    </w:rPr>
                  </w:pPr>
                  <w:r>
                    <w:rPr>
                      <w:sz w:val="22"/>
                      <w:szCs w:val="22"/>
                    </w:rPr>
                    <w:t>移和输</w:t>
                  </w:r>
                </w:p>
                <w:p w14:paraId="5564AD43">
                  <w:pPr>
                    <w:spacing w:before="24" w:beforeLines="10" w:line="300" w:lineRule="exact"/>
                    <w:jc w:val="center"/>
                    <w:rPr>
                      <w:sz w:val="22"/>
                      <w:szCs w:val="22"/>
                    </w:rPr>
                  </w:pPr>
                  <w:r>
                    <w:rPr>
                      <w:sz w:val="22"/>
                      <w:szCs w:val="22"/>
                    </w:rPr>
                    <w:t>送无组织排放</w:t>
                  </w:r>
                </w:p>
                <w:p w14:paraId="1257B431">
                  <w:pPr>
                    <w:spacing w:before="24" w:beforeLines="10" w:line="300" w:lineRule="exact"/>
                    <w:jc w:val="center"/>
                    <w:rPr>
                      <w:sz w:val="22"/>
                      <w:szCs w:val="22"/>
                    </w:rPr>
                  </w:pPr>
                  <w:r>
                    <w:rPr>
                      <w:sz w:val="22"/>
                      <w:szCs w:val="22"/>
                    </w:rPr>
                    <w:t>控制要</w:t>
                  </w:r>
                </w:p>
                <w:p w14:paraId="49A86EE7">
                  <w:pPr>
                    <w:spacing w:before="24" w:beforeLines="10" w:line="300" w:lineRule="exact"/>
                    <w:jc w:val="center"/>
                    <w:rPr>
                      <w:sz w:val="22"/>
                      <w:szCs w:val="22"/>
                    </w:rPr>
                  </w:pPr>
                  <w:r>
                    <w:rPr>
                      <w:sz w:val="22"/>
                      <w:szCs w:val="22"/>
                    </w:rPr>
                    <w:t>求</w:t>
                  </w:r>
                </w:p>
              </w:tc>
              <w:tc>
                <w:tcPr>
                  <w:tcW w:w="3375" w:type="dxa"/>
                  <w:vAlign w:val="center"/>
                </w:tcPr>
                <w:p w14:paraId="5DB3691C">
                  <w:pPr>
                    <w:spacing w:before="24" w:beforeLines="10" w:line="300" w:lineRule="exact"/>
                    <w:jc w:val="left"/>
                    <w:rPr>
                      <w:sz w:val="22"/>
                      <w:szCs w:val="22"/>
                    </w:rPr>
                  </w:pPr>
                  <w:r>
                    <w:rPr>
                      <w:sz w:val="22"/>
                      <w:szCs w:val="22"/>
                    </w:rPr>
                    <w:t>液态VOCs物料应采用密闭管道输送。采用非管道输送方式转移液态VOCs物料时，应采用密闭容器、罐车</w:t>
                  </w:r>
                </w:p>
              </w:tc>
              <w:tc>
                <w:tcPr>
                  <w:tcW w:w="2421" w:type="dxa"/>
                  <w:vAlign w:val="center"/>
                </w:tcPr>
                <w:p w14:paraId="46D4452B">
                  <w:pPr>
                    <w:spacing w:before="24" w:beforeLines="10" w:line="300" w:lineRule="exact"/>
                    <w:rPr>
                      <w:sz w:val="22"/>
                      <w:szCs w:val="22"/>
                    </w:rPr>
                  </w:pPr>
                  <w:r>
                    <w:rPr>
                      <w:rFonts w:hint="eastAsia"/>
                      <w:spacing w:val="-2"/>
                      <w:kern w:val="0"/>
                      <w:sz w:val="22"/>
                      <w:szCs w:val="22"/>
                    </w:rPr>
                    <w:t>本项目</w:t>
                  </w:r>
                  <w:r>
                    <w:rPr>
                      <w:rFonts w:hint="eastAsia"/>
                      <w:sz w:val="22"/>
                      <w:szCs w:val="22"/>
                    </w:rPr>
                    <w:t>加油站采用埋地双层输油管道，采用密闭油罐车对储油罐进行物料输送。</w:t>
                  </w:r>
                </w:p>
              </w:tc>
              <w:tc>
                <w:tcPr>
                  <w:tcW w:w="845" w:type="dxa"/>
                  <w:vAlign w:val="center"/>
                </w:tcPr>
                <w:p w14:paraId="586E4EF9">
                  <w:pPr>
                    <w:spacing w:before="24" w:beforeLines="10" w:line="300" w:lineRule="exact"/>
                    <w:jc w:val="center"/>
                    <w:rPr>
                      <w:sz w:val="22"/>
                      <w:szCs w:val="22"/>
                    </w:rPr>
                  </w:pPr>
                  <w:r>
                    <w:rPr>
                      <w:sz w:val="22"/>
                      <w:szCs w:val="22"/>
                    </w:rPr>
                    <w:t>符合</w:t>
                  </w:r>
                </w:p>
              </w:tc>
            </w:tr>
            <w:tr w14:paraId="0070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7F45CF33">
                  <w:pPr>
                    <w:spacing w:before="24" w:beforeLines="10" w:line="300" w:lineRule="exact"/>
                    <w:jc w:val="center"/>
                    <w:rPr>
                      <w:sz w:val="22"/>
                      <w:szCs w:val="22"/>
                    </w:rPr>
                  </w:pPr>
                </w:p>
              </w:tc>
              <w:tc>
                <w:tcPr>
                  <w:tcW w:w="3375" w:type="dxa"/>
                  <w:vAlign w:val="center"/>
                </w:tcPr>
                <w:p w14:paraId="342AD568">
                  <w:pPr>
                    <w:spacing w:before="24" w:beforeLines="10" w:line="300" w:lineRule="exact"/>
                    <w:jc w:val="left"/>
                    <w:rPr>
                      <w:sz w:val="22"/>
                      <w:szCs w:val="22"/>
                    </w:rPr>
                  </w:pPr>
                  <w:r>
                    <w:rPr>
                      <w:sz w:val="22"/>
                      <w:szCs w:val="22"/>
                    </w:rPr>
                    <w:t>粉状、粒状VOCs物料应采用气力输送设备、管状带式输送机、螺旋输送机等密闭输送方式，或者采用密闭的包装袋、容器或罐车进行物料转移</w:t>
                  </w:r>
                </w:p>
              </w:tc>
              <w:tc>
                <w:tcPr>
                  <w:tcW w:w="2421" w:type="dxa"/>
                  <w:vAlign w:val="center"/>
                </w:tcPr>
                <w:p w14:paraId="6A49D69D">
                  <w:pPr>
                    <w:spacing w:before="24" w:beforeLines="10" w:line="300" w:lineRule="exact"/>
                    <w:rPr>
                      <w:sz w:val="22"/>
                      <w:szCs w:val="22"/>
                    </w:rPr>
                  </w:pPr>
                  <w:r>
                    <w:rPr>
                      <w:sz w:val="22"/>
                      <w:szCs w:val="22"/>
                    </w:rPr>
                    <w:t>不涉及粉状、颗粒状VOCs物料</w:t>
                  </w:r>
                  <w:r>
                    <w:rPr>
                      <w:rFonts w:hint="eastAsia"/>
                      <w:sz w:val="22"/>
                      <w:szCs w:val="22"/>
                    </w:rPr>
                    <w:t>。</w:t>
                  </w:r>
                </w:p>
              </w:tc>
              <w:tc>
                <w:tcPr>
                  <w:tcW w:w="845" w:type="dxa"/>
                  <w:vAlign w:val="center"/>
                </w:tcPr>
                <w:p w14:paraId="2DBB2B17">
                  <w:pPr>
                    <w:spacing w:before="24" w:beforeLines="10" w:line="300" w:lineRule="exact"/>
                    <w:jc w:val="center"/>
                    <w:rPr>
                      <w:sz w:val="22"/>
                      <w:szCs w:val="22"/>
                    </w:rPr>
                  </w:pPr>
                  <w:r>
                    <w:rPr>
                      <w:sz w:val="22"/>
                      <w:szCs w:val="22"/>
                    </w:rPr>
                    <w:t>符合</w:t>
                  </w:r>
                </w:p>
              </w:tc>
            </w:tr>
            <w:tr w14:paraId="7343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038096EE">
                  <w:pPr>
                    <w:spacing w:before="24" w:beforeLines="10" w:line="300" w:lineRule="exact"/>
                    <w:jc w:val="center"/>
                    <w:rPr>
                      <w:sz w:val="22"/>
                      <w:szCs w:val="22"/>
                    </w:rPr>
                  </w:pPr>
                </w:p>
              </w:tc>
              <w:tc>
                <w:tcPr>
                  <w:tcW w:w="3375" w:type="dxa"/>
                  <w:vAlign w:val="center"/>
                </w:tcPr>
                <w:p w14:paraId="772AE706">
                  <w:pPr>
                    <w:spacing w:before="24" w:beforeLines="10" w:line="300" w:lineRule="exact"/>
                    <w:rPr>
                      <w:sz w:val="22"/>
                      <w:szCs w:val="22"/>
                    </w:rPr>
                  </w:pPr>
                  <w:r>
                    <w:rPr>
                      <w:sz w:val="22"/>
                      <w:szCs w:val="22"/>
                    </w:rPr>
                    <w:t>对挥发性有机液体进行装载时，应符合以下要求：</w:t>
                  </w:r>
                </w:p>
                <w:p w14:paraId="43EDD037">
                  <w:pPr>
                    <w:spacing w:before="24" w:beforeLines="10" w:line="300" w:lineRule="exact"/>
                    <w:rPr>
                      <w:sz w:val="22"/>
                      <w:szCs w:val="22"/>
                    </w:rPr>
                  </w:pPr>
                  <w:r>
                    <w:rPr>
                      <w:sz w:val="22"/>
                      <w:szCs w:val="22"/>
                    </w:rPr>
                    <w:t>装载特别控制要求：</w:t>
                  </w:r>
                </w:p>
                <w:p w14:paraId="1559B250">
                  <w:pPr>
                    <w:spacing w:before="24" w:beforeLines="10" w:line="300" w:lineRule="exact"/>
                    <w:rPr>
                      <w:sz w:val="22"/>
                      <w:szCs w:val="22"/>
                    </w:rPr>
                  </w:pPr>
                  <w:r>
                    <w:rPr>
                      <w:sz w:val="22"/>
                      <w:szCs w:val="22"/>
                    </w:rPr>
                    <w:t>装载物料真实蒸气压≥27.6kPa 且单一装载设施的年装载量≥500 m</w:t>
                  </w:r>
                  <w:r>
                    <w:rPr>
                      <w:sz w:val="22"/>
                      <w:szCs w:val="22"/>
                      <w:vertAlign w:val="superscript"/>
                    </w:rPr>
                    <w:t>3</w:t>
                  </w:r>
                  <w:r>
                    <w:rPr>
                      <w:sz w:val="22"/>
                      <w:szCs w:val="22"/>
                    </w:rPr>
                    <w:t>，以及装载物料真实蒸气压≥5.2kPa但&lt;27.6kPa 且单一装载设施的年装载量≥2500m</w:t>
                  </w:r>
                  <w:r>
                    <w:rPr>
                      <w:sz w:val="22"/>
                      <w:szCs w:val="22"/>
                      <w:vertAlign w:val="superscript"/>
                    </w:rPr>
                    <w:t>3</w:t>
                  </w:r>
                  <w:r>
                    <w:rPr>
                      <w:sz w:val="22"/>
                      <w:szCs w:val="22"/>
                    </w:rPr>
                    <w:t>的，装载过程应符合下列规定之一：</w:t>
                  </w:r>
                </w:p>
                <w:p w14:paraId="2D1A62DB">
                  <w:pPr>
                    <w:spacing w:before="24" w:beforeLines="10" w:line="300" w:lineRule="exact"/>
                    <w:rPr>
                      <w:sz w:val="22"/>
                      <w:szCs w:val="22"/>
                    </w:rPr>
                  </w:pPr>
                  <w:r>
                    <w:rPr>
                      <w:sz w:val="22"/>
                      <w:szCs w:val="22"/>
                    </w:rPr>
                    <w:t>a)排放的废气应收集处理并满足相关行业排放标准的要求(无行业排放标准的应满足GB16297的要求)，或者处理效率不低于90%；</w:t>
                  </w:r>
                </w:p>
                <w:p w14:paraId="684F4373">
                  <w:pPr>
                    <w:spacing w:before="24" w:beforeLines="10" w:line="300" w:lineRule="exact"/>
                    <w:rPr>
                      <w:sz w:val="22"/>
                      <w:szCs w:val="22"/>
                    </w:rPr>
                  </w:pPr>
                  <w:r>
                    <w:rPr>
                      <w:sz w:val="22"/>
                      <w:szCs w:val="22"/>
                    </w:rPr>
                    <w:t>b)排放的废气连接至气相平衡系统。</w:t>
                  </w:r>
                </w:p>
              </w:tc>
              <w:tc>
                <w:tcPr>
                  <w:tcW w:w="2421" w:type="dxa"/>
                  <w:vAlign w:val="center"/>
                </w:tcPr>
                <w:p w14:paraId="43DB6F17">
                  <w:pPr>
                    <w:spacing w:before="24" w:beforeLines="10" w:line="300" w:lineRule="exact"/>
                    <w:rPr>
                      <w:sz w:val="22"/>
                      <w:szCs w:val="22"/>
                    </w:rPr>
                  </w:pPr>
                  <w:r>
                    <w:rPr>
                      <w:rFonts w:hint="eastAsia"/>
                      <w:sz w:val="22"/>
                      <w:szCs w:val="22"/>
                    </w:rPr>
                    <w:t>加油站油气回收装置的液阻、密闭性、气液比均《加油站大气污染物排放标准》（GB 20952-2020）。</w:t>
                  </w:r>
                </w:p>
              </w:tc>
              <w:tc>
                <w:tcPr>
                  <w:tcW w:w="845" w:type="dxa"/>
                  <w:vAlign w:val="center"/>
                </w:tcPr>
                <w:p w14:paraId="544196CD">
                  <w:pPr>
                    <w:spacing w:before="24" w:beforeLines="10" w:line="300" w:lineRule="exact"/>
                    <w:jc w:val="center"/>
                    <w:rPr>
                      <w:sz w:val="22"/>
                      <w:szCs w:val="22"/>
                    </w:rPr>
                  </w:pPr>
                  <w:r>
                    <w:rPr>
                      <w:rFonts w:hint="eastAsia"/>
                      <w:sz w:val="22"/>
                      <w:szCs w:val="22"/>
                    </w:rPr>
                    <w:t>符合</w:t>
                  </w:r>
                </w:p>
              </w:tc>
            </w:tr>
            <w:tr w14:paraId="5115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Merge w:val="restart"/>
                  <w:vAlign w:val="center"/>
                </w:tcPr>
                <w:p w14:paraId="71622160">
                  <w:pPr>
                    <w:spacing w:before="24" w:beforeLines="10" w:line="300" w:lineRule="exact"/>
                    <w:jc w:val="center"/>
                    <w:rPr>
                      <w:sz w:val="22"/>
                      <w:szCs w:val="22"/>
                    </w:rPr>
                  </w:pPr>
                  <w:r>
                    <w:rPr>
                      <w:sz w:val="22"/>
                      <w:szCs w:val="22"/>
                    </w:rPr>
                    <w:t>工艺过</w:t>
                  </w:r>
                </w:p>
                <w:p w14:paraId="5CA750F1">
                  <w:pPr>
                    <w:spacing w:before="24" w:beforeLines="10" w:line="300" w:lineRule="exact"/>
                    <w:jc w:val="center"/>
                    <w:rPr>
                      <w:sz w:val="22"/>
                      <w:szCs w:val="22"/>
                    </w:rPr>
                  </w:pPr>
                  <w:r>
                    <w:rPr>
                      <w:sz w:val="22"/>
                      <w:szCs w:val="22"/>
                    </w:rPr>
                    <w:t>程</w:t>
                  </w:r>
                </w:p>
                <w:p w14:paraId="19D90B24">
                  <w:pPr>
                    <w:spacing w:before="24" w:beforeLines="10" w:line="300" w:lineRule="exact"/>
                    <w:jc w:val="center"/>
                    <w:rPr>
                      <w:sz w:val="22"/>
                      <w:szCs w:val="22"/>
                    </w:rPr>
                  </w:pPr>
                  <w:r>
                    <w:rPr>
                      <w:sz w:val="22"/>
                      <w:szCs w:val="22"/>
                    </w:rPr>
                    <w:t>VOCs</w:t>
                  </w:r>
                </w:p>
                <w:p w14:paraId="368D1289">
                  <w:pPr>
                    <w:spacing w:before="24" w:beforeLines="10" w:line="300" w:lineRule="exact"/>
                    <w:jc w:val="center"/>
                    <w:rPr>
                      <w:sz w:val="22"/>
                      <w:szCs w:val="22"/>
                    </w:rPr>
                  </w:pPr>
                  <w:r>
                    <w:rPr>
                      <w:sz w:val="22"/>
                      <w:szCs w:val="22"/>
                    </w:rPr>
                    <w:t>无组织</w:t>
                  </w:r>
                </w:p>
                <w:p w14:paraId="5D0CDCEC">
                  <w:pPr>
                    <w:spacing w:before="24" w:beforeLines="10" w:line="300" w:lineRule="exact"/>
                    <w:jc w:val="center"/>
                    <w:rPr>
                      <w:sz w:val="22"/>
                      <w:szCs w:val="22"/>
                    </w:rPr>
                  </w:pPr>
                  <w:r>
                    <w:rPr>
                      <w:sz w:val="22"/>
                      <w:szCs w:val="22"/>
                    </w:rPr>
                    <w:t>排放控</w:t>
                  </w:r>
                </w:p>
                <w:p w14:paraId="51842AB1">
                  <w:pPr>
                    <w:spacing w:before="24" w:beforeLines="10" w:line="300" w:lineRule="exact"/>
                    <w:jc w:val="center"/>
                    <w:rPr>
                      <w:sz w:val="22"/>
                      <w:szCs w:val="22"/>
                    </w:rPr>
                  </w:pPr>
                  <w:r>
                    <w:rPr>
                      <w:sz w:val="22"/>
                      <w:szCs w:val="22"/>
                    </w:rPr>
                    <w:t>制要求</w:t>
                  </w:r>
                </w:p>
              </w:tc>
              <w:tc>
                <w:tcPr>
                  <w:tcW w:w="3375" w:type="dxa"/>
                  <w:vAlign w:val="center"/>
                </w:tcPr>
                <w:p w14:paraId="5666A3CA">
                  <w:pPr>
                    <w:spacing w:before="24" w:beforeLines="10" w:line="300" w:lineRule="exact"/>
                    <w:jc w:val="left"/>
                    <w:rPr>
                      <w:sz w:val="22"/>
                      <w:szCs w:val="22"/>
                    </w:rPr>
                  </w:pPr>
                  <w:r>
                    <w:rPr>
                      <w:sz w:val="22"/>
                      <w:szCs w:val="22"/>
                    </w:rPr>
                    <w:t>VOCs质量占比大于等于10%的含VOCs产品，其使用过程应采用密闭设备或在密闭空间内操作，废气应排至VOCs废气收集处理系统；无法密闭的，应采取局部气体收集措施，废气应排至VOCs 废气收集处理系统。</w:t>
                  </w:r>
                </w:p>
              </w:tc>
              <w:tc>
                <w:tcPr>
                  <w:tcW w:w="2421" w:type="dxa"/>
                  <w:vAlign w:val="center"/>
                </w:tcPr>
                <w:p w14:paraId="3AA64DE8">
                  <w:pPr>
                    <w:spacing w:before="24" w:beforeLines="10" w:line="300" w:lineRule="exact"/>
                    <w:rPr>
                      <w:sz w:val="22"/>
                      <w:szCs w:val="22"/>
                    </w:rPr>
                  </w:pPr>
                  <w:r>
                    <w:rPr>
                      <w:rFonts w:hint="eastAsia"/>
                      <w:spacing w:val="-2"/>
                      <w:kern w:val="0"/>
                      <w:sz w:val="22"/>
                      <w:szCs w:val="22"/>
                    </w:rPr>
                    <w:t>本项目</w:t>
                  </w:r>
                  <w:r>
                    <w:rPr>
                      <w:rFonts w:hint="eastAsia"/>
                      <w:sz w:val="22"/>
                      <w:szCs w:val="22"/>
                    </w:rPr>
                    <w:t>加油站采用埋地双层输油管道，采用密闭油罐车对储油罐进行物料输送。</w:t>
                  </w:r>
                  <w:r>
                    <w:rPr>
                      <w:rFonts w:hint="eastAsia"/>
                      <w:spacing w:val="-2"/>
                      <w:kern w:val="0"/>
                      <w:sz w:val="22"/>
                      <w:szCs w:val="22"/>
                    </w:rPr>
                    <w:t>本项目汽油加油、卸油</w:t>
                  </w:r>
                  <w:r>
                    <w:rPr>
                      <w:rFonts w:hint="eastAsia"/>
                      <w:spacing w:val="-2"/>
                      <w:kern w:val="0"/>
                      <w:sz w:val="22"/>
                      <w:szCs w:val="22"/>
                      <w:lang w:eastAsia="zh-CN"/>
                    </w:rPr>
                    <w:t>、</w:t>
                  </w:r>
                  <w:r>
                    <w:rPr>
                      <w:rFonts w:hint="eastAsia"/>
                      <w:spacing w:val="-2"/>
                      <w:kern w:val="0"/>
                      <w:sz w:val="22"/>
                      <w:szCs w:val="22"/>
                      <w:lang w:val="en-US" w:eastAsia="zh-CN"/>
                    </w:rPr>
                    <w:t>储油</w:t>
                  </w:r>
                  <w:r>
                    <w:rPr>
                      <w:rFonts w:hint="eastAsia"/>
                      <w:spacing w:val="-2"/>
                      <w:kern w:val="0"/>
                      <w:sz w:val="22"/>
                      <w:szCs w:val="22"/>
                    </w:rPr>
                    <w:t>系统</w:t>
                  </w:r>
                  <w:r>
                    <w:rPr>
                      <w:rFonts w:hint="eastAsia"/>
                      <w:spacing w:val="-2"/>
                      <w:kern w:val="0"/>
                      <w:sz w:val="22"/>
                      <w:szCs w:val="22"/>
                      <w:lang w:val="en-US" w:eastAsia="zh-CN"/>
                    </w:rPr>
                    <w:t>均</w:t>
                  </w:r>
                  <w:r>
                    <w:rPr>
                      <w:rFonts w:hint="eastAsia"/>
                      <w:spacing w:val="-2"/>
                      <w:kern w:val="0"/>
                      <w:sz w:val="22"/>
                      <w:szCs w:val="22"/>
                    </w:rPr>
                    <w:t>设置有油气回收装置。</w:t>
                  </w:r>
                </w:p>
              </w:tc>
              <w:tc>
                <w:tcPr>
                  <w:tcW w:w="845" w:type="dxa"/>
                  <w:vAlign w:val="center"/>
                </w:tcPr>
                <w:p w14:paraId="190788BD">
                  <w:pPr>
                    <w:spacing w:before="24" w:beforeLines="10" w:line="300" w:lineRule="exact"/>
                    <w:jc w:val="center"/>
                    <w:rPr>
                      <w:sz w:val="22"/>
                      <w:szCs w:val="22"/>
                    </w:rPr>
                  </w:pPr>
                  <w:r>
                    <w:rPr>
                      <w:sz w:val="22"/>
                      <w:szCs w:val="22"/>
                    </w:rPr>
                    <w:t>符合</w:t>
                  </w:r>
                </w:p>
              </w:tc>
            </w:tr>
            <w:tr w14:paraId="2FE4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3DADAC35">
                  <w:pPr>
                    <w:spacing w:before="24" w:beforeLines="10" w:line="300" w:lineRule="exact"/>
                    <w:jc w:val="center"/>
                    <w:rPr>
                      <w:sz w:val="22"/>
                      <w:szCs w:val="22"/>
                    </w:rPr>
                  </w:pPr>
                </w:p>
              </w:tc>
              <w:tc>
                <w:tcPr>
                  <w:tcW w:w="3375" w:type="dxa"/>
                  <w:vAlign w:val="center"/>
                </w:tcPr>
                <w:p w14:paraId="4AB44046">
                  <w:pPr>
                    <w:spacing w:before="24" w:beforeLines="10" w:line="300" w:lineRule="exact"/>
                    <w:jc w:val="left"/>
                    <w:rPr>
                      <w:sz w:val="22"/>
                      <w:szCs w:val="22"/>
                    </w:rPr>
                  </w:pPr>
                  <w:r>
                    <w:rPr>
                      <w:sz w:val="22"/>
                      <w:szCs w:val="22"/>
                    </w:rPr>
                    <w:t>企业应建立台账，记录含VOCs原辅材料和含VOCs产品的名称、使用量、回收量、废弃量、去向以及VOCs含量等信息。台账保存期限不少于3年。</w:t>
                  </w:r>
                </w:p>
              </w:tc>
              <w:tc>
                <w:tcPr>
                  <w:tcW w:w="2421" w:type="dxa"/>
                  <w:vAlign w:val="center"/>
                </w:tcPr>
                <w:p w14:paraId="0012A12A">
                  <w:pPr>
                    <w:spacing w:before="24" w:beforeLines="10" w:line="300" w:lineRule="exact"/>
                    <w:rPr>
                      <w:sz w:val="22"/>
                      <w:szCs w:val="22"/>
                    </w:rPr>
                  </w:pPr>
                  <w:r>
                    <w:rPr>
                      <w:rFonts w:hint="eastAsia"/>
                      <w:sz w:val="22"/>
                      <w:szCs w:val="22"/>
                      <w:lang w:val="en-US" w:eastAsia="zh-CN"/>
                    </w:rPr>
                    <w:t>项目建成运营后将</w:t>
                  </w:r>
                  <w:r>
                    <w:rPr>
                      <w:sz w:val="22"/>
                      <w:szCs w:val="22"/>
                    </w:rPr>
                    <w:t>按要求建立台账并</w:t>
                  </w:r>
                  <w:r>
                    <w:rPr>
                      <w:rFonts w:hint="eastAsia"/>
                      <w:sz w:val="22"/>
                      <w:szCs w:val="22"/>
                      <w:lang w:val="en-US" w:eastAsia="zh-CN"/>
                    </w:rPr>
                    <w:t>妥善</w:t>
                  </w:r>
                  <w:r>
                    <w:rPr>
                      <w:sz w:val="22"/>
                      <w:szCs w:val="22"/>
                    </w:rPr>
                    <w:t>保存</w:t>
                  </w:r>
                  <w:r>
                    <w:rPr>
                      <w:rFonts w:hint="eastAsia"/>
                      <w:sz w:val="22"/>
                      <w:szCs w:val="22"/>
                      <w:lang w:eastAsia="zh-CN"/>
                    </w:rPr>
                    <w:t>，</w:t>
                  </w:r>
                  <w:r>
                    <w:rPr>
                      <w:rFonts w:hint="eastAsia"/>
                      <w:sz w:val="22"/>
                      <w:szCs w:val="22"/>
                      <w:lang w:val="en-US" w:eastAsia="zh-CN"/>
                    </w:rPr>
                    <w:t>台账保存期限不少于5年</w:t>
                  </w:r>
                  <w:r>
                    <w:rPr>
                      <w:rFonts w:hint="eastAsia"/>
                      <w:sz w:val="22"/>
                      <w:szCs w:val="22"/>
                    </w:rPr>
                    <w:t>。</w:t>
                  </w:r>
                </w:p>
              </w:tc>
              <w:tc>
                <w:tcPr>
                  <w:tcW w:w="845" w:type="dxa"/>
                  <w:vAlign w:val="center"/>
                </w:tcPr>
                <w:p w14:paraId="65BD72AA">
                  <w:pPr>
                    <w:spacing w:before="24" w:beforeLines="10" w:line="300" w:lineRule="exact"/>
                    <w:jc w:val="center"/>
                    <w:rPr>
                      <w:sz w:val="22"/>
                      <w:szCs w:val="22"/>
                    </w:rPr>
                  </w:pPr>
                  <w:r>
                    <w:rPr>
                      <w:sz w:val="22"/>
                      <w:szCs w:val="22"/>
                    </w:rPr>
                    <w:t>符合</w:t>
                  </w:r>
                </w:p>
              </w:tc>
            </w:tr>
            <w:tr w14:paraId="2059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79F08059">
                  <w:pPr>
                    <w:spacing w:before="24" w:beforeLines="10" w:line="300" w:lineRule="exact"/>
                    <w:jc w:val="center"/>
                    <w:rPr>
                      <w:sz w:val="22"/>
                      <w:szCs w:val="22"/>
                    </w:rPr>
                  </w:pPr>
                </w:p>
              </w:tc>
              <w:tc>
                <w:tcPr>
                  <w:tcW w:w="3375" w:type="dxa"/>
                  <w:vAlign w:val="center"/>
                </w:tcPr>
                <w:p w14:paraId="1A78C634">
                  <w:pPr>
                    <w:spacing w:before="24" w:beforeLines="10" w:line="300" w:lineRule="exact"/>
                    <w:jc w:val="left"/>
                    <w:rPr>
                      <w:sz w:val="22"/>
                      <w:szCs w:val="22"/>
                    </w:rPr>
                  </w:pPr>
                  <w:r>
                    <w:rPr>
                      <w:sz w:val="22"/>
                      <w:szCs w:val="22"/>
                    </w:rPr>
                    <w:t>通风生产设备、操作工位、车间厂房等应在符合安全生产、职业卫生相关规定的前提下，根据行业作业规程与标准、工业建筑及洁净厂房通风设计规范等的要求，采用合理的通风量</w:t>
                  </w:r>
                </w:p>
              </w:tc>
              <w:tc>
                <w:tcPr>
                  <w:tcW w:w="2421" w:type="dxa"/>
                  <w:vAlign w:val="center"/>
                </w:tcPr>
                <w:p w14:paraId="265873B6">
                  <w:pPr>
                    <w:spacing w:before="24" w:beforeLines="10" w:line="300" w:lineRule="exact"/>
                    <w:rPr>
                      <w:sz w:val="22"/>
                      <w:szCs w:val="22"/>
                    </w:rPr>
                  </w:pPr>
                  <w:r>
                    <w:rPr>
                      <w:sz w:val="22"/>
                      <w:szCs w:val="22"/>
                    </w:rPr>
                    <w:t>按安全生产、职业卫生及行业规范采取合理的通风量</w:t>
                  </w:r>
                  <w:r>
                    <w:rPr>
                      <w:rFonts w:hint="eastAsia"/>
                      <w:sz w:val="22"/>
                      <w:szCs w:val="22"/>
                    </w:rPr>
                    <w:t>。</w:t>
                  </w:r>
                </w:p>
              </w:tc>
              <w:tc>
                <w:tcPr>
                  <w:tcW w:w="845" w:type="dxa"/>
                  <w:vAlign w:val="center"/>
                </w:tcPr>
                <w:p w14:paraId="2A5BD726">
                  <w:pPr>
                    <w:spacing w:before="24" w:beforeLines="10" w:line="300" w:lineRule="exact"/>
                    <w:jc w:val="center"/>
                    <w:rPr>
                      <w:sz w:val="22"/>
                      <w:szCs w:val="22"/>
                    </w:rPr>
                  </w:pPr>
                  <w:r>
                    <w:rPr>
                      <w:sz w:val="22"/>
                      <w:szCs w:val="22"/>
                    </w:rPr>
                    <w:t>符合</w:t>
                  </w:r>
                </w:p>
              </w:tc>
            </w:tr>
            <w:tr w14:paraId="41A2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27417D4F">
                  <w:pPr>
                    <w:spacing w:before="24" w:beforeLines="10" w:line="300" w:lineRule="exact"/>
                    <w:jc w:val="center"/>
                    <w:rPr>
                      <w:sz w:val="22"/>
                      <w:szCs w:val="22"/>
                    </w:rPr>
                  </w:pPr>
                </w:p>
              </w:tc>
              <w:tc>
                <w:tcPr>
                  <w:tcW w:w="3375" w:type="dxa"/>
                  <w:vAlign w:val="center"/>
                </w:tcPr>
                <w:p w14:paraId="16710B9B">
                  <w:pPr>
                    <w:spacing w:before="24" w:beforeLines="10" w:line="300" w:lineRule="exact"/>
                    <w:jc w:val="left"/>
                    <w:rPr>
                      <w:sz w:val="22"/>
                      <w:szCs w:val="22"/>
                    </w:rPr>
                  </w:pPr>
                  <w:r>
                    <w:rPr>
                      <w:sz w:val="22"/>
                      <w:szCs w:val="22"/>
                    </w:rPr>
                    <w:t>载有VOCs物料的设备及其管道在开停工(车)、检维修和清洗时，应在退料阶段将残存物料退净，并用密闭容器盛装，退料过程废气应排至VOCs 废气收集处理系统，清洗及吹扫过程排气应排至 VOCs废气收集处理系统</w:t>
                  </w:r>
                </w:p>
              </w:tc>
              <w:tc>
                <w:tcPr>
                  <w:tcW w:w="2421" w:type="dxa"/>
                  <w:vAlign w:val="center"/>
                </w:tcPr>
                <w:p w14:paraId="099A8854">
                  <w:pPr>
                    <w:adjustRightInd w:val="0"/>
                    <w:snapToGrid w:val="0"/>
                    <w:rPr>
                      <w:sz w:val="22"/>
                      <w:szCs w:val="22"/>
                    </w:rPr>
                  </w:pPr>
                  <w:r>
                    <w:rPr>
                      <w:rFonts w:hint="eastAsia"/>
                      <w:sz w:val="22"/>
                      <w:szCs w:val="22"/>
                    </w:rPr>
                    <w:t>本项目加油站储罐密封良好，其中：</w:t>
                  </w:r>
                </w:p>
                <w:p w14:paraId="086CB178">
                  <w:pPr>
                    <w:adjustRightInd w:val="0"/>
                    <w:snapToGrid w:val="0"/>
                    <w:rPr>
                      <w:sz w:val="22"/>
                      <w:szCs w:val="22"/>
                    </w:rPr>
                  </w:pPr>
                  <w:r>
                    <w:rPr>
                      <w:rFonts w:hint="eastAsia"/>
                      <w:sz w:val="22"/>
                      <w:szCs w:val="22"/>
                    </w:rPr>
                    <w:t>1）储油罐保持完好，无缝隙；</w:t>
                  </w:r>
                </w:p>
                <w:p w14:paraId="4CE10FDA">
                  <w:pPr>
                    <w:adjustRightInd w:val="0"/>
                    <w:snapToGrid w:val="0"/>
                    <w:rPr>
                      <w:sz w:val="22"/>
                      <w:szCs w:val="22"/>
                    </w:rPr>
                  </w:pPr>
                  <w:r>
                    <w:rPr>
                      <w:sz w:val="22"/>
                      <w:szCs w:val="22"/>
                    </w:rPr>
                    <w:t>2</w:t>
                  </w:r>
                  <w:r>
                    <w:rPr>
                      <w:rFonts w:hint="eastAsia"/>
                      <w:sz w:val="22"/>
                      <w:szCs w:val="22"/>
                    </w:rPr>
                    <w:t>）储油罐阀门仅在采样、计量、检查、维护等情况下打开，日常状态下关闭；</w:t>
                  </w:r>
                </w:p>
                <w:p w14:paraId="09D6ECDD">
                  <w:pPr>
                    <w:spacing w:before="24" w:beforeLines="10" w:line="300" w:lineRule="exact"/>
                    <w:rPr>
                      <w:sz w:val="22"/>
                      <w:szCs w:val="22"/>
                    </w:rPr>
                  </w:pPr>
                  <w:r>
                    <w:rPr>
                      <w:sz w:val="22"/>
                      <w:szCs w:val="22"/>
                    </w:rPr>
                    <w:t>3</w:t>
                  </w:r>
                  <w:r>
                    <w:rPr>
                      <w:rFonts w:hint="eastAsia"/>
                      <w:sz w:val="22"/>
                      <w:szCs w:val="22"/>
                    </w:rPr>
                    <w:t>）每年定期检查油气回收系统。</w:t>
                  </w:r>
                </w:p>
              </w:tc>
              <w:tc>
                <w:tcPr>
                  <w:tcW w:w="845" w:type="dxa"/>
                  <w:vAlign w:val="center"/>
                </w:tcPr>
                <w:p w14:paraId="15498C91">
                  <w:pPr>
                    <w:spacing w:before="24" w:beforeLines="10" w:line="300" w:lineRule="exact"/>
                    <w:jc w:val="center"/>
                    <w:rPr>
                      <w:sz w:val="22"/>
                      <w:szCs w:val="22"/>
                    </w:rPr>
                  </w:pPr>
                  <w:r>
                    <w:rPr>
                      <w:sz w:val="22"/>
                      <w:szCs w:val="22"/>
                    </w:rPr>
                    <w:t>符合</w:t>
                  </w:r>
                </w:p>
              </w:tc>
            </w:tr>
            <w:tr w14:paraId="5C36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095433BB">
                  <w:pPr>
                    <w:spacing w:before="24" w:beforeLines="10" w:line="300" w:lineRule="exact"/>
                    <w:jc w:val="center"/>
                    <w:rPr>
                      <w:sz w:val="22"/>
                      <w:szCs w:val="22"/>
                    </w:rPr>
                  </w:pPr>
                </w:p>
              </w:tc>
              <w:tc>
                <w:tcPr>
                  <w:tcW w:w="3375" w:type="dxa"/>
                  <w:vAlign w:val="center"/>
                </w:tcPr>
                <w:p w14:paraId="7E515529">
                  <w:pPr>
                    <w:spacing w:before="24" w:beforeLines="10" w:line="300" w:lineRule="exact"/>
                    <w:jc w:val="left"/>
                    <w:rPr>
                      <w:sz w:val="22"/>
                      <w:szCs w:val="22"/>
                    </w:rPr>
                  </w:pPr>
                  <w:r>
                    <w:rPr>
                      <w:sz w:val="22"/>
                      <w:szCs w:val="22"/>
                    </w:rPr>
                    <w:t>工艺过程产生的含VOCs废料(渣、液)应按照第5章、第6章的要求进行储存、转移和输送。盛装过VOCs物料的废包装容器应加盖密闭</w:t>
                  </w:r>
                </w:p>
              </w:tc>
              <w:tc>
                <w:tcPr>
                  <w:tcW w:w="2421" w:type="dxa"/>
                  <w:vAlign w:val="center"/>
                </w:tcPr>
                <w:p w14:paraId="113D09FF">
                  <w:pPr>
                    <w:spacing w:before="24" w:beforeLines="10" w:line="300" w:lineRule="exact"/>
                    <w:rPr>
                      <w:sz w:val="22"/>
                      <w:szCs w:val="22"/>
                    </w:rPr>
                  </w:pPr>
                  <w:r>
                    <w:rPr>
                      <w:sz w:val="22"/>
                      <w:szCs w:val="22"/>
                    </w:rPr>
                    <w:t>本项目</w:t>
                  </w:r>
                  <w:r>
                    <w:rPr>
                      <w:rFonts w:hint="eastAsia"/>
                      <w:sz w:val="22"/>
                      <w:szCs w:val="22"/>
                    </w:rPr>
                    <w:t>对检修及运营过程中产生的</w:t>
                  </w:r>
                  <w:r>
                    <w:rPr>
                      <w:sz w:val="22"/>
                      <w:szCs w:val="22"/>
                    </w:rPr>
                    <w:t>VOCs</w:t>
                  </w:r>
                  <w:r>
                    <w:rPr>
                      <w:rFonts w:hint="eastAsia"/>
                      <w:sz w:val="22"/>
                      <w:szCs w:val="22"/>
                    </w:rPr>
                    <w:t>废渣、液，对</w:t>
                  </w:r>
                  <w:r>
                    <w:rPr>
                      <w:sz w:val="22"/>
                      <w:szCs w:val="22"/>
                    </w:rPr>
                    <w:t>盛装过VOCs物料的废包装容器加盖密闭</w:t>
                  </w:r>
                  <w:r>
                    <w:rPr>
                      <w:rFonts w:hint="eastAsia"/>
                      <w:sz w:val="22"/>
                      <w:szCs w:val="22"/>
                    </w:rPr>
                    <w:t>转移。</w:t>
                  </w:r>
                </w:p>
              </w:tc>
              <w:tc>
                <w:tcPr>
                  <w:tcW w:w="845" w:type="dxa"/>
                  <w:vAlign w:val="center"/>
                </w:tcPr>
                <w:p w14:paraId="6DB5381A">
                  <w:pPr>
                    <w:spacing w:before="24" w:beforeLines="10" w:line="300" w:lineRule="exact"/>
                    <w:jc w:val="center"/>
                    <w:rPr>
                      <w:sz w:val="22"/>
                      <w:szCs w:val="22"/>
                    </w:rPr>
                  </w:pPr>
                  <w:r>
                    <w:rPr>
                      <w:sz w:val="22"/>
                      <w:szCs w:val="22"/>
                    </w:rPr>
                    <w:t>符合</w:t>
                  </w:r>
                </w:p>
              </w:tc>
            </w:tr>
            <w:tr w14:paraId="36FC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restart"/>
                  <w:vAlign w:val="center"/>
                </w:tcPr>
                <w:p w14:paraId="258396AD">
                  <w:pPr>
                    <w:spacing w:before="24" w:beforeLines="10" w:line="300" w:lineRule="exact"/>
                    <w:jc w:val="center"/>
                    <w:rPr>
                      <w:sz w:val="22"/>
                      <w:szCs w:val="22"/>
                    </w:rPr>
                  </w:pPr>
                  <w:r>
                    <w:rPr>
                      <w:sz w:val="22"/>
                      <w:szCs w:val="22"/>
                    </w:rPr>
                    <w:t>VOCs无组织排放废</w:t>
                  </w:r>
                </w:p>
                <w:p w14:paraId="4438273D">
                  <w:pPr>
                    <w:spacing w:before="24" w:beforeLines="10" w:line="300" w:lineRule="exact"/>
                    <w:jc w:val="center"/>
                    <w:rPr>
                      <w:sz w:val="22"/>
                      <w:szCs w:val="22"/>
                    </w:rPr>
                  </w:pPr>
                  <w:r>
                    <w:rPr>
                      <w:sz w:val="22"/>
                      <w:szCs w:val="22"/>
                    </w:rPr>
                    <w:t>气收集处理系统要求</w:t>
                  </w:r>
                </w:p>
              </w:tc>
              <w:tc>
                <w:tcPr>
                  <w:tcW w:w="3375" w:type="dxa"/>
                  <w:vAlign w:val="center"/>
                </w:tcPr>
                <w:p w14:paraId="3946386F">
                  <w:pPr>
                    <w:spacing w:before="24" w:beforeLines="10" w:line="300" w:lineRule="exact"/>
                    <w:jc w:val="left"/>
                    <w:rPr>
                      <w:sz w:val="22"/>
                      <w:szCs w:val="22"/>
                    </w:rPr>
                  </w:pPr>
                  <w:r>
                    <w:rPr>
                      <w:sz w:val="22"/>
                      <w:szCs w:val="22"/>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421" w:type="dxa"/>
                  <w:vAlign w:val="center"/>
                </w:tcPr>
                <w:p w14:paraId="55EFDC08">
                  <w:pPr>
                    <w:spacing w:before="24" w:beforeLines="10" w:line="300" w:lineRule="exact"/>
                    <w:rPr>
                      <w:sz w:val="22"/>
                      <w:szCs w:val="22"/>
                    </w:rPr>
                  </w:pPr>
                  <w:r>
                    <w:rPr>
                      <w:rFonts w:hint="eastAsia"/>
                      <w:sz w:val="22"/>
                      <w:szCs w:val="22"/>
                    </w:rPr>
                    <w:t>出现设备检修时及时停工停产检修恢复后方能启动运营。</w:t>
                  </w:r>
                </w:p>
              </w:tc>
              <w:tc>
                <w:tcPr>
                  <w:tcW w:w="845" w:type="dxa"/>
                  <w:vAlign w:val="center"/>
                </w:tcPr>
                <w:p w14:paraId="6DD8F359">
                  <w:pPr>
                    <w:spacing w:before="24" w:beforeLines="10" w:line="300" w:lineRule="exact"/>
                    <w:jc w:val="center"/>
                    <w:rPr>
                      <w:sz w:val="22"/>
                      <w:szCs w:val="22"/>
                    </w:rPr>
                  </w:pPr>
                  <w:r>
                    <w:rPr>
                      <w:sz w:val="22"/>
                      <w:szCs w:val="22"/>
                    </w:rPr>
                    <w:t>符合</w:t>
                  </w:r>
                </w:p>
              </w:tc>
            </w:tr>
            <w:tr w14:paraId="0EC5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128815DD">
                  <w:pPr>
                    <w:spacing w:before="24" w:beforeLines="10" w:line="300" w:lineRule="exact"/>
                    <w:jc w:val="center"/>
                    <w:rPr>
                      <w:sz w:val="22"/>
                      <w:szCs w:val="22"/>
                    </w:rPr>
                  </w:pPr>
                </w:p>
              </w:tc>
              <w:tc>
                <w:tcPr>
                  <w:tcW w:w="3375" w:type="dxa"/>
                  <w:vAlign w:val="center"/>
                </w:tcPr>
                <w:p w14:paraId="09BB807A">
                  <w:pPr>
                    <w:spacing w:before="24" w:beforeLines="10" w:line="300" w:lineRule="exact"/>
                    <w:jc w:val="left"/>
                    <w:rPr>
                      <w:sz w:val="22"/>
                      <w:szCs w:val="22"/>
                    </w:rPr>
                  </w:pPr>
                  <w:r>
                    <w:rPr>
                      <w:sz w:val="22"/>
                      <w:szCs w:val="22"/>
                    </w:rPr>
                    <w:t>企业应考虑生产工艺、操作方式、废气性质、处理方法等因素，对VOCs 废气进行分类收集</w:t>
                  </w:r>
                </w:p>
              </w:tc>
              <w:tc>
                <w:tcPr>
                  <w:tcW w:w="2421" w:type="dxa"/>
                  <w:vAlign w:val="center"/>
                </w:tcPr>
                <w:p w14:paraId="793C7CD8">
                  <w:pPr>
                    <w:spacing w:before="24" w:beforeLines="10" w:line="300" w:lineRule="exact"/>
                    <w:rPr>
                      <w:sz w:val="22"/>
                      <w:szCs w:val="22"/>
                    </w:rPr>
                  </w:pPr>
                  <w:r>
                    <w:rPr>
                      <w:rFonts w:hint="eastAsia"/>
                      <w:spacing w:val="-2"/>
                      <w:kern w:val="0"/>
                      <w:sz w:val="22"/>
                      <w:szCs w:val="22"/>
                    </w:rPr>
                    <w:t>本项目</w:t>
                  </w:r>
                  <w:r>
                    <w:rPr>
                      <w:rFonts w:hint="eastAsia"/>
                      <w:sz w:val="22"/>
                      <w:szCs w:val="22"/>
                    </w:rPr>
                    <w:t>加油站采用埋地双层输油管道，采用密闭油罐车对储油罐进行物料输送。</w:t>
                  </w:r>
                  <w:r>
                    <w:rPr>
                      <w:rFonts w:hint="eastAsia"/>
                      <w:spacing w:val="-2"/>
                      <w:kern w:val="0"/>
                      <w:sz w:val="22"/>
                      <w:szCs w:val="22"/>
                    </w:rPr>
                    <w:t>项目汽油加油、卸油</w:t>
                  </w:r>
                  <w:r>
                    <w:rPr>
                      <w:rFonts w:hint="eastAsia"/>
                      <w:spacing w:val="-2"/>
                      <w:kern w:val="0"/>
                      <w:sz w:val="22"/>
                      <w:szCs w:val="22"/>
                      <w:lang w:eastAsia="zh-CN"/>
                    </w:rPr>
                    <w:t>、</w:t>
                  </w:r>
                  <w:r>
                    <w:rPr>
                      <w:rFonts w:hint="eastAsia"/>
                      <w:spacing w:val="-2"/>
                      <w:kern w:val="0"/>
                      <w:sz w:val="22"/>
                      <w:szCs w:val="22"/>
                      <w:lang w:val="en-US" w:eastAsia="zh-CN"/>
                    </w:rPr>
                    <w:t>储油</w:t>
                  </w:r>
                  <w:r>
                    <w:rPr>
                      <w:rFonts w:hint="eastAsia"/>
                      <w:spacing w:val="-2"/>
                      <w:kern w:val="0"/>
                      <w:sz w:val="22"/>
                      <w:szCs w:val="22"/>
                    </w:rPr>
                    <w:t>系统</w:t>
                  </w:r>
                  <w:r>
                    <w:rPr>
                      <w:rFonts w:hint="eastAsia"/>
                      <w:spacing w:val="-2"/>
                      <w:kern w:val="0"/>
                      <w:sz w:val="22"/>
                      <w:szCs w:val="22"/>
                      <w:lang w:val="en-US" w:eastAsia="zh-CN"/>
                    </w:rPr>
                    <w:t>均</w:t>
                  </w:r>
                  <w:r>
                    <w:rPr>
                      <w:rFonts w:hint="eastAsia"/>
                      <w:spacing w:val="-2"/>
                      <w:kern w:val="0"/>
                      <w:sz w:val="22"/>
                      <w:szCs w:val="22"/>
                    </w:rPr>
                    <w:t>设置有油气回收装置。</w:t>
                  </w:r>
                </w:p>
              </w:tc>
              <w:tc>
                <w:tcPr>
                  <w:tcW w:w="845" w:type="dxa"/>
                  <w:vAlign w:val="center"/>
                </w:tcPr>
                <w:p w14:paraId="208E50F9">
                  <w:pPr>
                    <w:spacing w:before="24" w:beforeLines="10" w:line="300" w:lineRule="exact"/>
                    <w:jc w:val="center"/>
                    <w:rPr>
                      <w:sz w:val="22"/>
                      <w:szCs w:val="22"/>
                    </w:rPr>
                  </w:pPr>
                  <w:r>
                    <w:rPr>
                      <w:sz w:val="22"/>
                      <w:szCs w:val="22"/>
                    </w:rPr>
                    <w:t>符合</w:t>
                  </w:r>
                </w:p>
              </w:tc>
            </w:tr>
            <w:tr w14:paraId="22F5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3C63696C">
                  <w:pPr>
                    <w:spacing w:before="24" w:beforeLines="10" w:line="300" w:lineRule="exact"/>
                    <w:jc w:val="center"/>
                    <w:rPr>
                      <w:sz w:val="22"/>
                      <w:szCs w:val="22"/>
                    </w:rPr>
                  </w:pPr>
                </w:p>
              </w:tc>
              <w:tc>
                <w:tcPr>
                  <w:tcW w:w="3375" w:type="dxa"/>
                  <w:vAlign w:val="center"/>
                </w:tcPr>
                <w:p w14:paraId="4CD03B69">
                  <w:pPr>
                    <w:spacing w:before="24" w:beforeLines="10" w:line="300" w:lineRule="exact"/>
                    <w:rPr>
                      <w:sz w:val="22"/>
                      <w:szCs w:val="22"/>
                    </w:rPr>
                  </w:pPr>
                  <w:r>
                    <w:rPr>
                      <w:sz w:val="22"/>
                      <w:szCs w:val="22"/>
                    </w:rPr>
                    <w:t>废气收集系统的输送管道应密闭。废气收集系统应在负压下运行，若处于正压状态，应对输送管道组件的密封点进行泄漏检测，泄漏检测值不应超过500umol/mol，亦不应有感官可察觉泄漏</w:t>
                  </w:r>
                </w:p>
              </w:tc>
              <w:tc>
                <w:tcPr>
                  <w:tcW w:w="2421" w:type="dxa"/>
                  <w:vAlign w:val="center"/>
                </w:tcPr>
                <w:p w14:paraId="6B84098D">
                  <w:pPr>
                    <w:spacing w:before="24" w:beforeLines="10" w:line="300" w:lineRule="exact"/>
                    <w:rPr>
                      <w:sz w:val="22"/>
                      <w:szCs w:val="22"/>
                    </w:rPr>
                  </w:pPr>
                  <w:r>
                    <w:rPr>
                      <w:rFonts w:hint="eastAsia"/>
                      <w:spacing w:val="-2"/>
                      <w:kern w:val="0"/>
                      <w:sz w:val="22"/>
                      <w:szCs w:val="22"/>
                    </w:rPr>
                    <w:t>本项目</w:t>
                  </w:r>
                  <w:r>
                    <w:rPr>
                      <w:rFonts w:hint="eastAsia"/>
                      <w:sz w:val="22"/>
                      <w:szCs w:val="22"/>
                    </w:rPr>
                    <w:t>加油站采用埋地双层输油管道，采用密闭油罐车对储油罐进行物料输送。</w:t>
                  </w:r>
                  <w:r>
                    <w:rPr>
                      <w:rFonts w:hint="eastAsia"/>
                      <w:spacing w:val="-2"/>
                      <w:kern w:val="0"/>
                      <w:sz w:val="22"/>
                      <w:szCs w:val="22"/>
                    </w:rPr>
                    <w:t>本项目采用埋地式卧室双层罐，设有汽油回收系统及自动监控设施</w:t>
                  </w:r>
                </w:p>
              </w:tc>
              <w:tc>
                <w:tcPr>
                  <w:tcW w:w="845" w:type="dxa"/>
                  <w:vAlign w:val="center"/>
                </w:tcPr>
                <w:p w14:paraId="436F6154">
                  <w:pPr>
                    <w:spacing w:before="24" w:beforeLines="10" w:line="300" w:lineRule="exact"/>
                    <w:jc w:val="center"/>
                    <w:rPr>
                      <w:sz w:val="22"/>
                      <w:szCs w:val="22"/>
                    </w:rPr>
                  </w:pPr>
                  <w:r>
                    <w:rPr>
                      <w:sz w:val="22"/>
                      <w:szCs w:val="22"/>
                    </w:rPr>
                    <w:t>符合</w:t>
                  </w:r>
                </w:p>
              </w:tc>
            </w:tr>
            <w:tr w14:paraId="6E70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Merge w:val="continue"/>
                  <w:vAlign w:val="center"/>
                </w:tcPr>
                <w:p w14:paraId="488C30C3">
                  <w:pPr>
                    <w:spacing w:before="24" w:beforeLines="10" w:line="300" w:lineRule="exact"/>
                    <w:jc w:val="center"/>
                    <w:rPr>
                      <w:sz w:val="22"/>
                      <w:szCs w:val="22"/>
                    </w:rPr>
                  </w:pPr>
                </w:p>
              </w:tc>
              <w:tc>
                <w:tcPr>
                  <w:tcW w:w="3375" w:type="dxa"/>
                  <w:vAlign w:val="center"/>
                </w:tcPr>
                <w:p w14:paraId="45377FD5">
                  <w:pPr>
                    <w:spacing w:before="24" w:beforeLines="10" w:line="300" w:lineRule="exact"/>
                    <w:rPr>
                      <w:sz w:val="22"/>
                      <w:szCs w:val="22"/>
                    </w:rPr>
                  </w:pPr>
                  <w:r>
                    <w:rPr>
                      <w:sz w:val="22"/>
                      <w:szCs w:val="22"/>
                    </w:rPr>
                    <w:t>收集的废气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2421" w:type="dxa"/>
                  <w:vAlign w:val="center"/>
                </w:tcPr>
                <w:p w14:paraId="7D2FE3CB">
                  <w:pPr>
                    <w:spacing w:before="24" w:beforeLines="10" w:line="300" w:lineRule="exact"/>
                    <w:rPr>
                      <w:sz w:val="22"/>
                      <w:szCs w:val="22"/>
                    </w:rPr>
                  </w:pPr>
                  <w:r>
                    <w:rPr>
                      <w:rFonts w:hint="eastAsia"/>
                      <w:spacing w:val="-2"/>
                      <w:kern w:val="0"/>
                      <w:sz w:val="22"/>
                      <w:szCs w:val="22"/>
                    </w:rPr>
                    <w:t>本项目汽油加油、卸油</w:t>
                  </w:r>
                  <w:r>
                    <w:rPr>
                      <w:rFonts w:hint="eastAsia"/>
                      <w:spacing w:val="-2"/>
                      <w:kern w:val="0"/>
                      <w:sz w:val="22"/>
                      <w:szCs w:val="22"/>
                      <w:lang w:eastAsia="zh-CN"/>
                    </w:rPr>
                    <w:t>、</w:t>
                  </w:r>
                  <w:r>
                    <w:rPr>
                      <w:rFonts w:hint="eastAsia"/>
                      <w:spacing w:val="-2"/>
                      <w:kern w:val="0"/>
                      <w:sz w:val="22"/>
                      <w:szCs w:val="22"/>
                      <w:lang w:val="en-US" w:eastAsia="zh-CN"/>
                    </w:rPr>
                    <w:t>储油</w:t>
                  </w:r>
                  <w:r>
                    <w:rPr>
                      <w:rFonts w:hint="eastAsia"/>
                      <w:spacing w:val="-2"/>
                      <w:kern w:val="0"/>
                      <w:sz w:val="22"/>
                      <w:szCs w:val="22"/>
                    </w:rPr>
                    <w:t>系统</w:t>
                  </w:r>
                  <w:r>
                    <w:rPr>
                      <w:rFonts w:hint="eastAsia"/>
                      <w:spacing w:val="-2"/>
                      <w:kern w:val="0"/>
                      <w:sz w:val="22"/>
                      <w:szCs w:val="22"/>
                      <w:lang w:val="en-US" w:eastAsia="zh-CN"/>
                    </w:rPr>
                    <w:t>均</w:t>
                  </w:r>
                  <w:r>
                    <w:rPr>
                      <w:rFonts w:hint="eastAsia"/>
                      <w:spacing w:val="-2"/>
                      <w:kern w:val="0"/>
                      <w:sz w:val="22"/>
                      <w:szCs w:val="22"/>
                    </w:rPr>
                    <w:t>设置有油气回收装置。</w:t>
                  </w:r>
                </w:p>
              </w:tc>
              <w:tc>
                <w:tcPr>
                  <w:tcW w:w="845" w:type="dxa"/>
                  <w:vAlign w:val="center"/>
                </w:tcPr>
                <w:p w14:paraId="3142E5A6">
                  <w:pPr>
                    <w:spacing w:before="24" w:beforeLines="10" w:line="300" w:lineRule="exact"/>
                    <w:jc w:val="center"/>
                    <w:rPr>
                      <w:sz w:val="22"/>
                      <w:szCs w:val="22"/>
                    </w:rPr>
                  </w:pPr>
                  <w:r>
                    <w:rPr>
                      <w:sz w:val="22"/>
                      <w:szCs w:val="22"/>
                    </w:rPr>
                    <w:t>符合</w:t>
                  </w:r>
                </w:p>
              </w:tc>
            </w:tr>
          </w:tbl>
          <w:p w14:paraId="4A696BE8">
            <w:pPr>
              <w:spacing w:line="460" w:lineRule="exact"/>
              <w:ind w:firstLine="520" w:firstLineChars="200"/>
              <w:rPr>
                <w:sz w:val="26"/>
                <w:szCs w:val="26"/>
              </w:rPr>
            </w:pPr>
            <w:r>
              <w:rPr>
                <w:sz w:val="26"/>
                <w:szCs w:val="26"/>
              </w:rPr>
              <w:t>综上，本项目符合《挥发性有机物无组织排放控制标准》（GB37822-2019）相关要求。</w:t>
            </w:r>
          </w:p>
          <w:p w14:paraId="495D806B">
            <w:pPr>
              <w:spacing w:line="460" w:lineRule="exact"/>
              <w:rPr>
                <w:b/>
                <w:bCs/>
                <w:sz w:val="26"/>
                <w:szCs w:val="26"/>
              </w:rPr>
            </w:pPr>
            <w:r>
              <w:rPr>
                <w:b/>
                <w:bCs/>
                <w:sz w:val="26"/>
                <w:szCs w:val="26"/>
              </w:rPr>
              <w:t>1.</w:t>
            </w:r>
            <w:r>
              <w:rPr>
                <w:rFonts w:hint="eastAsia"/>
                <w:b/>
                <w:bCs/>
                <w:sz w:val="26"/>
                <w:szCs w:val="26"/>
              </w:rPr>
              <w:t>6</w:t>
            </w:r>
            <w:r>
              <w:rPr>
                <w:b/>
                <w:bCs/>
                <w:sz w:val="26"/>
                <w:szCs w:val="26"/>
              </w:rPr>
              <w:t>与关于印发《四川省、重庆市长江经济带发展负面清单实施细则（试行，2022年版）》的通知（川长江办〔2022〕17号）、《推动长江经济带发展领导小组办公室关于印发&lt;长江经济带发展负面清单指南（试行，2022年版）&gt;的通知》（长江办〔2022〕7号）的符合性</w:t>
            </w:r>
          </w:p>
          <w:p w14:paraId="5ED6E067">
            <w:pPr>
              <w:spacing w:line="240" w:lineRule="auto"/>
              <w:jc w:val="center"/>
              <w:rPr>
                <w:sz w:val="22"/>
                <w:szCs w:val="22"/>
              </w:rPr>
            </w:pPr>
            <w:r>
              <w:rPr>
                <w:sz w:val="22"/>
                <w:szCs w:val="22"/>
              </w:rPr>
              <w:t>表1.</w:t>
            </w:r>
            <w:r>
              <w:rPr>
                <w:rFonts w:hint="eastAsia"/>
                <w:sz w:val="22"/>
                <w:szCs w:val="22"/>
              </w:rPr>
              <w:t>6</w:t>
            </w:r>
            <w:r>
              <w:rPr>
                <w:sz w:val="22"/>
                <w:szCs w:val="22"/>
              </w:rPr>
              <w:t>-1  与川长江办〔2022〕17号、长江办〔2022〕7号符合性分析</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1875"/>
              <w:gridCol w:w="1530"/>
              <w:gridCol w:w="950"/>
            </w:tblGrid>
            <w:tr w14:paraId="13B0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995" w:type="pct"/>
                  <w:vAlign w:val="center"/>
                </w:tcPr>
                <w:p w14:paraId="746BAE20">
                  <w:pPr>
                    <w:jc w:val="center"/>
                    <w:rPr>
                      <w:sz w:val="22"/>
                      <w:szCs w:val="22"/>
                    </w:rPr>
                  </w:pPr>
                  <w:r>
                    <w:rPr>
                      <w:sz w:val="22"/>
                      <w:szCs w:val="22"/>
                    </w:rPr>
                    <w:t>川长江办〔2022〕17号</w:t>
                  </w:r>
                </w:p>
              </w:tc>
              <w:tc>
                <w:tcPr>
                  <w:tcW w:w="1293" w:type="pct"/>
                  <w:vAlign w:val="center"/>
                </w:tcPr>
                <w:p w14:paraId="6203F23E">
                  <w:pPr>
                    <w:jc w:val="center"/>
                    <w:rPr>
                      <w:sz w:val="22"/>
                      <w:szCs w:val="22"/>
                    </w:rPr>
                  </w:pPr>
                  <w:r>
                    <w:rPr>
                      <w:sz w:val="22"/>
                      <w:szCs w:val="22"/>
                    </w:rPr>
                    <w:t>长江办</w:t>
                  </w:r>
                  <w:r>
                    <w:rPr>
                      <w:rFonts w:hint="eastAsia"/>
                      <w:sz w:val="22"/>
                      <w:szCs w:val="22"/>
                    </w:rPr>
                    <w:t>〔2022〕</w:t>
                  </w:r>
                  <w:r>
                    <w:rPr>
                      <w:sz w:val="22"/>
                      <w:szCs w:val="22"/>
                    </w:rPr>
                    <w:t>7号</w:t>
                  </w:r>
                </w:p>
              </w:tc>
              <w:tc>
                <w:tcPr>
                  <w:tcW w:w="1055" w:type="pct"/>
                  <w:vAlign w:val="center"/>
                </w:tcPr>
                <w:p w14:paraId="4C710EA9">
                  <w:pPr>
                    <w:jc w:val="center"/>
                    <w:rPr>
                      <w:sz w:val="22"/>
                      <w:szCs w:val="22"/>
                    </w:rPr>
                  </w:pPr>
                  <w:r>
                    <w:rPr>
                      <w:sz w:val="22"/>
                      <w:szCs w:val="22"/>
                    </w:rPr>
                    <w:t>本项目</w:t>
                  </w:r>
                </w:p>
              </w:tc>
              <w:tc>
                <w:tcPr>
                  <w:tcW w:w="655" w:type="pct"/>
                  <w:vAlign w:val="center"/>
                </w:tcPr>
                <w:p w14:paraId="284C56F1">
                  <w:pPr>
                    <w:jc w:val="center"/>
                    <w:rPr>
                      <w:sz w:val="22"/>
                      <w:szCs w:val="22"/>
                    </w:rPr>
                  </w:pPr>
                  <w:r>
                    <w:rPr>
                      <w:sz w:val="22"/>
                      <w:szCs w:val="22"/>
                    </w:rPr>
                    <w:t>符合性</w:t>
                  </w:r>
                </w:p>
              </w:tc>
            </w:tr>
            <w:tr w14:paraId="4263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995" w:type="pct"/>
                  <w:vAlign w:val="center"/>
                </w:tcPr>
                <w:p w14:paraId="67736C3A">
                  <w:pPr>
                    <w:jc w:val="center"/>
                    <w:rPr>
                      <w:sz w:val="22"/>
                      <w:szCs w:val="22"/>
                    </w:rPr>
                  </w:pPr>
                  <w:r>
                    <w:rPr>
                      <w:sz w:val="22"/>
                      <w:szCs w:val="22"/>
                    </w:rPr>
                    <w:t>禁止新建、改建和扩建不符合全国布局规划以及《重庆港总体规划（2035）》等市级港口总体规划的码头项目</w:t>
                  </w:r>
                </w:p>
              </w:tc>
              <w:tc>
                <w:tcPr>
                  <w:tcW w:w="1293" w:type="pct"/>
                  <w:vMerge w:val="restart"/>
                  <w:vAlign w:val="center"/>
                </w:tcPr>
                <w:p w14:paraId="520BD119">
                  <w:pPr>
                    <w:jc w:val="center"/>
                    <w:rPr>
                      <w:sz w:val="22"/>
                      <w:szCs w:val="22"/>
                    </w:rPr>
                  </w:pPr>
                  <w:r>
                    <w:rPr>
                      <w:sz w:val="22"/>
                      <w:szCs w:val="22"/>
                    </w:rPr>
                    <w:t>禁止建设不符合全国和省级港口布局规划以及港口总体规划的码头项目，禁止建设不符合《长江干线过江通道布局规划》的过长江通道项目</w:t>
                  </w:r>
                </w:p>
              </w:tc>
              <w:tc>
                <w:tcPr>
                  <w:tcW w:w="1055" w:type="pct"/>
                  <w:vMerge w:val="restart"/>
                  <w:vAlign w:val="center"/>
                </w:tcPr>
                <w:p w14:paraId="2A6198BB">
                  <w:pPr>
                    <w:jc w:val="center"/>
                    <w:rPr>
                      <w:sz w:val="22"/>
                      <w:szCs w:val="22"/>
                    </w:rPr>
                  </w:pPr>
                  <w:r>
                    <w:rPr>
                      <w:sz w:val="22"/>
                      <w:szCs w:val="22"/>
                    </w:rPr>
                    <w:t>本项目不属于码头项目，且也不涉及过长江通道项目</w:t>
                  </w:r>
                  <w:r>
                    <w:rPr>
                      <w:rFonts w:hint="eastAsia"/>
                      <w:sz w:val="22"/>
                      <w:szCs w:val="22"/>
                    </w:rPr>
                    <w:t>。</w:t>
                  </w:r>
                </w:p>
              </w:tc>
              <w:tc>
                <w:tcPr>
                  <w:tcW w:w="655" w:type="pct"/>
                  <w:vMerge w:val="restart"/>
                  <w:vAlign w:val="center"/>
                </w:tcPr>
                <w:p w14:paraId="7D2CFFF1">
                  <w:pPr>
                    <w:jc w:val="center"/>
                    <w:rPr>
                      <w:sz w:val="22"/>
                      <w:szCs w:val="22"/>
                    </w:rPr>
                  </w:pPr>
                  <w:r>
                    <w:rPr>
                      <w:sz w:val="22"/>
                      <w:szCs w:val="22"/>
                    </w:rPr>
                    <w:t>符合</w:t>
                  </w:r>
                </w:p>
              </w:tc>
            </w:tr>
            <w:tr w14:paraId="46A2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995" w:type="pct"/>
                  <w:vAlign w:val="center"/>
                </w:tcPr>
                <w:p w14:paraId="080BDC1C">
                  <w:pPr>
                    <w:jc w:val="center"/>
                    <w:rPr>
                      <w:sz w:val="22"/>
                      <w:szCs w:val="22"/>
                    </w:rPr>
                  </w:pPr>
                  <w:r>
                    <w:rPr>
                      <w:sz w:val="22"/>
                      <w:szCs w:val="22"/>
                    </w:rPr>
                    <w:t>禁止新建、改建和扩建不符合《长江干线过江通道布局规划（2020-2035）》的过长江通道项目（含桥梁、隧道）</w:t>
                  </w:r>
                </w:p>
              </w:tc>
              <w:tc>
                <w:tcPr>
                  <w:tcW w:w="1293" w:type="pct"/>
                  <w:vMerge w:val="continue"/>
                  <w:vAlign w:val="center"/>
                </w:tcPr>
                <w:p w14:paraId="4A07C1FD">
                  <w:pPr>
                    <w:jc w:val="center"/>
                    <w:rPr>
                      <w:sz w:val="22"/>
                      <w:szCs w:val="22"/>
                    </w:rPr>
                  </w:pPr>
                </w:p>
              </w:tc>
              <w:tc>
                <w:tcPr>
                  <w:tcW w:w="1055" w:type="pct"/>
                  <w:vMerge w:val="continue"/>
                  <w:vAlign w:val="center"/>
                </w:tcPr>
                <w:p w14:paraId="26A9DA02">
                  <w:pPr>
                    <w:jc w:val="center"/>
                    <w:rPr>
                      <w:sz w:val="22"/>
                      <w:szCs w:val="22"/>
                    </w:rPr>
                  </w:pPr>
                </w:p>
              </w:tc>
              <w:tc>
                <w:tcPr>
                  <w:tcW w:w="655" w:type="pct"/>
                  <w:vMerge w:val="continue"/>
                  <w:vAlign w:val="center"/>
                </w:tcPr>
                <w:p w14:paraId="5D1D430F">
                  <w:pPr>
                    <w:jc w:val="center"/>
                    <w:rPr>
                      <w:sz w:val="22"/>
                      <w:szCs w:val="22"/>
                    </w:rPr>
                  </w:pPr>
                </w:p>
              </w:tc>
            </w:tr>
            <w:tr w14:paraId="2EB8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95" w:type="pct"/>
                  <w:vAlign w:val="center"/>
                </w:tcPr>
                <w:p w14:paraId="64806D19">
                  <w:pPr>
                    <w:jc w:val="center"/>
                    <w:rPr>
                      <w:sz w:val="22"/>
                      <w:szCs w:val="22"/>
                    </w:rPr>
                  </w:pPr>
                  <w:r>
                    <w:rPr>
                      <w:sz w:val="22"/>
                      <w:szCs w:val="22"/>
                    </w:rPr>
                    <w:t>禁止在自然保护区核心区、缓冲区的岸线和河段范围内投资建设旅游和生产经营项目。自然保护区的内部未分区的，依照核心区和缓冲区的规定管控</w:t>
                  </w:r>
                </w:p>
              </w:tc>
              <w:tc>
                <w:tcPr>
                  <w:tcW w:w="1293" w:type="pct"/>
                  <w:vMerge w:val="restart"/>
                  <w:vAlign w:val="center"/>
                </w:tcPr>
                <w:p w14:paraId="2DE6543D">
                  <w:pPr>
                    <w:jc w:val="center"/>
                    <w:rPr>
                      <w:sz w:val="22"/>
                      <w:szCs w:val="22"/>
                    </w:rPr>
                  </w:pPr>
                  <w:r>
                    <w:rPr>
                      <w:sz w:val="22"/>
                      <w:szCs w:val="22"/>
                    </w:rPr>
                    <w:t>禁止在自然保护区核心区、缓冲区的岸线和河段范围内投资建设旅游和生产经营项目。禁止在风景名胜区核心景区的岸线和河段范围内投资建设与风景名胜资源保护无关的项目。</w:t>
                  </w:r>
                </w:p>
              </w:tc>
              <w:tc>
                <w:tcPr>
                  <w:tcW w:w="1055" w:type="pct"/>
                  <w:vMerge w:val="restart"/>
                  <w:vAlign w:val="center"/>
                </w:tcPr>
                <w:p w14:paraId="783A812C">
                  <w:pPr>
                    <w:jc w:val="center"/>
                    <w:rPr>
                      <w:sz w:val="22"/>
                      <w:szCs w:val="22"/>
                    </w:rPr>
                  </w:pPr>
                  <w:r>
                    <w:rPr>
                      <w:sz w:val="22"/>
                      <w:szCs w:val="22"/>
                    </w:rPr>
                    <w:t>本项目不在自然保护区和风景名胜区内</w:t>
                  </w:r>
                  <w:r>
                    <w:rPr>
                      <w:rFonts w:hint="eastAsia"/>
                      <w:sz w:val="22"/>
                      <w:szCs w:val="22"/>
                    </w:rPr>
                    <w:t>。</w:t>
                  </w:r>
                </w:p>
              </w:tc>
              <w:tc>
                <w:tcPr>
                  <w:tcW w:w="655" w:type="pct"/>
                  <w:vMerge w:val="restart"/>
                  <w:vAlign w:val="center"/>
                </w:tcPr>
                <w:p w14:paraId="777A6D17">
                  <w:pPr>
                    <w:jc w:val="center"/>
                    <w:rPr>
                      <w:sz w:val="22"/>
                      <w:szCs w:val="22"/>
                    </w:rPr>
                  </w:pPr>
                  <w:r>
                    <w:rPr>
                      <w:sz w:val="22"/>
                      <w:szCs w:val="22"/>
                    </w:rPr>
                    <w:t>符合</w:t>
                  </w:r>
                </w:p>
              </w:tc>
            </w:tr>
            <w:tr w14:paraId="5A35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95" w:type="pct"/>
                  <w:vAlign w:val="center"/>
                </w:tcPr>
                <w:p w14:paraId="669D3350">
                  <w:pPr>
                    <w:jc w:val="center"/>
                    <w:rPr>
                      <w:sz w:val="22"/>
                      <w:szCs w:val="22"/>
                    </w:rPr>
                  </w:pPr>
                  <w:r>
                    <w:rPr>
                      <w:sz w:val="22"/>
                      <w:szCs w:val="22"/>
                    </w:rPr>
                    <w:t>禁止违反风景名胜区规划，在风景名胜区内设立各类开发区。禁止在风景名胜区核心景区的岸线和河段范围内建设宾馆、招待所、培训中心、疗养院以及与风景名胜资源保护无关的项目。</w:t>
                  </w:r>
                </w:p>
              </w:tc>
              <w:tc>
                <w:tcPr>
                  <w:tcW w:w="1293" w:type="pct"/>
                  <w:vMerge w:val="continue"/>
                  <w:vAlign w:val="center"/>
                </w:tcPr>
                <w:p w14:paraId="37C67967">
                  <w:pPr>
                    <w:jc w:val="center"/>
                    <w:rPr>
                      <w:sz w:val="22"/>
                      <w:szCs w:val="22"/>
                    </w:rPr>
                  </w:pPr>
                </w:p>
              </w:tc>
              <w:tc>
                <w:tcPr>
                  <w:tcW w:w="1055" w:type="pct"/>
                  <w:vMerge w:val="continue"/>
                  <w:vAlign w:val="center"/>
                </w:tcPr>
                <w:p w14:paraId="542C2920">
                  <w:pPr>
                    <w:jc w:val="center"/>
                    <w:rPr>
                      <w:sz w:val="22"/>
                      <w:szCs w:val="22"/>
                    </w:rPr>
                  </w:pPr>
                </w:p>
              </w:tc>
              <w:tc>
                <w:tcPr>
                  <w:tcW w:w="655" w:type="pct"/>
                  <w:vMerge w:val="continue"/>
                  <w:vAlign w:val="center"/>
                </w:tcPr>
                <w:p w14:paraId="3D32A01E">
                  <w:pPr>
                    <w:jc w:val="center"/>
                    <w:rPr>
                      <w:sz w:val="22"/>
                      <w:szCs w:val="22"/>
                    </w:rPr>
                  </w:pPr>
                </w:p>
              </w:tc>
            </w:tr>
            <w:tr w14:paraId="6C83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995" w:type="pct"/>
                  <w:vAlign w:val="center"/>
                </w:tcPr>
                <w:p w14:paraId="5203A9B5">
                  <w:pPr>
                    <w:jc w:val="center"/>
                    <w:rPr>
                      <w:sz w:val="22"/>
                      <w:szCs w:val="22"/>
                    </w:rPr>
                  </w:pPr>
                  <w:r>
                    <w:rPr>
                      <w:sz w:val="22"/>
                      <w:szCs w:val="22"/>
                    </w:rPr>
                    <w:t>禁止在饮用水水源准保护区的岸线和河段范围内新建、扩建对水体污染严重的建设项目，禁止改建增加排污量的建设项目</w:t>
                  </w:r>
                </w:p>
              </w:tc>
              <w:tc>
                <w:tcPr>
                  <w:tcW w:w="1293" w:type="pct"/>
                  <w:vMerge w:val="restart"/>
                  <w:vAlign w:val="center"/>
                </w:tcPr>
                <w:p w14:paraId="71927285">
                  <w:pPr>
                    <w:jc w:val="center"/>
                    <w:rPr>
                      <w:sz w:val="22"/>
                      <w:szCs w:val="22"/>
                    </w:rPr>
                  </w:pPr>
                  <w:r>
                    <w:rPr>
                      <w:sz w:val="22"/>
                      <w:szCs w:val="22"/>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55" w:type="pct"/>
                  <w:vMerge w:val="restart"/>
                  <w:vAlign w:val="center"/>
                </w:tcPr>
                <w:p w14:paraId="1A405C7E">
                  <w:pPr>
                    <w:jc w:val="center"/>
                    <w:rPr>
                      <w:sz w:val="22"/>
                      <w:szCs w:val="22"/>
                    </w:rPr>
                  </w:pPr>
                  <w:r>
                    <w:rPr>
                      <w:sz w:val="22"/>
                      <w:szCs w:val="22"/>
                    </w:rPr>
                    <w:t>本项目不在饮用水水源一级、二级及准保护区内，且不涉及水产养殖、网箱养殖等项目</w:t>
                  </w:r>
                  <w:r>
                    <w:rPr>
                      <w:rFonts w:hint="eastAsia"/>
                      <w:sz w:val="22"/>
                      <w:szCs w:val="22"/>
                    </w:rPr>
                    <w:t>。</w:t>
                  </w:r>
                </w:p>
              </w:tc>
              <w:tc>
                <w:tcPr>
                  <w:tcW w:w="655" w:type="pct"/>
                  <w:vMerge w:val="restart"/>
                  <w:vAlign w:val="center"/>
                </w:tcPr>
                <w:p w14:paraId="32291123">
                  <w:pPr>
                    <w:jc w:val="center"/>
                    <w:rPr>
                      <w:sz w:val="22"/>
                      <w:szCs w:val="22"/>
                    </w:rPr>
                  </w:pPr>
                  <w:r>
                    <w:rPr>
                      <w:sz w:val="22"/>
                      <w:szCs w:val="22"/>
                    </w:rPr>
                    <w:t>符合</w:t>
                  </w:r>
                </w:p>
              </w:tc>
            </w:tr>
            <w:tr w14:paraId="67DA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995" w:type="pct"/>
                  <w:vAlign w:val="center"/>
                </w:tcPr>
                <w:p w14:paraId="7F0278F1">
                  <w:pPr>
                    <w:jc w:val="center"/>
                    <w:rPr>
                      <w:sz w:val="22"/>
                      <w:szCs w:val="22"/>
                    </w:rPr>
                  </w:pPr>
                  <w:r>
                    <w:rPr>
                      <w:sz w:val="22"/>
                      <w:szCs w:val="22"/>
                    </w:rPr>
                    <w:t>饮用水水源二级保护区的岸线和河段范围内，除遵守准保护区规定外，禁止新建、改建、扩建排放污染物的投资建设项目;禁止从事对水体有污染的水产养殖等活动。</w:t>
                  </w:r>
                </w:p>
              </w:tc>
              <w:tc>
                <w:tcPr>
                  <w:tcW w:w="1293" w:type="pct"/>
                  <w:vMerge w:val="continue"/>
                  <w:vAlign w:val="center"/>
                </w:tcPr>
                <w:p w14:paraId="1CE6ACEA">
                  <w:pPr>
                    <w:jc w:val="center"/>
                    <w:rPr>
                      <w:sz w:val="22"/>
                      <w:szCs w:val="22"/>
                    </w:rPr>
                  </w:pPr>
                </w:p>
              </w:tc>
              <w:tc>
                <w:tcPr>
                  <w:tcW w:w="1055" w:type="pct"/>
                  <w:vMerge w:val="continue"/>
                  <w:vAlign w:val="center"/>
                </w:tcPr>
                <w:p w14:paraId="58844E1F">
                  <w:pPr>
                    <w:jc w:val="center"/>
                    <w:rPr>
                      <w:sz w:val="22"/>
                      <w:szCs w:val="22"/>
                    </w:rPr>
                  </w:pPr>
                </w:p>
              </w:tc>
              <w:tc>
                <w:tcPr>
                  <w:tcW w:w="655" w:type="pct"/>
                  <w:vMerge w:val="continue"/>
                  <w:vAlign w:val="center"/>
                </w:tcPr>
                <w:p w14:paraId="66B5CF2E">
                  <w:pPr>
                    <w:jc w:val="center"/>
                    <w:rPr>
                      <w:sz w:val="22"/>
                      <w:szCs w:val="22"/>
                    </w:rPr>
                  </w:pPr>
                </w:p>
              </w:tc>
            </w:tr>
            <w:tr w14:paraId="63D4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995" w:type="pct"/>
                  <w:vAlign w:val="center"/>
                </w:tcPr>
                <w:p w14:paraId="319862ED">
                  <w:pPr>
                    <w:jc w:val="center"/>
                    <w:rPr>
                      <w:sz w:val="22"/>
                      <w:szCs w:val="22"/>
                    </w:rPr>
                  </w:pPr>
                  <w:r>
                    <w:rPr>
                      <w:sz w:val="22"/>
                      <w:szCs w:val="22"/>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293" w:type="pct"/>
                  <w:vMerge w:val="continue"/>
                  <w:vAlign w:val="center"/>
                </w:tcPr>
                <w:p w14:paraId="3E17F517">
                  <w:pPr>
                    <w:jc w:val="center"/>
                    <w:rPr>
                      <w:sz w:val="22"/>
                      <w:szCs w:val="22"/>
                    </w:rPr>
                  </w:pPr>
                </w:p>
              </w:tc>
              <w:tc>
                <w:tcPr>
                  <w:tcW w:w="1055" w:type="pct"/>
                  <w:vMerge w:val="continue"/>
                  <w:vAlign w:val="center"/>
                </w:tcPr>
                <w:p w14:paraId="382248C6">
                  <w:pPr>
                    <w:jc w:val="center"/>
                    <w:rPr>
                      <w:sz w:val="22"/>
                      <w:szCs w:val="22"/>
                    </w:rPr>
                  </w:pPr>
                </w:p>
              </w:tc>
              <w:tc>
                <w:tcPr>
                  <w:tcW w:w="655" w:type="pct"/>
                  <w:vMerge w:val="continue"/>
                  <w:vAlign w:val="center"/>
                </w:tcPr>
                <w:p w14:paraId="164EB078">
                  <w:pPr>
                    <w:jc w:val="center"/>
                    <w:rPr>
                      <w:sz w:val="22"/>
                      <w:szCs w:val="22"/>
                    </w:rPr>
                  </w:pPr>
                </w:p>
              </w:tc>
            </w:tr>
            <w:tr w14:paraId="58F6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995" w:type="pct"/>
                  <w:vAlign w:val="center"/>
                </w:tcPr>
                <w:p w14:paraId="70C7519C">
                  <w:pPr>
                    <w:jc w:val="center"/>
                    <w:rPr>
                      <w:sz w:val="22"/>
                      <w:szCs w:val="22"/>
                    </w:rPr>
                  </w:pPr>
                  <w:r>
                    <w:rPr>
                      <w:sz w:val="22"/>
                      <w:szCs w:val="22"/>
                    </w:rPr>
                    <w:t>禁止在水产种质资源保护区岸线和河段范围内新建围湖造田、围湖造地或挖沙采石等投资建设项目</w:t>
                  </w:r>
                </w:p>
              </w:tc>
              <w:tc>
                <w:tcPr>
                  <w:tcW w:w="1293" w:type="pct"/>
                  <w:vMerge w:val="restart"/>
                  <w:vAlign w:val="center"/>
                </w:tcPr>
                <w:p w14:paraId="2992CFC0">
                  <w:pPr>
                    <w:jc w:val="center"/>
                    <w:rPr>
                      <w:sz w:val="22"/>
                      <w:szCs w:val="22"/>
                    </w:rPr>
                  </w:pPr>
                  <w:r>
                    <w:rPr>
                      <w:sz w:val="22"/>
                      <w:szCs w:val="22"/>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55" w:type="pct"/>
                  <w:vMerge w:val="restart"/>
                  <w:vAlign w:val="center"/>
                </w:tcPr>
                <w:p w14:paraId="0038B8D1">
                  <w:pPr>
                    <w:jc w:val="center"/>
                    <w:rPr>
                      <w:sz w:val="22"/>
                      <w:szCs w:val="22"/>
                    </w:rPr>
                  </w:pPr>
                  <w:r>
                    <w:rPr>
                      <w:sz w:val="22"/>
                      <w:szCs w:val="22"/>
                    </w:rPr>
                    <w:t>本项目不</w:t>
                  </w:r>
                  <w:r>
                    <w:rPr>
                      <w:rFonts w:hint="eastAsia"/>
                      <w:sz w:val="22"/>
                      <w:szCs w:val="22"/>
                    </w:rPr>
                    <w:t>涉及</w:t>
                  </w:r>
                  <w:r>
                    <w:rPr>
                      <w:sz w:val="22"/>
                      <w:szCs w:val="22"/>
                    </w:rPr>
                    <w:t>水产种质资源保护区；本项目</w:t>
                  </w:r>
                  <w:r>
                    <w:rPr>
                      <w:rFonts w:hint="eastAsia"/>
                      <w:sz w:val="22"/>
                      <w:szCs w:val="22"/>
                    </w:rPr>
                    <w:t>非工业项目，</w:t>
                  </w:r>
                  <w:r>
                    <w:rPr>
                      <w:sz w:val="22"/>
                      <w:szCs w:val="22"/>
                    </w:rPr>
                    <w:t>不属于挖沙、采矿等类型项目</w:t>
                  </w:r>
                  <w:r>
                    <w:rPr>
                      <w:rFonts w:hint="eastAsia"/>
                      <w:sz w:val="22"/>
                      <w:szCs w:val="22"/>
                    </w:rPr>
                    <w:t>。</w:t>
                  </w:r>
                </w:p>
              </w:tc>
              <w:tc>
                <w:tcPr>
                  <w:tcW w:w="655" w:type="pct"/>
                  <w:vMerge w:val="restart"/>
                  <w:vAlign w:val="center"/>
                </w:tcPr>
                <w:p w14:paraId="1B16E905">
                  <w:pPr>
                    <w:jc w:val="center"/>
                    <w:rPr>
                      <w:sz w:val="22"/>
                      <w:szCs w:val="22"/>
                    </w:rPr>
                  </w:pPr>
                  <w:r>
                    <w:rPr>
                      <w:sz w:val="22"/>
                      <w:szCs w:val="22"/>
                    </w:rPr>
                    <w:t>符合</w:t>
                  </w:r>
                </w:p>
              </w:tc>
            </w:tr>
            <w:tr w14:paraId="6BED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1995" w:type="pct"/>
                  <w:vAlign w:val="center"/>
                </w:tcPr>
                <w:p w14:paraId="73B8992E">
                  <w:pPr>
                    <w:jc w:val="center"/>
                    <w:rPr>
                      <w:sz w:val="22"/>
                      <w:szCs w:val="22"/>
                    </w:rPr>
                  </w:pPr>
                  <w:r>
                    <w:rPr>
                      <w:sz w:val="22"/>
                      <w:szCs w:val="22"/>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润游通道。</w:t>
                  </w:r>
                </w:p>
              </w:tc>
              <w:tc>
                <w:tcPr>
                  <w:tcW w:w="1293" w:type="pct"/>
                  <w:vMerge w:val="continue"/>
                  <w:vAlign w:val="center"/>
                </w:tcPr>
                <w:p w14:paraId="0BD97D37">
                  <w:pPr>
                    <w:jc w:val="center"/>
                    <w:rPr>
                      <w:sz w:val="22"/>
                      <w:szCs w:val="22"/>
                    </w:rPr>
                  </w:pPr>
                </w:p>
              </w:tc>
              <w:tc>
                <w:tcPr>
                  <w:tcW w:w="1055" w:type="pct"/>
                  <w:vMerge w:val="continue"/>
                  <w:vAlign w:val="center"/>
                </w:tcPr>
                <w:p w14:paraId="31A55211">
                  <w:pPr>
                    <w:jc w:val="center"/>
                    <w:rPr>
                      <w:sz w:val="22"/>
                      <w:szCs w:val="22"/>
                    </w:rPr>
                  </w:pPr>
                </w:p>
              </w:tc>
              <w:tc>
                <w:tcPr>
                  <w:tcW w:w="655" w:type="pct"/>
                  <w:vMerge w:val="continue"/>
                  <w:vAlign w:val="center"/>
                </w:tcPr>
                <w:p w14:paraId="2E4A1AA9">
                  <w:pPr>
                    <w:jc w:val="center"/>
                    <w:rPr>
                      <w:sz w:val="22"/>
                      <w:szCs w:val="22"/>
                    </w:rPr>
                  </w:pPr>
                </w:p>
              </w:tc>
            </w:tr>
            <w:tr w14:paraId="140F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trPr>
              <w:tc>
                <w:tcPr>
                  <w:tcW w:w="1995" w:type="pct"/>
                  <w:vAlign w:val="center"/>
                </w:tcPr>
                <w:p w14:paraId="161F512E">
                  <w:pPr>
                    <w:jc w:val="center"/>
                    <w:rPr>
                      <w:sz w:val="22"/>
                      <w:szCs w:val="22"/>
                    </w:rPr>
                  </w:pPr>
                  <w:r>
                    <w:rPr>
                      <w:sz w:val="22"/>
                      <w:szCs w:val="22"/>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93" w:type="pct"/>
                  <w:vMerge w:val="restart"/>
                  <w:vAlign w:val="center"/>
                </w:tcPr>
                <w:p w14:paraId="4A7A01E4">
                  <w:pPr>
                    <w:jc w:val="center"/>
                    <w:rPr>
                      <w:sz w:val="22"/>
                      <w:szCs w:val="22"/>
                    </w:rPr>
                  </w:pPr>
                  <w:r>
                    <w:rPr>
                      <w:sz w:val="22"/>
                      <w:szCs w:val="22"/>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55" w:type="pct"/>
                  <w:vMerge w:val="restart"/>
                  <w:vAlign w:val="center"/>
                </w:tcPr>
                <w:p w14:paraId="45A759CD">
                  <w:pPr>
                    <w:jc w:val="center"/>
                    <w:rPr>
                      <w:sz w:val="22"/>
                      <w:szCs w:val="22"/>
                    </w:rPr>
                  </w:pPr>
                  <w:r>
                    <w:rPr>
                      <w:sz w:val="22"/>
                      <w:szCs w:val="22"/>
                    </w:rPr>
                    <w:t>本项目不在岸线保护区和保留区内</w:t>
                  </w:r>
                  <w:r>
                    <w:rPr>
                      <w:rFonts w:hint="eastAsia"/>
                      <w:sz w:val="22"/>
                      <w:szCs w:val="22"/>
                    </w:rPr>
                    <w:t>。</w:t>
                  </w:r>
                </w:p>
              </w:tc>
              <w:tc>
                <w:tcPr>
                  <w:tcW w:w="655" w:type="pct"/>
                  <w:vMerge w:val="restart"/>
                  <w:vAlign w:val="center"/>
                </w:tcPr>
                <w:p w14:paraId="402CDC5F">
                  <w:pPr>
                    <w:jc w:val="center"/>
                    <w:rPr>
                      <w:sz w:val="22"/>
                      <w:szCs w:val="22"/>
                    </w:rPr>
                  </w:pPr>
                  <w:r>
                    <w:rPr>
                      <w:sz w:val="22"/>
                      <w:szCs w:val="22"/>
                    </w:rPr>
                    <w:t>符合</w:t>
                  </w:r>
                </w:p>
              </w:tc>
            </w:tr>
            <w:tr w14:paraId="26E1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trPr>
              <w:tc>
                <w:tcPr>
                  <w:tcW w:w="1995" w:type="pct"/>
                  <w:vAlign w:val="center"/>
                </w:tcPr>
                <w:p w14:paraId="2063D6A7">
                  <w:pPr>
                    <w:jc w:val="center"/>
                    <w:rPr>
                      <w:sz w:val="22"/>
                      <w:szCs w:val="22"/>
                    </w:rPr>
                  </w:pPr>
                  <w:r>
                    <w:rPr>
                      <w:sz w:val="22"/>
                      <w:szCs w:val="22"/>
                    </w:rPr>
                    <w:t>禁止在《全国重要江河湖泊水功能区划》划定的河段及湖泊保护区、保留区内投资建设不利于水资源及自然生态保护的项目</w:t>
                  </w:r>
                </w:p>
              </w:tc>
              <w:tc>
                <w:tcPr>
                  <w:tcW w:w="1293" w:type="pct"/>
                  <w:vMerge w:val="continue"/>
                  <w:vAlign w:val="center"/>
                </w:tcPr>
                <w:p w14:paraId="312E828F">
                  <w:pPr>
                    <w:jc w:val="center"/>
                    <w:rPr>
                      <w:sz w:val="22"/>
                      <w:szCs w:val="22"/>
                    </w:rPr>
                  </w:pPr>
                </w:p>
              </w:tc>
              <w:tc>
                <w:tcPr>
                  <w:tcW w:w="1055" w:type="pct"/>
                  <w:vMerge w:val="continue"/>
                  <w:vAlign w:val="center"/>
                </w:tcPr>
                <w:p w14:paraId="60538323">
                  <w:pPr>
                    <w:jc w:val="center"/>
                    <w:rPr>
                      <w:sz w:val="22"/>
                      <w:szCs w:val="22"/>
                    </w:rPr>
                  </w:pPr>
                </w:p>
              </w:tc>
              <w:tc>
                <w:tcPr>
                  <w:tcW w:w="655" w:type="pct"/>
                  <w:vMerge w:val="continue"/>
                  <w:vAlign w:val="center"/>
                </w:tcPr>
                <w:p w14:paraId="7EDAB1B9">
                  <w:pPr>
                    <w:jc w:val="center"/>
                    <w:rPr>
                      <w:sz w:val="22"/>
                      <w:szCs w:val="22"/>
                    </w:rPr>
                  </w:pPr>
                </w:p>
              </w:tc>
            </w:tr>
            <w:tr w14:paraId="1292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pct"/>
                  <w:vAlign w:val="center"/>
                </w:tcPr>
                <w:p w14:paraId="22103846">
                  <w:pPr>
                    <w:jc w:val="center"/>
                    <w:rPr>
                      <w:sz w:val="22"/>
                      <w:szCs w:val="22"/>
                    </w:rPr>
                  </w:pPr>
                  <w:r>
                    <w:rPr>
                      <w:sz w:val="22"/>
                      <w:szCs w:val="22"/>
                    </w:rPr>
                    <w:t>禁止在长江流域江河、湖泊新设、改设或者扩大排污口，经有管辖权的生态环境主管部门或者长江流域生态环境监督管理机构同意的除外</w:t>
                  </w:r>
                </w:p>
              </w:tc>
              <w:tc>
                <w:tcPr>
                  <w:tcW w:w="1293" w:type="pct"/>
                  <w:vAlign w:val="center"/>
                </w:tcPr>
                <w:p w14:paraId="634B8F1F">
                  <w:pPr>
                    <w:jc w:val="center"/>
                    <w:rPr>
                      <w:sz w:val="22"/>
                      <w:szCs w:val="22"/>
                    </w:rPr>
                  </w:pPr>
                  <w:r>
                    <w:rPr>
                      <w:sz w:val="22"/>
                      <w:szCs w:val="22"/>
                    </w:rPr>
                    <w:t>禁止未经许可在长江于支流及湖泊新设、改设或扩大排污</w:t>
                  </w:r>
                </w:p>
              </w:tc>
              <w:tc>
                <w:tcPr>
                  <w:tcW w:w="1055" w:type="pct"/>
                  <w:vAlign w:val="center"/>
                </w:tcPr>
                <w:p w14:paraId="64BE9338">
                  <w:pPr>
                    <w:jc w:val="center"/>
                    <w:rPr>
                      <w:sz w:val="22"/>
                      <w:szCs w:val="22"/>
                    </w:rPr>
                  </w:pPr>
                  <w:r>
                    <w:rPr>
                      <w:rFonts w:hint="eastAsia"/>
                      <w:sz w:val="22"/>
                      <w:szCs w:val="22"/>
                    </w:rPr>
                    <w:t>不新增排污口。</w:t>
                  </w:r>
                </w:p>
              </w:tc>
              <w:tc>
                <w:tcPr>
                  <w:tcW w:w="655" w:type="pct"/>
                  <w:vAlign w:val="center"/>
                </w:tcPr>
                <w:p w14:paraId="7E22A7F4">
                  <w:pPr>
                    <w:jc w:val="center"/>
                    <w:rPr>
                      <w:sz w:val="22"/>
                      <w:szCs w:val="22"/>
                    </w:rPr>
                  </w:pPr>
                  <w:r>
                    <w:rPr>
                      <w:sz w:val="22"/>
                      <w:szCs w:val="22"/>
                    </w:rPr>
                    <w:t>符合</w:t>
                  </w:r>
                </w:p>
              </w:tc>
            </w:tr>
            <w:tr w14:paraId="3976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pct"/>
                  <w:vAlign w:val="center"/>
                </w:tcPr>
                <w:p w14:paraId="0C3A3FCF">
                  <w:pPr>
                    <w:jc w:val="center"/>
                    <w:rPr>
                      <w:sz w:val="22"/>
                      <w:szCs w:val="22"/>
                    </w:rPr>
                  </w:pPr>
                  <w:r>
                    <w:rPr>
                      <w:sz w:val="22"/>
                      <w:szCs w:val="22"/>
                    </w:rPr>
                    <w:t>禁止在长江干流、大渡河、氓江、赤水河、沱江、嘉陵江、乌江、汉江和51个(四川省45个、重庆市6个)水生生物保护区开展生产性捕捞</w:t>
                  </w:r>
                </w:p>
              </w:tc>
              <w:tc>
                <w:tcPr>
                  <w:tcW w:w="1293" w:type="pct"/>
                  <w:vAlign w:val="center"/>
                </w:tcPr>
                <w:p w14:paraId="31AEA4E4">
                  <w:pPr>
                    <w:jc w:val="center"/>
                    <w:rPr>
                      <w:sz w:val="22"/>
                      <w:szCs w:val="22"/>
                    </w:rPr>
                  </w:pPr>
                  <w:r>
                    <w:rPr>
                      <w:sz w:val="22"/>
                      <w:szCs w:val="22"/>
                    </w:rPr>
                    <w:t>禁止在“一江一口两湖七河”和332个水生生物保护区开展生产性捕捞</w:t>
                  </w:r>
                </w:p>
              </w:tc>
              <w:tc>
                <w:tcPr>
                  <w:tcW w:w="1055" w:type="pct"/>
                  <w:vAlign w:val="center"/>
                </w:tcPr>
                <w:p w14:paraId="13F89D9E">
                  <w:pPr>
                    <w:jc w:val="center"/>
                    <w:rPr>
                      <w:sz w:val="22"/>
                      <w:szCs w:val="22"/>
                    </w:rPr>
                  </w:pPr>
                  <w:r>
                    <w:rPr>
                      <w:sz w:val="22"/>
                      <w:szCs w:val="22"/>
                    </w:rPr>
                    <w:t>本项目不在水生生物保护区内，也不属于生产性捕捞项目</w:t>
                  </w:r>
                  <w:r>
                    <w:rPr>
                      <w:rFonts w:hint="eastAsia"/>
                      <w:sz w:val="22"/>
                      <w:szCs w:val="22"/>
                    </w:rPr>
                    <w:t>。</w:t>
                  </w:r>
                </w:p>
              </w:tc>
              <w:tc>
                <w:tcPr>
                  <w:tcW w:w="655" w:type="pct"/>
                  <w:vAlign w:val="center"/>
                </w:tcPr>
                <w:p w14:paraId="43C36142">
                  <w:pPr>
                    <w:jc w:val="center"/>
                    <w:rPr>
                      <w:sz w:val="22"/>
                      <w:szCs w:val="22"/>
                    </w:rPr>
                  </w:pPr>
                  <w:r>
                    <w:rPr>
                      <w:sz w:val="22"/>
                      <w:szCs w:val="22"/>
                    </w:rPr>
                    <w:t>符合</w:t>
                  </w:r>
                </w:p>
              </w:tc>
            </w:tr>
            <w:tr w14:paraId="46FC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995" w:type="pct"/>
                  <w:vAlign w:val="center"/>
                </w:tcPr>
                <w:p w14:paraId="23EB7C53">
                  <w:pPr>
                    <w:jc w:val="center"/>
                    <w:rPr>
                      <w:sz w:val="22"/>
                      <w:szCs w:val="22"/>
                    </w:rPr>
                  </w:pPr>
                  <w:r>
                    <w:rPr>
                      <w:sz w:val="22"/>
                      <w:szCs w:val="22"/>
                    </w:rPr>
                    <w:t>禁止在长江干支流、重要湖泊岸线一公里范围内新建、扩建化工园区和化工项目</w:t>
                  </w:r>
                </w:p>
              </w:tc>
              <w:tc>
                <w:tcPr>
                  <w:tcW w:w="1293" w:type="pct"/>
                  <w:vMerge w:val="restart"/>
                  <w:vAlign w:val="center"/>
                </w:tcPr>
                <w:p w14:paraId="1C0D45A9">
                  <w:pPr>
                    <w:rPr>
                      <w:sz w:val="22"/>
                      <w:szCs w:val="22"/>
                    </w:rPr>
                  </w:pPr>
                  <w:r>
                    <w:rPr>
                      <w:sz w:val="22"/>
                      <w:szCs w:val="22"/>
                    </w:rPr>
                    <w:t>禁止在长江于支流、重要湖泊岸线一公里范围内新建、扩建化工园区和化工项目。禁止在长江于流岸线三公里范围内和重要支流岸线一公里范围内新建、改建、扩建尾矿库、冶炼渣库和磷石膏库，以提升安全、生态环境保护水平为目的的改建除外。</w:t>
                  </w:r>
                </w:p>
              </w:tc>
              <w:tc>
                <w:tcPr>
                  <w:tcW w:w="1055" w:type="pct"/>
                  <w:vMerge w:val="restart"/>
                  <w:vAlign w:val="center"/>
                </w:tcPr>
                <w:p w14:paraId="44361F23">
                  <w:pPr>
                    <w:jc w:val="center"/>
                    <w:rPr>
                      <w:sz w:val="22"/>
                      <w:szCs w:val="22"/>
                    </w:rPr>
                  </w:pPr>
                  <w:r>
                    <w:rPr>
                      <w:sz w:val="22"/>
                      <w:szCs w:val="22"/>
                    </w:rPr>
                    <w:t>本项目不属于新建、扩建化工园区和化工项目，也不属于新建、改建、扩建尾矿库、冶炼渣库、磷石膏库项目</w:t>
                  </w:r>
                  <w:r>
                    <w:rPr>
                      <w:rFonts w:hint="eastAsia"/>
                      <w:sz w:val="22"/>
                      <w:szCs w:val="22"/>
                    </w:rPr>
                    <w:t>。</w:t>
                  </w:r>
                </w:p>
              </w:tc>
              <w:tc>
                <w:tcPr>
                  <w:tcW w:w="655" w:type="pct"/>
                  <w:vMerge w:val="restart"/>
                  <w:vAlign w:val="center"/>
                </w:tcPr>
                <w:p w14:paraId="6B556B23">
                  <w:pPr>
                    <w:jc w:val="center"/>
                    <w:rPr>
                      <w:sz w:val="22"/>
                      <w:szCs w:val="22"/>
                    </w:rPr>
                  </w:pPr>
                  <w:r>
                    <w:rPr>
                      <w:sz w:val="22"/>
                      <w:szCs w:val="22"/>
                    </w:rPr>
                    <w:t>符合</w:t>
                  </w:r>
                </w:p>
              </w:tc>
            </w:tr>
            <w:tr w14:paraId="4870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995" w:type="pct"/>
                  <w:vAlign w:val="center"/>
                </w:tcPr>
                <w:p w14:paraId="4E994EC6">
                  <w:pPr>
                    <w:jc w:val="center"/>
                    <w:rPr>
                      <w:sz w:val="22"/>
                      <w:szCs w:val="22"/>
                    </w:rPr>
                  </w:pPr>
                  <w:r>
                    <w:rPr>
                      <w:sz w:val="22"/>
                      <w:szCs w:val="22"/>
                    </w:rPr>
                    <w:t>禁止在长江干流岸线三公里范围内和重要支流岸线一公里范围内新建、改建、扩建尾矿库、冶炼渣库、磷石膏库，以提升安全、生态环境保护水平为目的的改建除外</w:t>
                  </w:r>
                </w:p>
              </w:tc>
              <w:tc>
                <w:tcPr>
                  <w:tcW w:w="1293" w:type="pct"/>
                  <w:vMerge w:val="continue"/>
                  <w:vAlign w:val="center"/>
                </w:tcPr>
                <w:p w14:paraId="6A6FDF4A">
                  <w:pPr>
                    <w:jc w:val="center"/>
                    <w:rPr>
                      <w:sz w:val="22"/>
                      <w:szCs w:val="22"/>
                    </w:rPr>
                  </w:pPr>
                </w:p>
              </w:tc>
              <w:tc>
                <w:tcPr>
                  <w:tcW w:w="1055" w:type="pct"/>
                  <w:vMerge w:val="continue"/>
                  <w:vAlign w:val="center"/>
                </w:tcPr>
                <w:p w14:paraId="60D60029">
                  <w:pPr>
                    <w:jc w:val="center"/>
                    <w:rPr>
                      <w:sz w:val="22"/>
                      <w:szCs w:val="22"/>
                    </w:rPr>
                  </w:pPr>
                </w:p>
              </w:tc>
              <w:tc>
                <w:tcPr>
                  <w:tcW w:w="655" w:type="pct"/>
                  <w:vMerge w:val="continue"/>
                  <w:vAlign w:val="center"/>
                </w:tcPr>
                <w:p w14:paraId="0CD0FC6A">
                  <w:pPr>
                    <w:jc w:val="center"/>
                    <w:rPr>
                      <w:sz w:val="22"/>
                      <w:szCs w:val="22"/>
                    </w:rPr>
                  </w:pPr>
                </w:p>
              </w:tc>
            </w:tr>
            <w:tr w14:paraId="7B5D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995" w:type="pct"/>
                  <w:vAlign w:val="center"/>
                </w:tcPr>
                <w:p w14:paraId="11BA87E0">
                  <w:pPr>
                    <w:jc w:val="center"/>
                    <w:rPr>
                      <w:sz w:val="22"/>
                      <w:szCs w:val="22"/>
                    </w:rPr>
                  </w:pPr>
                  <w:r>
                    <w:rPr>
                      <w:sz w:val="22"/>
                      <w:szCs w:val="22"/>
                    </w:rPr>
                    <w:t>禁止在生态保护红线区域、永久基本农田集中区域和其他需要特别保护的区域内选址建设尾矿库、冶炼渣库、磷石膏库。</w:t>
                  </w:r>
                </w:p>
              </w:tc>
              <w:tc>
                <w:tcPr>
                  <w:tcW w:w="1293" w:type="pct"/>
                  <w:vMerge w:val="continue"/>
                  <w:vAlign w:val="center"/>
                </w:tcPr>
                <w:p w14:paraId="3BFB5EFD">
                  <w:pPr>
                    <w:jc w:val="center"/>
                    <w:rPr>
                      <w:sz w:val="22"/>
                      <w:szCs w:val="22"/>
                    </w:rPr>
                  </w:pPr>
                </w:p>
              </w:tc>
              <w:tc>
                <w:tcPr>
                  <w:tcW w:w="1055" w:type="pct"/>
                  <w:vMerge w:val="continue"/>
                  <w:vAlign w:val="center"/>
                </w:tcPr>
                <w:p w14:paraId="3577D5BF">
                  <w:pPr>
                    <w:jc w:val="center"/>
                    <w:rPr>
                      <w:sz w:val="22"/>
                      <w:szCs w:val="22"/>
                    </w:rPr>
                  </w:pPr>
                </w:p>
              </w:tc>
              <w:tc>
                <w:tcPr>
                  <w:tcW w:w="655" w:type="pct"/>
                  <w:vMerge w:val="continue"/>
                  <w:vAlign w:val="center"/>
                </w:tcPr>
                <w:p w14:paraId="514FBEF3">
                  <w:pPr>
                    <w:jc w:val="center"/>
                    <w:rPr>
                      <w:sz w:val="22"/>
                      <w:szCs w:val="22"/>
                    </w:rPr>
                  </w:pPr>
                </w:p>
              </w:tc>
            </w:tr>
            <w:tr w14:paraId="17DB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pct"/>
                  <w:vAlign w:val="center"/>
                </w:tcPr>
                <w:p w14:paraId="48CB2636">
                  <w:pPr>
                    <w:jc w:val="center"/>
                    <w:rPr>
                      <w:sz w:val="22"/>
                      <w:szCs w:val="22"/>
                    </w:rPr>
                  </w:pPr>
                  <w:r>
                    <w:rPr>
                      <w:sz w:val="22"/>
                      <w:szCs w:val="22"/>
                    </w:rPr>
                    <w:t>禁止在合规园区外新建、扩建钢铁、石化、化工、焦化、建材、有色、制浆造纸等高污染项目</w:t>
                  </w:r>
                </w:p>
              </w:tc>
              <w:tc>
                <w:tcPr>
                  <w:tcW w:w="1293" w:type="pct"/>
                  <w:vAlign w:val="center"/>
                </w:tcPr>
                <w:p w14:paraId="3485C500">
                  <w:pPr>
                    <w:jc w:val="center"/>
                    <w:rPr>
                      <w:sz w:val="22"/>
                      <w:szCs w:val="22"/>
                    </w:rPr>
                  </w:pPr>
                  <w:r>
                    <w:rPr>
                      <w:sz w:val="22"/>
                      <w:szCs w:val="22"/>
                    </w:rPr>
                    <w:t>禁止在合规园区外新建、扩建钢铁、石化、化工、焦化、建材、有色、制浆造纸等高污染项目。</w:t>
                  </w:r>
                </w:p>
              </w:tc>
              <w:tc>
                <w:tcPr>
                  <w:tcW w:w="1055" w:type="pct"/>
                  <w:vAlign w:val="center"/>
                </w:tcPr>
                <w:p w14:paraId="0AE3739C">
                  <w:pPr>
                    <w:jc w:val="center"/>
                    <w:rPr>
                      <w:sz w:val="22"/>
                      <w:szCs w:val="22"/>
                    </w:rPr>
                  </w:pPr>
                  <w:r>
                    <w:rPr>
                      <w:sz w:val="22"/>
                      <w:szCs w:val="22"/>
                    </w:rPr>
                    <w:t>本项目不属于新建、扩建钢铁、石化、化工、焦化、建材、有色、制浆造纸等高污染项目</w:t>
                  </w:r>
                  <w:r>
                    <w:rPr>
                      <w:rFonts w:hint="eastAsia"/>
                      <w:sz w:val="22"/>
                      <w:szCs w:val="22"/>
                    </w:rPr>
                    <w:t>。</w:t>
                  </w:r>
                </w:p>
              </w:tc>
              <w:tc>
                <w:tcPr>
                  <w:tcW w:w="655" w:type="pct"/>
                  <w:vAlign w:val="center"/>
                </w:tcPr>
                <w:p w14:paraId="52D6DCA5">
                  <w:pPr>
                    <w:jc w:val="center"/>
                    <w:rPr>
                      <w:sz w:val="22"/>
                      <w:szCs w:val="22"/>
                    </w:rPr>
                  </w:pPr>
                  <w:r>
                    <w:rPr>
                      <w:sz w:val="22"/>
                      <w:szCs w:val="22"/>
                    </w:rPr>
                    <w:t>符合</w:t>
                  </w:r>
                </w:p>
              </w:tc>
            </w:tr>
            <w:tr w14:paraId="153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pct"/>
                  <w:vAlign w:val="center"/>
                </w:tcPr>
                <w:p w14:paraId="5D2BF186">
                  <w:pPr>
                    <w:jc w:val="center"/>
                    <w:rPr>
                      <w:sz w:val="22"/>
                      <w:szCs w:val="22"/>
                    </w:rPr>
                  </w:pPr>
                  <w:r>
                    <w:rPr>
                      <w:sz w:val="22"/>
                      <w:szCs w:val="22"/>
                    </w:rPr>
                    <w:t>禁止新建、扩建不符合国家石化、现代煤化工等产业布局规划的项目</w:t>
                  </w:r>
                </w:p>
              </w:tc>
              <w:tc>
                <w:tcPr>
                  <w:tcW w:w="1293" w:type="pct"/>
                  <w:vAlign w:val="center"/>
                </w:tcPr>
                <w:p w14:paraId="79DD7765">
                  <w:pPr>
                    <w:jc w:val="center"/>
                    <w:rPr>
                      <w:sz w:val="22"/>
                      <w:szCs w:val="22"/>
                    </w:rPr>
                  </w:pPr>
                  <w:r>
                    <w:rPr>
                      <w:sz w:val="22"/>
                      <w:szCs w:val="22"/>
                    </w:rPr>
                    <w:t>禁止新建、扩建不符合国家石化、现代煤化工等产业布局规划的项目。</w:t>
                  </w:r>
                </w:p>
              </w:tc>
              <w:tc>
                <w:tcPr>
                  <w:tcW w:w="1055" w:type="pct"/>
                  <w:vAlign w:val="center"/>
                </w:tcPr>
                <w:p w14:paraId="403A561A">
                  <w:pPr>
                    <w:jc w:val="center"/>
                    <w:rPr>
                      <w:sz w:val="22"/>
                      <w:szCs w:val="22"/>
                    </w:rPr>
                  </w:pPr>
                  <w:r>
                    <w:rPr>
                      <w:sz w:val="22"/>
                      <w:szCs w:val="22"/>
                    </w:rPr>
                    <w:t>本项目不属于新建、扩建不符合国家石化、现代煤化工等产业布局规划的项目</w:t>
                  </w:r>
                  <w:r>
                    <w:rPr>
                      <w:rFonts w:hint="eastAsia"/>
                      <w:sz w:val="22"/>
                      <w:szCs w:val="22"/>
                    </w:rPr>
                    <w:t>。</w:t>
                  </w:r>
                </w:p>
              </w:tc>
              <w:tc>
                <w:tcPr>
                  <w:tcW w:w="655" w:type="pct"/>
                  <w:vAlign w:val="center"/>
                </w:tcPr>
                <w:p w14:paraId="1905F964">
                  <w:pPr>
                    <w:jc w:val="center"/>
                    <w:rPr>
                      <w:sz w:val="22"/>
                      <w:szCs w:val="22"/>
                    </w:rPr>
                  </w:pPr>
                  <w:r>
                    <w:rPr>
                      <w:sz w:val="22"/>
                      <w:szCs w:val="22"/>
                    </w:rPr>
                    <w:t>符合</w:t>
                  </w:r>
                </w:p>
              </w:tc>
            </w:tr>
            <w:tr w14:paraId="3DEA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995" w:type="pct"/>
                  <w:vAlign w:val="center"/>
                </w:tcPr>
                <w:p w14:paraId="67B0CDE0">
                  <w:pPr>
                    <w:jc w:val="center"/>
                    <w:rPr>
                      <w:sz w:val="22"/>
                      <w:szCs w:val="22"/>
                    </w:rPr>
                  </w:pPr>
                  <w:r>
                    <w:rPr>
                      <w:sz w:val="22"/>
                      <w:szCs w:val="22"/>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93" w:type="pct"/>
                  <w:vMerge w:val="restart"/>
                  <w:vAlign w:val="center"/>
                </w:tcPr>
                <w:p w14:paraId="04D6EB7C">
                  <w:pPr>
                    <w:jc w:val="center"/>
                    <w:rPr>
                      <w:sz w:val="22"/>
                      <w:szCs w:val="22"/>
                    </w:rPr>
                  </w:pPr>
                  <w:r>
                    <w:rPr>
                      <w:sz w:val="22"/>
                      <w:szCs w:val="22"/>
                    </w:rPr>
                    <w:t>禁止新建、扩建法律法规和相关政策明令禁止的落后产能项目。禁止新建、扩建不符合国家产能置换要求的严重过剩产能行业的项目。禁止新建、扩建不符合要求的高耗能高排放项目。</w:t>
                  </w:r>
                </w:p>
              </w:tc>
              <w:tc>
                <w:tcPr>
                  <w:tcW w:w="1055" w:type="pct"/>
                  <w:vMerge w:val="restart"/>
                  <w:vAlign w:val="center"/>
                </w:tcPr>
                <w:p w14:paraId="4414B71C">
                  <w:pPr>
                    <w:jc w:val="center"/>
                    <w:rPr>
                      <w:sz w:val="22"/>
                      <w:szCs w:val="22"/>
                    </w:rPr>
                  </w:pPr>
                  <w:r>
                    <w:rPr>
                      <w:sz w:val="22"/>
                      <w:szCs w:val="22"/>
                    </w:rPr>
                    <w:t>本项目不属于新建、扩建法律法规和相关政策明令禁止的落后产能项目。也不属于新建、扩建不符合国家产能置换要求的严重过剩产能行业的项目。也不属于新建、扩建不符合要求的高耗能高排放项目</w:t>
                  </w:r>
                  <w:r>
                    <w:rPr>
                      <w:rFonts w:hint="eastAsia"/>
                      <w:sz w:val="22"/>
                      <w:szCs w:val="22"/>
                    </w:rPr>
                    <w:t>。</w:t>
                  </w:r>
                </w:p>
              </w:tc>
              <w:tc>
                <w:tcPr>
                  <w:tcW w:w="655" w:type="pct"/>
                  <w:vMerge w:val="restart"/>
                  <w:vAlign w:val="center"/>
                </w:tcPr>
                <w:p w14:paraId="69C17673">
                  <w:pPr>
                    <w:jc w:val="center"/>
                    <w:rPr>
                      <w:sz w:val="22"/>
                      <w:szCs w:val="22"/>
                    </w:rPr>
                  </w:pPr>
                  <w:r>
                    <w:rPr>
                      <w:sz w:val="22"/>
                      <w:szCs w:val="22"/>
                    </w:rPr>
                    <w:t>符合</w:t>
                  </w:r>
                </w:p>
              </w:tc>
            </w:tr>
            <w:tr w14:paraId="0510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995" w:type="pct"/>
                  <w:vAlign w:val="center"/>
                </w:tcPr>
                <w:p w14:paraId="56E85B64">
                  <w:pPr>
                    <w:jc w:val="center"/>
                    <w:rPr>
                      <w:sz w:val="22"/>
                      <w:szCs w:val="22"/>
                    </w:rPr>
                  </w:pPr>
                  <w:r>
                    <w:rPr>
                      <w:sz w:val="22"/>
                      <w:szCs w:val="22"/>
                    </w:rPr>
                    <w:t>禁止新建、扩建不符合国家产能置换要求的严重过剩产能行业的项目。对于不符合国家产能置换要求的严重过剩产能行业，不得以其他任何名义、任何方式备案新增产能项目。</w:t>
                  </w:r>
                </w:p>
              </w:tc>
              <w:tc>
                <w:tcPr>
                  <w:tcW w:w="1293" w:type="pct"/>
                  <w:vMerge w:val="continue"/>
                  <w:vAlign w:val="center"/>
                </w:tcPr>
                <w:p w14:paraId="2B06F9D9">
                  <w:pPr>
                    <w:ind w:firstLine="440"/>
                    <w:jc w:val="center"/>
                    <w:rPr>
                      <w:sz w:val="22"/>
                      <w:szCs w:val="22"/>
                    </w:rPr>
                  </w:pPr>
                </w:p>
              </w:tc>
              <w:tc>
                <w:tcPr>
                  <w:tcW w:w="1055" w:type="pct"/>
                  <w:vMerge w:val="continue"/>
                  <w:vAlign w:val="center"/>
                </w:tcPr>
                <w:p w14:paraId="45ABD099">
                  <w:pPr>
                    <w:ind w:firstLine="440"/>
                    <w:jc w:val="center"/>
                    <w:rPr>
                      <w:sz w:val="22"/>
                      <w:szCs w:val="22"/>
                    </w:rPr>
                  </w:pPr>
                </w:p>
              </w:tc>
              <w:tc>
                <w:tcPr>
                  <w:tcW w:w="655" w:type="pct"/>
                  <w:vMerge w:val="continue"/>
                  <w:vAlign w:val="center"/>
                </w:tcPr>
                <w:p w14:paraId="6B6E6475">
                  <w:pPr>
                    <w:ind w:firstLine="440"/>
                    <w:jc w:val="center"/>
                    <w:rPr>
                      <w:sz w:val="22"/>
                      <w:szCs w:val="22"/>
                    </w:rPr>
                  </w:pPr>
                </w:p>
              </w:tc>
            </w:tr>
            <w:tr w14:paraId="5067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995" w:type="pct"/>
                  <w:vAlign w:val="center"/>
                </w:tcPr>
                <w:p w14:paraId="6F71E5A5">
                  <w:pPr>
                    <w:jc w:val="center"/>
                    <w:rPr>
                      <w:sz w:val="22"/>
                      <w:szCs w:val="22"/>
                    </w:rPr>
                  </w:pPr>
                  <w:r>
                    <w:rPr>
                      <w:sz w:val="22"/>
                      <w:szCs w:val="22"/>
                    </w:rPr>
                    <w:t>禁止新建、扩建不符合要求的高耗能、高排放、低水平项目</w:t>
                  </w:r>
                </w:p>
              </w:tc>
              <w:tc>
                <w:tcPr>
                  <w:tcW w:w="1293" w:type="pct"/>
                  <w:vMerge w:val="continue"/>
                  <w:vAlign w:val="center"/>
                </w:tcPr>
                <w:p w14:paraId="7F83D3FD">
                  <w:pPr>
                    <w:ind w:firstLine="440"/>
                    <w:jc w:val="center"/>
                    <w:rPr>
                      <w:sz w:val="22"/>
                      <w:szCs w:val="22"/>
                    </w:rPr>
                  </w:pPr>
                </w:p>
              </w:tc>
              <w:tc>
                <w:tcPr>
                  <w:tcW w:w="1055" w:type="pct"/>
                  <w:vMerge w:val="continue"/>
                  <w:vAlign w:val="center"/>
                </w:tcPr>
                <w:p w14:paraId="7F688439">
                  <w:pPr>
                    <w:ind w:firstLine="440"/>
                    <w:jc w:val="center"/>
                    <w:rPr>
                      <w:sz w:val="22"/>
                      <w:szCs w:val="22"/>
                    </w:rPr>
                  </w:pPr>
                </w:p>
              </w:tc>
              <w:tc>
                <w:tcPr>
                  <w:tcW w:w="655" w:type="pct"/>
                  <w:vMerge w:val="continue"/>
                  <w:vAlign w:val="center"/>
                </w:tcPr>
                <w:p w14:paraId="67A56D86">
                  <w:pPr>
                    <w:ind w:firstLine="440"/>
                    <w:jc w:val="center"/>
                    <w:rPr>
                      <w:sz w:val="22"/>
                      <w:szCs w:val="22"/>
                    </w:rPr>
                  </w:pPr>
                </w:p>
              </w:tc>
            </w:tr>
          </w:tbl>
          <w:p w14:paraId="1EB77901">
            <w:pPr>
              <w:spacing w:line="460" w:lineRule="exact"/>
              <w:ind w:firstLine="520" w:firstLineChars="200"/>
              <w:rPr>
                <w:sz w:val="26"/>
                <w:szCs w:val="26"/>
              </w:rPr>
            </w:pPr>
            <w:r>
              <w:rPr>
                <w:sz w:val="26"/>
                <w:szCs w:val="26"/>
              </w:rPr>
              <w:t>对照以上文件中的相关要求，本项目为</w:t>
            </w:r>
            <w:r>
              <w:rPr>
                <w:rFonts w:hint="eastAsia"/>
                <w:sz w:val="26"/>
                <w:szCs w:val="26"/>
              </w:rPr>
              <w:t>加油站改扩建项目</w:t>
            </w:r>
            <w:r>
              <w:rPr>
                <w:sz w:val="26"/>
                <w:szCs w:val="26"/>
              </w:rPr>
              <w:t>，项目建成后产生的污染物主要为</w:t>
            </w:r>
            <w:r>
              <w:rPr>
                <w:rFonts w:hint="eastAsia"/>
                <w:sz w:val="26"/>
                <w:szCs w:val="26"/>
              </w:rPr>
              <w:t>少量非甲烷总烃</w:t>
            </w:r>
            <w:r>
              <w:rPr>
                <w:sz w:val="26"/>
                <w:szCs w:val="26"/>
              </w:rPr>
              <w:t>，不属于清单中法律、法规明令禁止的落后产能项目和排放有毒有害及重金属污染企业，项目占地不在风景名胜区、自然保护区、水资源保护区等生态敏感区域内，本项目建设符合负面清单中的相关要求。</w:t>
            </w:r>
          </w:p>
          <w:p w14:paraId="7FA9CC83">
            <w:pPr>
              <w:spacing w:line="460" w:lineRule="exact"/>
              <w:rPr>
                <w:b/>
                <w:bCs/>
                <w:sz w:val="26"/>
                <w:szCs w:val="26"/>
              </w:rPr>
            </w:pPr>
            <w:r>
              <w:rPr>
                <w:b/>
                <w:bCs/>
                <w:sz w:val="26"/>
                <w:szCs w:val="26"/>
              </w:rPr>
              <w:t>1.</w:t>
            </w:r>
            <w:r>
              <w:rPr>
                <w:rFonts w:hint="eastAsia"/>
                <w:b/>
                <w:bCs/>
                <w:sz w:val="26"/>
                <w:szCs w:val="26"/>
              </w:rPr>
              <w:t>7</w:t>
            </w:r>
            <w:r>
              <w:rPr>
                <w:b/>
                <w:bCs/>
                <w:sz w:val="26"/>
                <w:szCs w:val="26"/>
              </w:rPr>
              <w:t>与《中华人民共和国长江保护法》（2020年12月26日）符合性分析</w:t>
            </w:r>
          </w:p>
          <w:p w14:paraId="1ABEDC26">
            <w:pPr>
              <w:spacing w:line="240" w:lineRule="auto"/>
              <w:jc w:val="center"/>
              <w:rPr>
                <w:sz w:val="22"/>
                <w:szCs w:val="22"/>
              </w:rPr>
            </w:pPr>
            <w:r>
              <w:rPr>
                <w:sz w:val="22"/>
                <w:szCs w:val="22"/>
              </w:rPr>
              <w:t>表1.</w:t>
            </w:r>
            <w:r>
              <w:rPr>
                <w:rFonts w:hint="eastAsia"/>
                <w:sz w:val="22"/>
                <w:szCs w:val="22"/>
              </w:rPr>
              <w:t>7</w:t>
            </w:r>
            <w:r>
              <w:rPr>
                <w:sz w:val="22"/>
                <w:szCs w:val="22"/>
              </w:rPr>
              <w:t>-1 与《中华人民共和国长江保护法》符合性分析</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3528"/>
              <w:gridCol w:w="1818"/>
              <w:gridCol w:w="951"/>
            </w:tblGrid>
            <w:tr w14:paraId="45B2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56" w:type="pct"/>
                  <w:vAlign w:val="center"/>
                </w:tcPr>
                <w:p w14:paraId="27106763">
                  <w:pPr>
                    <w:jc w:val="center"/>
                    <w:rPr>
                      <w:sz w:val="22"/>
                      <w:szCs w:val="22"/>
                    </w:rPr>
                  </w:pPr>
                  <w:r>
                    <w:rPr>
                      <w:sz w:val="22"/>
                      <w:szCs w:val="22"/>
                    </w:rPr>
                    <w:t>项目</w:t>
                  </w:r>
                </w:p>
              </w:tc>
              <w:tc>
                <w:tcPr>
                  <w:tcW w:w="2434" w:type="pct"/>
                  <w:vAlign w:val="center"/>
                </w:tcPr>
                <w:p w14:paraId="3B5B02AD">
                  <w:pPr>
                    <w:jc w:val="center"/>
                    <w:rPr>
                      <w:sz w:val="22"/>
                      <w:szCs w:val="22"/>
                    </w:rPr>
                  </w:pPr>
                  <w:r>
                    <w:rPr>
                      <w:sz w:val="22"/>
                      <w:szCs w:val="22"/>
                    </w:rPr>
                    <w:t>《中华人民共和国长江保护法》</w:t>
                  </w:r>
                </w:p>
              </w:tc>
              <w:tc>
                <w:tcPr>
                  <w:tcW w:w="1254" w:type="pct"/>
                  <w:vAlign w:val="center"/>
                </w:tcPr>
                <w:p w14:paraId="2D828C27">
                  <w:pPr>
                    <w:jc w:val="center"/>
                    <w:rPr>
                      <w:sz w:val="22"/>
                      <w:szCs w:val="22"/>
                    </w:rPr>
                  </w:pPr>
                  <w:r>
                    <w:rPr>
                      <w:sz w:val="22"/>
                      <w:szCs w:val="22"/>
                    </w:rPr>
                    <w:t>本项目</w:t>
                  </w:r>
                </w:p>
              </w:tc>
              <w:tc>
                <w:tcPr>
                  <w:tcW w:w="656" w:type="pct"/>
                  <w:vAlign w:val="center"/>
                </w:tcPr>
                <w:p w14:paraId="04477DD4">
                  <w:pPr>
                    <w:jc w:val="center"/>
                    <w:rPr>
                      <w:sz w:val="22"/>
                      <w:szCs w:val="22"/>
                    </w:rPr>
                  </w:pPr>
                  <w:r>
                    <w:rPr>
                      <w:sz w:val="22"/>
                      <w:szCs w:val="22"/>
                    </w:rPr>
                    <w:t>符合性</w:t>
                  </w:r>
                </w:p>
              </w:tc>
            </w:tr>
            <w:tr w14:paraId="3FB9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Merge w:val="restart"/>
                  <w:vAlign w:val="center"/>
                </w:tcPr>
                <w:p w14:paraId="77EF2E0F">
                  <w:pPr>
                    <w:jc w:val="center"/>
                    <w:rPr>
                      <w:sz w:val="22"/>
                      <w:szCs w:val="22"/>
                    </w:rPr>
                  </w:pPr>
                  <w:r>
                    <w:rPr>
                      <w:sz w:val="22"/>
                      <w:szCs w:val="22"/>
                    </w:rPr>
                    <w:t>规划与管控</w:t>
                  </w:r>
                </w:p>
              </w:tc>
              <w:tc>
                <w:tcPr>
                  <w:tcW w:w="2434" w:type="pct"/>
                  <w:vAlign w:val="center"/>
                </w:tcPr>
                <w:p w14:paraId="2DC6E5D8">
                  <w:pPr>
                    <w:jc w:val="center"/>
                    <w:rPr>
                      <w:sz w:val="22"/>
                      <w:szCs w:val="22"/>
                    </w:rPr>
                  </w:pPr>
                  <w:r>
                    <w:rPr>
                      <w:sz w:val="22"/>
                      <w:szCs w:val="22"/>
                    </w:rPr>
                    <w:t>禁止在长江干支流岸线一公里范围内新建、扩建化工园区和化工项目</w:t>
                  </w:r>
                </w:p>
              </w:tc>
              <w:tc>
                <w:tcPr>
                  <w:tcW w:w="1254" w:type="pct"/>
                  <w:vAlign w:val="center"/>
                </w:tcPr>
                <w:p w14:paraId="426C54A1">
                  <w:pPr>
                    <w:jc w:val="center"/>
                    <w:rPr>
                      <w:sz w:val="22"/>
                      <w:szCs w:val="22"/>
                    </w:rPr>
                  </w:pPr>
                  <w:r>
                    <w:rPr>
                      <w:sz w:val="22"/>
                      <w:szCs w:val="22"/>
                    </w:rPr>
                    <w:t>本项目不属于化工项目</w:t>
                  </w:r>
                  <w:r>
                    <w:rPr>
                      <w:rFonts w:hint="eastAsia"/>
                      <w:sz w:val="22"/>
                      <w:szCs w:val="22"/>
                    </w:rPr>
                    <w:t>。</w:t>
                  </w:r>
                </w:p>
              </w:tc>
              <w:tc>
                <w:tcPr>
                  <w:tcW w:w="656" w:type="pct"/>
                  <w:vAlign w:val="center"/>
                </w:tcPr>
                <w:p w14:paraId="50F77110">
                  <w:pPr>
                    <w:jc w:val="center"/>
                    <w:rPr>
                      <w:sz w:val="22"/>
                      <w:szCs w:val="22"/>
                    </w:rPr>
                  </w:pPr>
                  <w:r>
                    <w:rPr>
                      <w:sz w:val="22"/>
                      <w:szCs w:val="22"/>
                    </w:rPr>
                    <w:t>符合</w:t>
                  </w:r>
                </w:p>
              </w:tc>
            </w:tr>
            <w:tr w14:paraId="22ED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Merge w:val="continue"/>
                  <w:vAlign w:val="center"/>
                </w:tcPr>
                <w:p w14:paraId="46678A2E">
                  <w:pPr>
                    <w:jc w:val="center"/>
                    <w:rPr>
                      <w:sz w:val="22"/>
                      <w:szCs w:val="22"/>
                    </w:rPr>
                  </w:pPr>
                </w:p>
              </w:tc>
              <w:tc>
                <w:tcPr>
                  <w:tcW w:w="2434" w:type="pct"/>
                  <w:vAlign w:val="center"/>
                </w:tcPr>
                <w:p w14:paraId="0D2CDF5B">
                  <w:pPr>
                    <w:jc w:val="center"/>
                    <w:rPr>
                      <w:sz w:val="22"/>
                      <w:szCs w:val="22"/>
                    </w:rPr>
                  </w:pPr>
                  <w:r>
                    <w:rPr>
                      <w:sz w:val="22"/>
                      <w:szCs w:val="22"/>
                    </w:rPr>
                    <w:t>禁止在长江干流岸线三公里范围内和重要支流岸线一公里范围内新建、改建、扩建尾矿库；但是以提升安全、生态环境保护水平为目的的改建除外</w:t>
                  </w:r>
                </w:p>
              </w:tc>
              <w:tc>
                <w:tcPr>
                  <w:tcW w:w="1254" w:type="pct"/>
                  <w:vAlign w:val="center"/>
                </w:tcPr>
                <w:p w14:paraId="0D8154F8">
                  <w:pPr>
                    <w:jc w:val="center"/>
                    <w:rPr>
                      <w:sz w:val="22"/>
                      <w:szCs w:val="22"/>
                    </w:rPr>
                  </w:pPr>
                  <w:r>
                    <w:rPr>
                      <w:sz w:val="22"/>
                      <w:szCs w:val="22"/>
                    </w:rPr>
                    <w:t>本项目不属于新建、改建、扩建尾矿库项目</w:t>
                  </w:r>
                  <w:r>
                    <w:rPr>
                      <w:rFonts w:hint="eastAsia"/>
                      <w:sz w:val="22"/>
                      <w:szCs w:val="22"/>
                    </w:rPr>
                    <w:t>。</w:t>
                  </w:r>
                </w:p>
              </w:tc>
              <w:tc>
                <w:tcPr>
                  <w:tcW w:w="656" w:type="pct"/>
                  <w:vAlign w:val="center"/>
                </w:tcPr>
                <w:p w14:paraId="35A55655">
                  <w:pPr>
                    <w:jc w:val="center"/>
                    <w:rPr>
                      <w:sz w:val="22"/>
                      <w:szCs w:val="22"/>
                    </w:rPr>
                  </w:pPr>
                  <w:r>
                    <w:rPr>
                      <w:sz w:val="22"/>
                      <w:szCs w:val="22"/>
                    </w:rPr>
                    <w:t>符合</w:t>
                  </w:r>
                </w:p>
              </w:tc>
            </w:tr>
            <w:tr w14:paraId="32F4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14:paraId="1662E6E9">
                  <w:pPr>
                    <w:jc w:val="center"/>
                    <w:rPr>
                      <w:sz w:val="22"/>
                      <w:szCs w:val="22"/>
                    </w:rPr>
                  </w:pPr>
                  <w:r>
                    <w:rPr>
                      <w:sz w:val="22"/>
                      <w:szCs w:val="22"/>
                    </w:rPr>
                    <w:t>资源与保护</w:t>
                  </w:r>
                </w:p>
              </w:tc>
              <w:tc>
                <w:tcPr>
                  <w:tcW w:w="2434" w:type="pct"/>
                  <w:vAlign w:val="center"/>
                </w:tcPr>
                <w:p w14:paraId="6B413509">
                  <w:pPr>
                    <w:jc w:val="center"/>
                    <w:rPr>
                      <w:sz w:val="22"/>
                      <w:szCs w:val="22"/>
                    </w:rPr>
                  </w:pPr>
                  <w:r>
                    <w:rPr>
                      <w:sz w:val="22"/>
                      <w:szCs w:val="22"/>
                    </w:rPr>
                    <w:t>长江流域省级人民政府组织划定饮用水源保护区，加强饮用水水源保护，保障饮用水安全</w:t>
                  </w:r>
                </w:p>
              </w:tc>
              <w:tc>
                <w:tcPr>
                  <w:tcW w:w="1254" w:type="pct"/>
                  <w:vAlign w:val="center"/>
                </w:tcPr>
                <w:p w14:paraId="3F9C838B">
                  <w:pPr>
                    <w:jc w:val="center"/>
                    <w:rPr>
                      <w:sz w:val="22"/>
                      <w:szCs w:val="22"/>
                    </w:rPr>
                  </w:pPr>
                  <w:r>
                    <w:rPr>
                      <w:sz w:val="22"/>
                      <w:szCs w:val="22"/>
                    </w:rPr>
                    <w:t>本项目不在饮用水水源保护区内</w:t>
                  </w:r>
                  <w:r>
                    <w:rPr>
                      <w:rFonts w:hint="eastAsia"/>
                      <w:sz w:val="22"/>
                      <w:szCs w:val="22"/>
                    </w:rPr>
                    <w:t>。</w:t>
                  </w:r>
                </w:p>
              </w:tc>
              <w:tc>
                <w:tcPr>
                  <w:tcW w:w="656" w:type="pct"/>
                  <w:vAlign w:val="center"/>
                </w:tcPr>
                <w:p w14:paraId="726F4D46">
                  <w:pPr>
                    <w:jc w:val="center"/>
                    <w:rPr>
                      <w:sz w:val="22"/>
                      <w:szCs w:val="22"/>
                    </w:rPr>
                  </w:pPr>
                  <w:r>
                    <w:rPr>
                      <w:sz w:val="22"/>
                      <w:szCs w:val="22"/>
                    </w:rPr>
                    <w:t>符合</w:t>
                  </w:r>
                </w:p>
              </w:tc>
            </w:tr>
            <w:tr w14:paraId="454C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14:paraId="67B453CE">
                  <w:pPr>
                    <w:jc w:val="center"/>
                    <w:rPr>
                      <w:sz w:val="22"/>
                      <w:szCs w:val="22"/>
                    </w:rPr>
                  </w:pPr>
                  <w:r>
                    <w:rPr>
                      <w:sz w:val="22"/>
                      <w:szCs w:val="22"/>
                    </w:rPr>
                    <w:t>水污染防治</w:t>
                  </w:r>
                </w:p>
              </w:tc>
              <w:tc>
                <w:tcPr>
                  <w:tcW w:w="2434" w:type="pct"/>
                  <w:vAlign w:val="center"/>
                </w:tcPr>
                <w:p w14:paraId="0BFFFBC7">
                  <w:pPr>
                    <w:jc w:val="center"/>
                    <w:rPr>
                      <w:sz w:val="22"/>
                      <w:szCs w:val="22"/>
                    </w:rPr>
                  </w:pPr>
                  <w:r>
                    <w:rPr>
                      <w:sz w:val="22"/>
                      <w:szCs w:val="22"/>
                    </w:rPr>
                    <w:t>磷矿开采加工、磷肥和含磷农药制造等企业，应当按照排污许可要求，采取有效措施控制总磷排放浓度和排放总量；对排污口和周边环境进行总磷监测，依法公开监测信息</w:t>
                  </w:r>
                </w:p>
              </w:tc>
              <w:tc>
                <w:tcPr>
                  <w:tcW w:w="1254" w:type="pct"/>
                  <w:vAlign w:val="center"/>
                </w:tcPr>
                <w:p w14:paraId="766AB105">
                  <w:pPr>
                    <w:jc w:val="center"/>
                    <w:rPr>
                      <w:sz w:val="22"/>
                      <w:szCs w:val="22"/>
                    </w:rPr>
                  </w:pPr>
                  <w:r>
                    <w:rPr>
                      <w:sz w:val="22"/>
                      <w:szCs w:val="22"/>
                    </w:rPr>
                    <w:t>本项目不属于磷矿开采加工、磷肥和含磷农药制造</w:t>
                  </w:r>
                  <w:r>
                    <w:rPr>
                      <w:rFonts w:hint="eastAsia"/>
                      <w:sz w:val="22"/>
                      <w:szCs w:val="22"/>
                    </w:rPr>
                    <w:t>。</w:t>
                  </w:r>
                </w:p>
              </w:tc>
              <w:tc>
                <w:tcPr>
                  <w:tcW w:w="656" w:type="pct"/>
                  <w:vAlign w:val="center"/>
                </w:tcPr>
                <w:p w14:paraId="761601B4">
                  <w:pPr>
                    <w:jc w:val="center"/>
                    <w:rPr>
                      <w:sz w:val="22"/>
                      <w:szCs w:val="22"/>
                    </w:rPr>
                  </w:pPr>
                  <w:r>
                    <w:rPr>
                      <w:sz w:val="22"/>
                      <w:szCs w:val="22"/>
                    </w:rPr>
                    <w:t>符合</w:t>
                  </w:r>
                </w:p>
              </w:tc>
            </w:tr>
            <w:tr w14:paraId="4B8A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Merge w:val="restart"/>
                  <w:vAlign w:val="center"/>
                </w:tcPr>
                <w:p w14:paraId="18F40163">
                  <w:pPr>
                    <w:jc w:val="center"/>
                    <w:rPr>
                      <w:sz w:val="22"/>
                      <w:szCs w:val="22"/>
                    </w:rPr>
                  </w:pPr>
                  <w:r>
                    <w:rPr>
                      <w:sz w:val="22"/>
                      <w:szCs w:val="22"/>
                    </w:rPr>
                    <w:t>生态环境修复</w:t>
                  </w:r>
                </w:p>
              </w:tc>
              <w:tc>
                <w:tcPr>
                  <w:tcW w:w="2434" w:type="pct"/>
                  <w:vAlign w:val="center"/>
                </w:tcPr>
                <w:p w14:paraId="63E5F5F3">
                  <w:pPr>
                    <w:jc w:val="center"/>
                    <w:rPr>
                      <w:sz w:val="22"/>
                      <w:szCs w:val="22"/>
                    </w:rPr>
                  </w:pPr>
                  <w:r>
                    <w:rPr>
                      <w:sz w:val="22"/>
                      <w:szCs w:val="22"/>
                    </w:rPr>
                    <w:t>禁止违法利用、占用长江流域河湖岸线</w:t>
                  </w:r>
                </w:p>
              </w:tc>
              <w:tc>
                <w:tcPr>
                  <w:tcW w:w="1254" w:type="pct"/>
                  <w:vAlign w:val="center"/>
                </w:tcPr>
                <w:p w14:paraId="081953F5">
                  <w:pPr>
                    <w:jc w:val="center"/>
                    <w:rPr>
                      <w:sz w:val="22"/>
                      <w:szCs w:val="22"/>
                    </w:rPr>
                  </w:pPr>
                  <w:r>
                    <w:rPr>
                      <w:sz w:val="22"/>
                      <w:szCs w:val="22"/>
                    </w:rPr>
                    <w:t>本项目不占用长江流域河湖岸线</w:t>
                  </w:r>
                  <w:r>
                    <w:rPr>
                      <w:rFonts w:hint="eastAsia"/>
                      <w:sz w:val="22"/>
                      <w:szCs w:val="22"/>
                    </w:rPr>
                    <w:t>。</w:t>
                  </w:r>
                </w:p>
              </w:tc>
              <w:tc>
                <w:tcPr>
                  <w:tcW w:w="656" w:type="pct"/>
                  <w:vAlign w:val="center"/>
                </w:tcPr>
                <w:p w14:paraId="4EB687F7">
                  <w:pPr>
                    <w:jc w:val="center"/>
                    <w:rPr>
                      <w:sz w:val="22"/>
                      <w:szCs w:val="22"/>
                    </w:rPr>
                  </w:pPr>
                  <w:r>
                    <w:rPr>
                      <w:sz w:val="22"/>
                      <w:szCs w:val="22"/>
                    </w:rPr>
                    <w:t>符合</w:t>
                  </w:r>
                </w:p>
              </w:tc>
            </w:tr>
            <w:tr w14:paraId="3B76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Merge w:val="continue"/>
                  <w:vAlign w:val="center"/>
                </w:tcPr>
                <w:p w14:paraId="296B0D56">
                  <w:pPr>
                    <w:jc w:val="center"/>
                    <w:rPr>
                      <w:sz w:val="22"/>
                      <w:szCs w:val="22"/>
                    </w:rPr>
                  </w:pPr>
                </w:p>
              </w:tc>
              <w:tc>
                <w:tcPr>
                  <w:tcW w:w="2434" w:type="pct"/>
                  <w:vAlign w:val="center"/>
                </w:tcPr>
                <w:p w14:paraId="0AEB6141">
                  <w:pPr>
                    <w:jc w:val="center"/>
                    <w:rPr>
                      <w:sz w:val="22"/>
                      <w:szCs w:val="22"/>
                    </w:rPr>
                  </w:pPr>
                  <w:r>
                    <w:rPr>
                      <w:sz w:val="22"/>
                      <w:szCs w:val="22"/>
                    </w:rPr>
                    <w:t>禁止在长江流域水土流失严重、生态脆弱的区域开展可能造成水土流失的生产建设活动。确因国家发展战略和国计民生需要建设的，应当经科学论证，并依法办理审批手续</w:t>
                  </w:r>
                </w:p>
              </w:tc>
              <w:tc>
                <w:tcPr>
                  <w:tcW w:w="1254" w:type="pct"/>
                  <w:vAlign w:val="center"/>
                </w:tcPr>
                <w:p w14:paraId="02FEB942">
                  <w:pPr>
                    <w:jc w:val="center"/>
                    <w:rPr>
                      <w:sz w:val="22"/>
                      <w:szCs w:val="22"/>
                    </w:rPr>
                  </w:pPr>
                  <w:r>
                    <w:rPr>
                      <w:sz w:val="22"/>
                      <w:szCs w:val="22"/>
                    </w:rPr>
                    <w:t>本项目不涉及长江流域水土流失严重、生态脆弱的区域</w:t>
                  </w:r>
                  <w:r>
                    <w:rPr>
                      <w:rFonts w:hint="eastAsia"/>
                      <w:sz w:val="22"/>
                      <w:szCs w:val="22"/>
                    </w:rPr>
                    <w:t>。</w:t>
                  </w:r>
                </w:p>
              </w:tc>
              <w:tc>
                <w:tcPr>
                  <w:tcW w:w="656" w:type="pct"/>
                  <w:vAlign w:val="center"/>
                </w:tcPr>
                <w:p w14:paraId="0115C6C3">
                  <w:pPr>
                    <w:jc w:val="center"/>
                    <w:rPr>
                      <w:sz w:val="22"/>
                      <w:szCs w:val="22"/>
                    </w:rPr>
                  </w:pPr>
                  <w:r>
                    <w:rPr>
                      <w:sz w:val="22"/>
                      <w:szCs w:val="22"/>
                    </w:rPr>
                    <w:t>符合</w:t>
                  </w:r>
                </w:p>
              </w:tc>
            </w:tr>
            <w:tr w14:paraId="2C6B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14:paraId="59885F42">
                  <w:pPr>
                    <w:jc w:val="center"/>
                    <w:rPr>
                      <w:sz w:val="22"/>
                      <w:szCs w:val="22"/>
                    </w:rPr>
                  </w:pPr>
                  <w:r>
                    <w:rPr>
                      <w:sz w:val="22"/>
                      <w:szCs w:val="22"/>
                    </w:rPr>
                    <w:t>绿色发展</w:t>
                  </w:r>
                </w:p>
              </w:tc>
              <w:tc>
                <w:tcPr>
                  <w:tcW w:w="2434" w:type="pct"/>
                  <w:vAlign w:val="center"/>
                </w:tcPr>
                <w:p w14:paraId="5FBB4948">
                  <w:pPr>
                    <w:jc w:val="center"/>
                    <w:rPr>
                      <w:sz w:val="22"/>
                      <w:szCs w:val="22"/>
                    </w:rPr>
                  </w:pPr>
                  <w:r>
                    <w:rPr>
                      <w:sz w:val="22"/>
                      <w:szCs w:val="22"/>
                    </w:rPr>
                    <w:t>长江流域县级以上地方人民政府应当推定钢铁、石油、化工、有色金属、建材、船舶等产业省级改造，提升技术装备水平；推动造纸、制革、电镀、印染、有色金属、农药、氮肥、焦化、原料药制造等企业实施清洁化改造。企业应当通过技术创新减少资源消耗和污染物排放</w:t>
                  </w:r>
                </w:p>
              </w:tc>
              <w:tc>
                <w:tcPr>
                  <w:tcW w:w="1254" w:type="pct"/>
                  <w:vAlign w:val="center"/>
                </w:tcPr>
                <w:p w14:paraId="2EF734FC">
                  <w:pPr>
                    <w:jc w:val="center"/>
                    <w:rPr>
                      <w:sz w:val="22"/>
                      <w:szCs w:val="22"/>
                    </w:rPr>
                  </w:pPr>
                  <w:r>
                    <w:rPr>
                      <w:sz w:val="22"/>
                      <w:szCs w:val="22"/>
                    </w:rPr>
                    <w:t>本项目不属上述范围内的项目</w:t>
                  </w:r>
                  <w:r>
                    <w:rPr>
                      <w:rFonts w:hint="eastAsia"/>
                      <w:sz w:val="22"/>
                      <w:szCs w:val="22"/>
                    </w:rPr>
                    <w:t>。</w:t>
                  </w:r>
                </w:p>
              </w:tc>
              <w:tc>
                <w:tcPr>
                  <w:tcW w:w="656" w:type="pct"/>
                  <w:vAlign w:val="center"/>
                </w:tcPr>
                <w:p w14:paraId="5CB87B9D">
                  <w:pPr>
                    <w:jc w:val="center"/>
                    <w:rPr>
                      <w:sz w:val="22"/>
                      <w:szCs w:val="22"/>
                    </w:rPr>
                  </w:pPr>
                  <w:r>
                    <w:rPr>
                      <w:sz w:val="22"/>
                      <w:szCs w:val="22"/>
                    </w:rPr>
                    <w:t>符合</w:t>
                  </w:r>
                </w:p>
              </w:tc>
            </w:tr>
          </w:tbl>
          <w:p w14:paraId="1581FAEC">
            <w:pPr>
              <w:spacing w:line="460" w:lineRule="exact"/>
              <w:ind w:firstLine="520" w:firstLineChars="200"/>
              <w:rPr>
                <w:sz w:val="26"/>
                <w:szCs w:val="26"/>
              </w:rPr>
            </w:pPr>
            <w:r>
              <w:rPr>
                <w:sz w:val="26"/>
                <w:szCs w:val="26"/>
              </w:rPr>
              <w:t>由表中所列对比结果可见，本项目符合《中华人民共和国长江保护法》（2020年12月26日第十三届全国人民代表大会常务委员会第二十四次会议通过）文件的相关要求。</w:t>
            </w:r>
          </w:p>
          <w:p w14:paraId="650EA0B5">
            <w:pPr>
              <w:spacing w:line="460" w:lineRule="exact"/>
              <w:rPr>
                <w:rFonts w:hint="default" w:eastAsia="宋体"/>
                <w:b/>
                <w:bCs/>
                <w:sz w:val="26"/>
                <w:szCs w:val="26"/>
                <w:lang w:val="en-US" w:eastAsia="zh-CN"/>
              </w:rPr>
            </w:pPr>
            <w:r>
              <w:rPr>
                <w:rFonts w:hint="eastAsia"/>
                <w:b/>
                <w:bCs/>
                <w:sz w:val="26"/>
                <w:szCs w:val="26"/>
              </w:rPr>
              <w:t>1.8与《加油站地下水污染防治技术指南（试行）》（环办水体函</w:t>
            </w:r>
            <w:r>
              <w:rPr>
                <w:b/>
                <w:bCs/>
                <w:sz w:val="26"/>
                <w:szCs w:val="26"/>
              </w:rPr>
              <w:t>〔20</w:t>
            </w:r>
            <w:r>
              <w:rPr>
                <w:rFonts w:hint="eastAsia"/>
                <w:b/>
                <w:bCs/>
                <w:sz w:val="26"/>
                <w:szCs w:val="26"/>
                <w:lang w:val="en-US" w:eastAsia="zh-CN"/>
              </w:rPr>
              <w:t>17</w:t>
            </w:r>
            <w:r>
              <w:rPr>
                <w:b/>
                <w:bCs/>
                <w:sz w:val="26"/>
                <w:szCs w:val="26"/>
              </w:rPr>
              <w:t>〕</w:t>
            </w:r>
            <w:r>
              <w:rPr>
                <w:rFonts w:hint="eastAsia"/>
                <w:b/>
                <w:bCs/>
                <w:sz w:val="26"/>
                <w:szCs w:val="26"/>
              </w:rPr>
              <w:t>323号）</w:t>
            </w:r>
            <w:r>
              <w:rPr>
                <w:rFonts w:hint="eastAsia"/>
                <w:b/>
                <w:bCs/>
                <w:sz w:val="26"/>
                <w:szCs w:val="26"/>
                <w:lang w:val="en-US" w:eastAsia="zh-CN"/>
              </w:rPr>
              <w:t>符合性分析</w:t>
            </w:r>
          </w:p>
          <w:p w14:paraId="6E7F53C4">
            <w:pPr>
              <w:autoSpaceDE w:val="0"/>
              <w:autoSpaceDN w:val="0"/>
              <w:adjustRightInd w:val="0"/>
              <w:snapToGrid w:val="0"/>
              <w:spacing w:line="460" w:lineRule="exact"/>
              <w:ind w:firstLine="520" w:firstLineChars="200"/>
              <w:rPr>
                <w:sz w:val="26"/>
                <w:szCs w:val="26"/>
              </w:rPr>
            </w:pPr>
            <w:r>
              <w:rPr>
                <w:rFonts w:hint="eastAsia"/>
                <w:sz w:val="26"/>
                <w:szCs w:val="26"/>
              </w:rPr>
              <w:t>根据《加油站地下水污染防治技术指南（试行）》（环办水体函〔20</w:t>
            </w:r>
            <w:r>
              <w:rPr>
                <w:rFonts w:hint="eastAsia"/>
                <w:sz w:val="26"/>
                <w:szCs w:val="26"/>
                <w:lang w:val="en-US" w:eastAsia="zh-CN"/>
              </w:rPr>
              <w:t>17</w:t>
            </w:r>
            <w:r>
              <w:rPr>
                <w:rFonts w:hint="eastAsia"/>
                <w:sz w:val="26"/>
                <w:szCs w:val="26"/>
              </w:rPr>
              <w:t>〕323号）要求，按照“源头控制、分区防控、污染监控、应急响应”原则，根据项目各功能区的性质和特点，可分重点防渗区、一般防渗区和简单防渗区。</w:t>
            </w:r>
          </w:p>
          <w:p w14:paraId="6EC3C49A">
            <w:pPr>
              <w:autoSpaceDE w:val="0"/>
              <w:autoSpaceDN w:val="0"/>
              <w:adjustRightInd w:val="0"/>
              <w:snapToGrid w:val="0"/>
              <w:spacing w:line="460" w:lineRule="exact"/>
              <w:ind w:firstLine="520" w:firstLineChars="200"/>
              <w:rPr>
                <w:rFonts w:hint="default" w:eastAsia="宋体"/>
                <w:sz w:val="26"/>
                <w:szCs w:val="26"/>
                <w:lang w:val="en-US" w:eastAsia="zh-CN"/>
              </w:rPr>
            </w:pPr>
            <w:r>
              <w:rPr>
                <w:rFonts w:hint="eastAsia"/>
                <w:sz w:val="26"/>
                <w:szCs w:val="26"/>
              </w:rPr>
              <w:t>本项目按照指南要求设置分区防渗，对埋地油罐、加油区、危险废物贮存点、隔油沉淀池、卸油区以及工艺管线设置为重点防渗区，对</w:t>
            </w:r>
            <w:r>
              <w:rPr>
                <w:rFonts w:hint="eastAsia"/>
                <w:sz w:val="26"/>
                <w:szCs w:val="26"/>
                <w:lang w:eastAsia="zh-CN"/>
              </w:rPr>
              <w:t>化粪池</w:t>
            </w:r>
            <w:r>
              <w:rPr>
                <w:rFonts w:hint="eastAsia"/>
                <w:sz w:val="26"/>
                <w:szCs w:val="26"/>
              </w:rPr>
              <w:t>、应急柴油发电机房</w:t>
            </w:r>
            <w:r>
              <w:rPr>
                <w:rFonts w:hint="eastAsia"/>
                <w:sz w:val="26"/>
                <w:szCs w:val="26"/>
                <w:lang w:eastAsia="zh-CN"/>
              </w:rPr>
              <w:t>、</w:t>
            </w:r>
            <w:r>
              <w:rPr>
                <w:rFonts w:hint="eastAsia"/>
                <w:sz w:val="26"/>
                <w:szCs w:val="26"/>
              </w:rPr>
              <w:t>自动洗车区等设置</w:t>
            </w:r>
            <w:r>
              <w:rPr>
                <w:rFonts w:hint="eastAsia"/>
                <w:sz w:val="26"/>
                <w:szCs w:val="26"/>
                <w:lang w:val="en-US" w:eastAsia="zh-CN"/>
              </w:rPr>
              <w:t>为</w:t>
            </w:r>
            <w:r>
              <w:rPr>
                <w:rFonts w:hint="eastAsia"/>
                <w:sz w:val="26"/>
                <w:szCs w:val="26"/>
              </w:rPr>
              <w:t>一般防渗区，对</w:t>
            </w:r>
            <w:r>
              <w:rPr>
                <w:rFonts w:hint="eastAsia"/>
                <w:sz w:val="26"/>
                <w:szCs w:val="26"/>
                <w:lang w:val="en-US" w:eastAsia="zh-CN"/>
              </w:rPr>
              <w:t>站内道路和</w:t>
            </w:r>
            <w:r>
              <w:rPr>
                <w:rFonts w:hint="eastAsia"/>
                <w:sz w:val="26"/>
                <w:szCs w:val="26"/>
              </w:rPr>
              <w:t>站房地面等办公生活区设置为简单防渗区，采取地面硬化措施。同时本项目按照指南要求，设置地下水</w:t>
            </w:r>
            <w:r>
              <w:rPr>
                <w:rFonts w:hint="eastAsia"/>
                <w:sz w:val="26"/>
                <w:szCs w:val="26"/>
                <w:lang w:val="en-US" w:eastAsia="zh-CN"/>
              </w:rPr>
              <w:t>油罐区</w:t>
            </w:r>
            <w:r>
              <w:rPr>
                <w:rFonts w:hint="eastAsia"/>
                <w:sz w:val="26"/>
                <w:szCs w:val="26"/>
              </w:rPr>
              <w:t>跟踪观察井。</w:t>
            </w:r>
            <w:r>
              <w:rPr>
                <w:rFonts w:hint="eastAsia"/>
                <w:sz w:val="26"/>
                <w:szCs w:val="26"/>
                <w:lang w:val="en-US" w:eastAsia="zh-CN"/>
              </w:rPr>
              <w:t>同时对项目储油罐采用双层罐形式，储油罐设置高液位报警器以及泄漏报警器。</w:t>
            </w:r>
          </w:p>
          <w:p w14:paraId="095E7BDE">
            <w:pPr>
              <w:autoSpaceDE w:val="0"/>
              <w:autoSpaceDN w:val="0"/>
              <w:adjustRightInd w:val="0"/>
              <w:snapToGrid w:val="0"/>
              <w:spacing w:line="460" w:lineRule="exact"/>
              <w:ind w:firstLine="520" w:firstLineChars="200"/>
              <w:rPr>
                <w:rFonts w:hint="eastAsia"/>
                <w:sz w:val="26"/>
                <w:szCs w:val="26"/>
              </w:rPr>
            </w:pPr>
            <w:r>
              <w:rPr>
                <w:rFonts w:hint="eastAsia"/>
                <w:sz w:val="26"/>
                <w:szCs w:val="26"/>
              </w:rPr>
              <w:t>综上，本项目满足《加油站地下水污染防治技术指南（试行）》（环办水体函〔20</w:t>
            </w:r>
            <w:r>
              <w:rPr>
                <w:rFonts w:hint="eastAsia"/>
                <w:sz w:val="26"/>
                <w:szCs w:val="26"/>
                <w:lang w:val="en-US" w:eastAsia="zh-CN"/>
              </w:rPr>
              <w:t>17</w:t>
            </w:r>
            <w:r>
              <w:rPr>
                <w:rFonts w:hint="eastAsia"/>
                <w:sz w:val="26"/>
                <w:szCs w:val="26"/>
              </w:rPr>
              <w:t>〕323号）要求。</w:t>
            </w:r>
          </w:p>
          <w:p w14:paraId="036A2778">
            <w:pPr>
              <w:pStyle w:val="10"/>
              <w:keepNext w:val="0"/>
              <w:keepLines w:val="0"/>
              <w:pageBreakBefore w:val="0"/>
              <w:widowControl w:val="0"/>
              <w:numPr>
                <w:ilvl w:val="0"/>
                <w:numId w:val="0"/>
              </w:numPr>
              <w:kinsoku/>
              <w:wordWrap/>
              <w:overflowPunct/>
              <w:topLinePunct w:val="0"/>
              <w:autoSpaceDE/>
              <w:autoSpaceDN/>
              <w:bidi w:val="0"/>
              <w:spacing w:line="460" w:lineRule="exact"/>
              <w:textAlignment w:val="auto"/>
              <w:rPr>
                <w:rFonts w:hint="default" w:ascii="Times New Roman" w:hAnsi="Times New Roman" w:eastAsia="宋体" w:cs="Times New Roman"/>
                <w:b/>
                <w:bCs/>
                <w:color w:val="FF0000"/>
                <w:kern w:val="2"/>
                <w:sz w:val="26"/>
                <w:szCs w:val="24"/>
                <w:lang w:val="en-US" w:eastAsia="zh-CN" w:bidi="ar-SA"/>
              </w:rPr>
            </w:pPr>
            <w:r>
              <w:rPr>
                <w:rFonts w:hint="eastAsia" w:ascii="Times New Roman" w:hAnsi="Times New Roman" w:cs="Times New Roman"/>
                <w:b/>
                <w:bCs/>
                <w:color w:val="FF0000"/>
                <w:kern w:val="2"/>
                <w:sz w:val="26"/>
                <w:szCs w:val="24"/>
                <w:lang w:val="en-US" w:eastAsia="zh-CN" w:bidi="ar-SA"/>
              </w:rPr>
              <w:t>1.9</w:t>
            </w:r>
            <w:r>
              <w:rPr>
                <w:rFonts w:hint="eastAsia" w:ascii="Times New Roman" w:hAnsi="Times New Roman" w:eastAsia="宋体" w:cs="Times New Roman"/>
                <w:b/>
                <w:bCs/>
                <w:color w:val="FF0000"/>
                <w:kern w:val="2"/>
                <w:sz w:val="26"/>
                <w:szCs w:val="24"/>
                <w:lang w:val="en-US" w:eastAsia="zh-CN" w:bidi="ar-SA"/>
              </w:rPr>
              <w:t>与《重庆市空气质量持续改善行动实施方案》符合性分析</w:t>
            </w:r>
          </w:p>
          <w:p w14:paraId="029AE04F">
            <w:pPr>
              <w:pStyle w:val="10"/>
              <w:keepNext w:val="0"/>
              <w:keepLines w:val="0"/>
              <w:pageBreakBefore w:val="0"/>
              <w:widowControl w:val="0"/>
              <w:numPr>
                <w:ilvl w:val="0"/>
                <w:numId w:val="0"/>
              </w:numPr>
              <w:kinsoku/>
              <w:wordWrap w:val="0"/>
              <w:overflowPunct/>
              <w:topLinePunct w:val="0"/>
              <w:autoSpaceDE/>
              <w:autoSpaceDN/>
              <w:bidi w:val="0"/>
              <w:adjustRightInd w:val="0"/>
              <w:snapToGrid w:val="0"/>
              <w:spacing w:line="460" w:lineRule="exact"/>
              <w:ind w:firstLine="520" w:firstLineChars="200"/>
              <w:jc w:val="both"/>
              <w:textAlignment w:val="auto"/>
              <w:rPr>
                <w:rFonts w:hint="default" w:cs="Times New Roman"/>
                <w:b w:val="0"/>
                <w:bCs w:val="0"/>
                <w:color w:val="FF0000"/>
                <w:lang w:val="en-US" w:eastAsia="zh-CN"/>
              </w:rPr>
            </w:pPr>
            <w:r>
              <w:rPr>
                <w:rFonts w:hint="eastAsia" w:cs="Times New Roman"/>
                <w:b w:val="0"/>
                <w:bCs w:val="0"/>
                <w:color w:val="FF0000"/>
                <w:sz w:val="26"/>
                <w:szCs w:val="26"/>
                <w:lang w:val="en-US" w:eastAsia="zh-CN"/>
              </w:rPr>
              <w:t>本项目与《重庆市空气质量持续改善行动实施方案》的符合性分析详见表1.9-1。</w:t>
            </w:r>
          </w:p>
          <w:p w14:paraId="55B9CC2E">
            <w:pPr>
              <w:spacing w:line="240" w:lineRule="auto"/>
              <w:jc w:val="center"/>
              <w:rPr>
                <w:rFonts w:hint="default" w:ascii="Times New Roman" w:hAnsi="Times New Roman" w:eastAsia="宋体" w:cs="Times New Roman"/>
                <w:color w:val="FF0000"/>
                <w:sz w:val="22"/>
                <w:szCs w:val="21"/>
                <w:lang w:val="en-US" w:eastAsia="zh-CN"/>
              </w:rPr>
            </w:pPr>
            <w:r>
              <w:rPr>
                <w:rFonts w:hint="default" w:ascii="Times New Roman" w:hAnsi="Times New Roman" w:cs="Times New Roman"/>
                <w:color w:val="FF0000"/>
                <w:sz w:val="22"/>
                <w:szCs w:val="21"/>
              </w:rPr>
              <w:t>表1.</w:t>
            </w:r>
            <w:r>
              <w:rPr>
                <w:rFonts w:hint="eastAsia" w:ascii="Times New Roman" w:hAnsi="Times New Roman" w:cs="Times New Roman"/>
                <w:color w:val="FF0000"/>
                <w:sz w:val="22"/>
                <w:szCs w:val="21"/>
                <w:lang w:val="en-US" w:eastAsia="zh-CN"/>
              </w:rPr>
              <w:t>9-1</w:t>
            </w:r>
            <w:r>
              <w:rPr>
                <w:rFonts w:hint="eastAsia" w:cs="Times New Roman"/>
                <w:color w:val="FF0000"/>
                <w:sz w:val="22"/>
                <w:szCs w:val="21"/>
                <w:lang w:val="en-US" w:eastAsia="zh-CN"/>
              </w:rPr>
              <w:t xml:space="preserve">  </w:t>
            </w:r>
            <w:r>
              <w:rPr>
                <w:rFonts w:hint="default" w:ascii="Times New Roman" w:hAnsi="Times New Roman" w:cs="Times New Roman"/>
                <w:color w:val="FF0000"/>
                <w:sz w:val="22"/>
                <w:szCs w:val="21"/>
              </w:rPr>
              <w:t>与《重庆市空气质量持续改善行动实施方案》符合性分析</w:t>
            </w:r>
            <w:r>
              <w:rPr>
                <w:rFonts w:hint="eastAsia" w:cs="Times New Roman"/>
                <w:color w:val="FF0000"/>
                <w:sz w:val="22"/>
                <w:szCs w:val="21"/>
                <w:lang w:val="en-US" w:eastAsia="zh-CN"/>
              </w:rPr>
              <w:t>（摘录）</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2766"/>
              <w:gridCol w:w="2676"/>
              <w:gridCol w:w="929"/>
            </w:tblGrid>
            <w:tr w14:paraId="3F25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3D18CCFF">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序号</w:t>
                  </w:r>
                </w:p>
              </w:tc>
              <w:tc>
                <w:tcPr>
                  <w:tcW w:w="1909" w:type="pct"/>
                  <w:vAlign w:val="center"/>
                </w:tcPr>
                <w:p w14:paraId="41A1FA0E">
                  <w:pPr>
                    <w:jc w:val="center"/>
                    <w:rPr>
                      <w:rFonts w:hint="default" w:ascii="Times New Roman" w:hAnsi="Times New Roman" w:eastAsia="宋体" w:cs="Times New Roman"/>
                      <w:color w:val="FF0000"/>
                      <w:sz w:val="22"/>
                      <w:szCs w:val="22"/>
                      <w:lang w:val="en-US" w:eastAsia="zh-CN"/>
                    </w:rPr>
                  </w:pPr>
                  <w:r>
                    <w:rPr>
                      <w:rFonts w:hint="eastAsia" w:cs="Times New Roman"/>
                      <w:color w:val="FF0000"/>
                      <w:sz w:val="22"/>
                      <w:szCs w:val="22"/>
                      <w:lang w:val="en-US" w:eastAsia="zh-CN"/>
                    </w:rPr>
                    <w:t>实施方案内容</w:t>
                  </w:r>
                </w:p>
              </w:tc>
              <w:tc>
                <w:tcPr>
                  <w:tcW w:w="1846" w:type="pct"/>
                  <w:vAlign w:val="center"/>
                </w:tcPr>
                <w:p w14:paraId="14759E4E">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本项目概况</w:t>
                  </w:r>
                </w:p>
              </w:tc>
              <w:tc>
                <w:tcPr>
                  <w:tcW w:w="640" w:type="pct"/>
                  <w:vAlign w:val="center"/>
                </w:tcPr>
                <w:p w14:paraId="007B1F08">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符合性</w:t>
                  </w:r>
                </w:p>
              </w:tc>
            </w:tr>
            <w:tr w14:paraId="2A74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6FBAA70">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二、实施产业产品绿色转型升级行动，推动产业结构优化</w:t>
                  </w:r>
                </w:p>
              </w:tc>
            </w:tr>
            <w:tr w14:paraId="4D18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0632D410">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（二）遏制高耗能、高排放、低水平项目盲目上马</w:t>
                  </w:r>
                </w:p>
              </w:tc>
              <w:tc>
                <w:tcPr>
                  <w:tcW w:w="1909" w:type="pct"/>
                  <w:vAlign w:val="center"/>
                </w:tcPr>
                <w:p w14:paraId="7B404F4A">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新改扩建项目严格落实产业规划、产业政策、生态环境分区管控方案、规划环评、项目环评、节能审查、产能置换、重点污染物总量控制、污染物排放区域削减、碳排放达峰目标等相关要求，坚决遏制“两高一低”项目盲目发展。</w:t>
                  </w:r>
                </w:p>
              </w:tc>
              <w:tc>
                <w:tcPr>
                  <w:tcW w:w="1846" w:type="pct"/>
                  <w:vAlign w:val="center"/>
                </w:tcPr>
                <w:p w14:paraId="659815C9">
                  <w:pPr>
                    <w:jc w:val="center"/>
                    <w:rPr>
                      <w:rFonts w:hint="default" w:ascii="Times New Roman" w:hAnsi="Times New Roman" w:eastAsia="宋体" w:cs="Times New Roman"/>
                      <w:color w:val="FF0000"/>
                      <w:sz w:val="22"/>
                      <w:szCs w:val="22"/>
                      <w:lang w:val="en-US" w:eastAsia="zh-CN"/>
                    </w:rPr>
                  </w:pPr>
                  <w:r>
                    <w:rPr>
                      <w:rFonts w:hint="eastAsia" w:cs="Times New Roman"/>
                      <w:color w:val="FF0000"/>
                      <w:sz w:val="22"/>
                      <w:szCs w:val="22"/>
                      <w:lang w:val="en-US" w:eastAsia="zh-CN"/>
                    </w:rPr>
                    <w:t>本项目符合产业规划、产业政策、生态环境分区管控方案、规划环评、节能审查、重点污染物总量控制、污染物排放区域削减、碳排放达峰目标等相关要求，且本项目不属于“两高一低”项目</w:t>
                  </w:r>
                </w:p>
              </w:tc>
              <w:tc>
                <w:tcPr>
                  <w:tcW w:w="640" w:type="pct"/>
                  <w:vAlign w:val="center"/>
                </w:tcPr>
                <w:p w14:paraId="49CEFB52">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符合</w:t>
                  </w:r>
                </w:p>
              </w:tc>
            </w:tr>
            <w:tr w14:paraId="6EBB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4A400D10">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（三）推动产业集群实施废气治理和升级改造</w:t>
                  </w:r>
                </w:p>
              </w:tc>
              <w:tc>
                <w:tcPr>
                  <w:tcW w:w="1909" w:type="pct"/>
                  <w:vAlign w:val="center"/>
                </w:tcPr>
                <w:p w14:paraId="1E6BC17E">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重点区域区县根据实际情况制定中小微企业大气污染专项整治方案，依法淘汰关停一批、搬迁入园一批、就地改造一批、做优做强一批，严防污染下乡。加快推进汽车摩托车配件、印刷包装、汽修、家具等行业中小微企业规范化发展，鼓励中小微企业开展绿色转型和升级改造。</w:t>
                  </w:r>
                </w:p>
              </w:tc>
              <w:tc>
                <w:tcPr>
                  <w:tcW w:w="1846" w:type="pct"/>
                  <w:vAlign w:val="center"/>
                </w:tcPr>
                <w:p w14:paraId="79B4D97E">
                  <w:pPr>
                    <w:jc w:val="center"/>
                    <w:rPr>
                      <w:rFonts w:hint="default" w:ascii="Times New Roman" w:hAnsi="Times New Roman" w:eastAsia="宋体" w:cs="Times New Roman"/>
                      <w:color w:val="FF0000"/>
                      <w:sz w:val="22"/>
                      <w:szCs w:val="22"/>
                      <w:lang w:val="en-US" w:eastAsia="zh-CN"/>
                    </w:rPr>
                  </w:pPr>
                  <w:r>
                    <w:rPr>
                      <w:rFonts w:hint="eastAsia" w:cs="Times New Roman"/>
                      <w:color w:val="FF0000"/>
                      <w:sz w:val="22"/>
                      <w:szCs w:val="22"/>
                      <w:lang w:val="en-US" w:eastAsia="zh-CN"/>
                    </w:rPr>
                    <w:t>本项目污染物均达标排放，且不属于前述行业</w:t>
                  </w:r>
                </w:p>
              </w:tc>
              <w:tc>
                <w:tcPr>
                  <w:tcW w:w="640" w:type="pct"/>
                  <w:vAlign w:val="center"/>
                </w:tcPr>
                <w:p w14:paraId="512205EE">
                  <w:pPr>
                    <w:jc w:val="center"/>
                    <w:rPr>
                      <w:rFonts w:hint="eastAsia" w:ascii="Times New Roman" w:hAnsi="Times New Roman" w:eastAsia="宋体" w:cs="Times New Roman"/>
                      <w:color w:val="FF0000"/>
                      <w:sz w:val="22"/>
                      <w:szCs w:val="22"/>
                      <w:lang w:val="en-US" w:eastAsia="zh-CN"/>
                    </w:rPr>
                  </w:pPr>
                  <w:r>
                    <w:rPr>
                      <w:rFonts w:hint="eastAsia" w:cs="Times New Roman"/>
                      <w:color w:val="FF0000"/>
                      <w:sz w:val="22"/>
                      <w:szCs w:val="22"/>
                      <w:lang w:val="en-US" w:eastAsia="zh-CN"/>
                    </w:rPr>
                    <w:t>符合</w:t>
                  </w:r>
                </w:p>
              </w:tc>
            </w:tr>
            <w:tr w14:paraId="08A7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54E122A9">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（四）优化含VOCs原辅材料和产品结构</w:t>
                  </w:r>
                </w:p>
              </w:tc>
              <w:tc>
                <w:tcPr>
                  <w:tcW w:w="1909" w:type="pct"/>
                  <w:vAlign w:val="center"/>
                </w:tcPr>
                <w:p w14:paraId="5AB82194">
                  <w:pPr>
                    <w:jc w:val="center"/>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严格执行VOCs含量限值标准，控制生产和使用高VOCs含量涂料、油墨、胶粘剂、清洗剂等建设项目。以工业涂装、印刷包装和电子等行业为重点，提高低（无）VOCs含量产品的数量和比重。</w:t>
                  </w:r>
                </w:p>
              </w:tc>
              <w:tc>
                <w:tcPr>
                  <w:tcW w:w="1846" w:type="pct"/>
                  <w:vAlign w:val="center"/>
                </w:tcPr>
                <w:p w14:paraId="0E023AD9">
                  <w:pPr>
                    <w:jc w:val="center"/>
                    <w:rPr>
                      <w:rFonts w:hint="default" w:ascii="Times New Roman" w:hAnsi="Times New Roman" w:eastAsia="宋体" w:cs="Times New Roman"/>
                      <w:color w:val="FF0000"/>
                      <w:sz w:val="22"/>
                      <w:szCs w:val="22"/>
                      <w:lang w:val="en-US" w:eastAsia="zh-CN"/>
                    </w:rPr>
                  </w:pPr>
                  <w:r>
                    <w:rPr>
                      <w:rFonts w:hint="eastAsia" w:cs="Times New Roman"/>
                      <w:color w:val="FF0000"/>
                      <w:sz w:val="22"/>
                      <w:szCs w:val="22"/>
                      <w:lang w:val="en-US" w:eastAsia="zh-CN"/>
                    </w:rPr>
                    <w:t>本项目原辅料为汽油、柴油，不属于</w:t>
                  </w:r>
                  <w:r>
                    <w:rPr>
                      <w:rFonts w:hint="default" w:ascii="Times New Roman" w:hAnsi="Times New Roman" w:cs="Times New Roman"/>
                      <w:color w:val="FF0000"/>
                      <w:sz w:val="22"/>
                      <w:szCs w:val="22"/>
                    </w:rPr>
                    <w:t>高VOCs含量涂料、油墨、胶粘剂、清洗剂</w:t>
                  </w:r>
                  <w:r>
                    <w:rPr>
                      <w:rFonts w:hint="eastAsia" w:cs="Times New Roman"/>
                      <w:color w:val="FF0000"/>
                      <w:sz w:val="22"/>
                      <w:szCs w:val="22"/>
                      <w:lang w:val="en-US" w:eastAsia="zh-CN"/>
                    </w:rPr>
                    <w:t>等，且原料装卸过程及大小呼吸过程产生的VOC</w:t>
                  </w:r>
                  <w:r>
                    <w:rPr>
                      <w:rFonts w:hint="eastAsia" w:cs="Times New Roman"/>
                      <w:color w:val="FF0000"/>
                      <w:sz w:val="22"/>
                      <w:szCs w:val="22"/>
                      <w:vertAlign w:val="subscript"/>
                      <w:lang w:val="en-US" w:eastAsia="zh-CN"/>
                    </w:rPr>
                    <w:t>S</w:t>
                  </w:r>
                  <w:r>
                    <w:rPr>
                      <w:rFonts w:hint="eastAsia" w:cs="Times New Roman"/>
                      <w:color w:val="FF0000"/>
                      <w:sz w:val="22"/>
                      <w:szCs w:val="22"/>
                      <w:lang w:val="en-US" w:eastAsia="zh-CN"/>
                    </w:rPr>
                    <w:t>均采取有效措施集中收集后达标排放。</w:t>
                  </w:r>
                </w:p>
              </w:tc>
              <w:tc>
                <w:tcPr>
                  <w:tcW w:w="640" w:type="pct"/>
                  <w:vAlign w:val="center"/>
                </w:tcPr>
                <w:p w14:paraId="1552EAD8">
                  <w:pPr>
                    <w:jc w:val="center"/>
                    <w:rPr>
                      <w:rFonts w:hint="eastAsia" w:ascii="Times New Roman" w:hAnsi="Times New Roman" w:eastAsia="宋体" w:cs="Times New Roman"/>
                      <w:color w:val="FF0000"/>
                      <w:sz w:val="22"/>
                      <w:szCs w:val="22"/>
                      <w:lang w:val="en-US" w:eastAsia="zh-CN"/>
                    </w:rPr>
                  </w:pPr>
                  <w:r>
                    <w:rPr>
                      <w:rFonts w:hint="eastAsia" w:cs="Times New Roman"/>
                      <w:color w:val="FF0000"/>
                      <w:sz w:val="22"/>
                      <w:szCs w:val="22"/>
                      <w:lang w:val="en-US" w:eastAsia="zh-CN"/>
                    </w:rPr>
                    <w:t>符合</w:t>
                  </w:r>
                </w:p>
              </w:tc>
            </w:tr>
          </w:tbl>
          <w:p w14:paraId="3D9A6A8D">
            <w:pPr>
              <w:autoSpaceDE w:val="0"/>
              <w:autoSpaceDN w:val="0"/>
              <w:adjustRightInd w:val="0"/>
              <w:snapToGrid w:val="0"/>
              <w:spacing w:line="460" w:lineRule="exact"/>
              <w:ind w:firstLine="520" w:firstLineChars="200"/>
              <w:rPr>
                <w:rFonts w:hint="eastAsia"/>
                <w:sz w:val="26"/>
                <w:szCs w:val="26"/>
              </w:rPr>
            </w:pPr>
            <w:r>
              <w:rPr>
                <w:rFonts w:hint="eastAsia" w:cs="Times New Roman"/>
                <w:b w:val="0"/>
                <w:bCs w:val="0"/>
                <w:color w:val="FF0000"/>
                <w:sz w:val="26"/>
                <w:szCs w:val="26"/>
                <w:lang w:val="en-US" w:eastAsia="zh-CN"/>
              </w:rPr>
              <w:t>由上表可知，项目与《重庆市空气质量持续改善行动实施方案》相关内容相符。</w:t>
            </w:r>
          </w:p>
          <w:p w14:paraId="541E8298">
            <w:pPr>
              <w:widowControl/>
              <w:spacing w:line="460" w:lineRule="exact"/>
              <w:jc w:val="left"/>
              <w:rPr>
                <w:b/>
                <w:bCs/>
                <w:kern w:val="0"/>
                <w:sz w:val="26"/>
                <w:szCs w:val="26"/>
                <w:highlight w:val="yellow"/>
              </w:rPr>
            </w:pPr>
            <w:r>
              <w:rPr>
                <w:rFonts w:hint="eastAsia"/>
                <w:b/>
                <w:bCs/>
                <w:kern w:val="0"/>
                <w:sz w:val="26"/>
                <w:szCs w:val="26"/>
              </w:rPr>
              <w:t>1.</w:t>
            </w:r>
            <w:r>
              <w:rPr>
                <w:rFonts w:hint="eastAsia"/>
                <w:b/>
                <w:bCs/>
                <w:kern w:val="0"/>
                <w:sz w:val="26"/>
                <w:szCs w:val="26"/>
                <w:lang w:val="en-US" w:eastAsia="zh-CN"/>
              </w:rPr>
              <w:t>10</w:t>
            </w:r>
            <w:r>
              <w:rPr>
                <w:rFonts w:hint="eastAsia"/>
                <w:b/>
                <w:bCs/>
                <w:kern w:val="0"/>
                <w:sz w:val="26"/>
                <w:szCs w:val="26"/>
              </w:rPr>
              <w:t>与区域“三线一单”符合性分析</w:t>
            </w:r>
          </w:p>
          <w:p w14:paraId="6EF6077F">
            <w:pPr>
              <w:autoSpaceDE w:val="0"/>
              <w:autoSpaceDN w:val="0"/>
              <w:adjustRightInd w:val="0"/>
              <w:snapToGrid w:val="0"/>
              <w:spacing w:line="460" w:lineRule="exact"/>
              <w:ind w:firstLine="520" w:firstLineChars="200"/>
              <w:rPr>
                <w:rFonts w:hint="eastAsia"/>
                <w:sz w:val="26"/>
                <w:szCs w:val="26"/>
              </w:rPr>
            </w:pPr>
            <w:r>
              <w:rPr>
                <w:rFonts w:hint="eastAsia"/>
                <w:sz w:val="26"/>
                <w:szCs w:val="26"/>
              </w:rPr>
              <w:t>通过在重庆市“三线一单”智检服务平台进行调查分析，项目位于重庆市九龙坡区华福大道北段400号，从事成品油销售服务，项目所在地不属于生态保护红线和一般生态空间，属于ZH50010</w:t>
            </w:r>
            <w:r>
              <w:rPr>
                <w:rFonts w:hint="eastAsia"/>
                <w:sz w:val="26"/>
                <w:szCs w:val="26"/>
                <w:lang w:val="en-US" w:eastAsia="zh-CN"/>
              </w:rPr>
              <w:t>7</w:t>
            </w:r>
            <w:r>
              <w:rPr>
                <w:rFonts w:hint="eastAsia"/>
                <w:sz w:val="26"/>
                <w:szCs w:val="26"/>
              </w:rPr>
              <w:t>20001九龙坡区工业城镇重点管控单元-九龙东城片区，系重点管控单元1，符合其管控要求。</w:t>
            </w:r>
          </w:p>
          <w:p w14:paraId="4186B9D2">
            <w:pPr>
              <w:pStyle w:val="7"/>
              <w:rPr>
                <w:rFonts w:hint="eastAsia"/>
                <w:sz w:val="26"/>
                <w:szCs w:val="26"/>
              </w:rPr>
            </w:pPr>
          </w:p>
        </w:tc>
      </w:tr>
    </w:tbl>
    <w:p w14:paraId="2D94985C">
      <w:pPr>
        <w:spacing w:line="360" w:lineRule="auto"/>
        <w:outlineLvl w:val="0"/>
        <w:rPr>
          <w:rFonts w:eastAsia="黑体"/>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8A5BA98">
      <w:pPr>
        <w:autoSpaceDE w:val="0"/>
        <w:autoSpaceDN w:val="0"/>
        <w:adjustRightInd w:val="0"/>
        <w:snapToGrid w:val="0"/>
        <w:spacing w:line="240" w:lineRule="auto"/>
        <w:ind w:firstLine="440" w:firstLineChars="200"/>
        <w:jc w:val="center"/>
        <w:rPr>
          <w:kern w:val="0"/>
          <w:sz w:val="26"/>
          <w:szCs w:val="26"/>
        </w:rPr>
      </w:pPr>
      <w:r>
        <w:rPr>
          <w:rFonts w:hint="eastAsia"/>
          <w:kern w:val="0"/>
          <w:sz w:val="22"/>
          <w:szCs w:val="22"/>
        </w:rPr>
        <w:t>表1.</w:t>
      </w:r>
      <w:r>
        <w:rPr>
          <w:rFonts w:hint="eastAsia"/>
          <w:kern w:val="0"/>
          <w:sz w:val="22"/>
          <w:szCs w:val="22"/>
          <w:lang w:val="en-US" w:eastAsia="zh-CN"/>
        </w:rPr>
        <w:t>10</w:t>
      </w:r>
      <w:r>
        <w:rPr>
          <w:rFonts w:hint="eastAsia"/>
          <w:kern w:val="0"/>
          <w:sz w:val="22"/>
          <w:szCs w:val="22"/>
        </w:rPr>
        <w:t>-1   与区域“三线一单”符合性分析</w:t>
      </w:r>
    </w:p>
    <w:tbl>
      <w:tblPr>
        <w:tblStyle w:val="17"/>
        <w:tblW w:w="5000" w:type="pct"/>
        <w:jc w:val="center"/>
        <w:tblLayout w:type="autofit"/>
        <w:tblCellMar>
          <w:top w:w="0" w:type="dxa"/>
          <w:left w:w="108" w:type="dxa"/>
          <w:bottom w:w="0" w:type="dxa"/>
          <w:right w:w="108" w:type="dxa"/>
        </w:tblCellMar>
      </w:tblPr>
      <w:tblGrid>
        <w:gridCol w:w="1201"/>
        <w:gridCol w:w="1425"/>
        <w:gridCol w:w="6578"/>
        <w:gridCol w:w="3302"/>
        <w:gridCol w:w="1146"/>
      </w:tblGrid>
      <w:tr w14:paraId="2F408A09">
        <w:tblPrEx>
          <w:tblCellMar>
            <w:top w:w="0" w:type="dxa"/>
            <w:left w:w="108" w:type="dxa"/>
            <w:bottom w:w="0" w:type="dxa"/>
            <w:right w:w="108" w:type="dxa"/>
          </w:tblCellMar>
        </w:tblPrEx>
        <w:trPr>
          <w:trHeight w:val="23" w:hRule="atLeast"/>
          <w:jc w:val="center"/>
        </w:trPr>
        <w:tc>
          <w:tcPr>
            <w:tcW w:w="2626" w:type="dxa"/>
            <w:gridSpan w:val="2"/>
            <w:tcBorders>
              <w:top w:val="single" w:color="000000" w:sz="4" w:space="0"/>
              <w:left w:val="single" w:color="000000" w:sz="4" w:space="0"/>
              <w:bottom w:val="single" w:color="000000" w:sz="4" w:space="0"/>
              <w:right w:val="single" w:color="000000" w:sz="4" w:space="0"/>
            </w:tcBorders>
            <w:vAlign w:val="center"/>
          </w:tcPr>
          <w:p w14:paraId="54E9501E">
            <w:pPr>
              <w:jc w:val="center"/>
              <w:textAlignment w:val="center"/>
              <w:rPr>
                <w:sz w:val="22"/>
                <w:szCs w:val="22"/>
              </w:rPr>
            </w:pPr>
            <w:r>
              <w:rPr>
                <w:snapToGrid w:val="0"/>
                <w:kern w:val="0"/>
                <w:sz w:val="22"/>
                <w:szCs w:val="22"/>
                <w:lang w:bidi="ar"/>
              </w:rPr>
              <w:t>环境管控单元编码</w:t>
            </w:r>
          </w:p>
        </w:tc>
        <w:tc>
          <w:tcPr>
            <w:tcW w:w="6578" w:type="dxa"/>
            <w:tcBorders>
              <w:top w:val="single" w:color="000000" w:sz="4" w:space="0"/>
              <w:left w:val="single" w:color="000000" w:sz="4" w:space="0"/>
              <w:bottom w:val="single" w:color="000000" w:sz="4" w:space="0"/>
              <w:right w:val="single" w:color="000000" w:sz="4" w:space="0"/>
            </w:tcBorders>
            <w:vAlign w:val="center"/>
          </w:tcPr>
          <w:p w14:paraId="15B38450">
            <w:pPr>
              <w:jc w:val="center"/>
              <w:textAlignment w:val="center"/>
              <w:rPr>
                <w:sz w:val="22"/>
                <w:szCs w:val="22"/>
              </w:rPr>
            </w:pPr>
            <w:r>
              <w:rPr>
                <w:snapToGrid w:val="0"/>
                <w:kern w:val="0"/>
                <w:sz w:val="22"/>
                <w:szCs w:val="22"/>
                <w:lang w:bidi="ar"/>
              </w:rPr>
              <w:t>环境管控单元名称</w:t>
            </w:r>
          </w:p>
        </w:tc>
        <w:tc>
          <w:tcPr>
            <w:tcW w:w="4448" w:type="dxa"/>
            <w:gridSpan w:val="2"/>
            <w:tcBorders>
              <w:top w:val="single" w:color="000000" w:sz="4" w:space="0"/>
              <w:left w:val="single" w:color="000000" w:sz="4" w:space="0"/>
              <w:bottom w:val="single" w:color="000000" w:sz="4" w:space="0"/>
              <w:right w:val="single" w:color="000000" w:sz="4" w:space="0"/>
            </w:tcBorders>
            <w:vAlign w:val="center"/>
          </w:tcPr>
          <w:p w14:paraId="22E7BCBE">
            <w:pPr>
              <w:jc w:val="center"/>
              <w:textAlignment w:val="center"/>
              <w:rPr>
                <w:sz w:val="22"/>
                <w:szCs w:val="22"/>
              </w:rPr>
            </w:pPr>
            <w:r>
              <w:rPr>
                <w:snapToGrid w:val="0"/>
                <w:kern w:val="0"/>
                <w:sz w:val="22"/>
                <w:szCs w:val="22"/>
                <w:lang w:bidi="ar"/>
              </w:rPr>
              <w:t>环境管控单元类型</w:t>
            </w:r>
          </w:p>
        </w:tc>
      </w:tr>
      <w:tr w14:paraId="03770B8C">
        <w:tblPrEx>
          <w:tblCellMar>
            <w:top w:w="0" w:type="dxa"/>
            <w:left w:w="108" w:type="dxa"/>
            <w:bottom w:w="0" w:type="dxa"/>
            <w:right w:w="108" w:type="dxa"/>
          </w:tblCellMar>
        </w:tblPrEx>
        <w:trPr>
          <w:trHeight w:val="23" w:hRule="atLeast"/>
          <w:jc w:val="center"/>
        </w:trPr>
        <w:tc>
          <w:tcPr>
            <w:tcW w:w="2626" w:type="dxa"/>
            <w:gridSpan w:val="2"/>
            <w:tcBorders>
              <w:top w:val="single" w:color="000000" w:sz="4" w:space="0"/>
              <w:left w:val="single" w:color="000000" w:sz="4" w:space="0"/>
              <w:bottom w:val="single" w:color="000000" w:sz="4" w:space="0"/>
              <w:right w:val="single" w:color="000000" w:sz="4" w:space="0"/>
            </w:tcBorders>
            <w:vAlign w:val="center"/>
          </w:tcPr>
          <w:p w14:paraId="59FC39E9">
            <w:pPr>
              <w:jc w:val="center"/>
              <w:textAlignment w:val="center"/>
              <w:rPr>
                <w:sz w:val="22"/>
                <w:szCs w:val="22"/>
              </w:rPr>
            </w:pPr>
            <w:r>
              <w:rPr>
                <w:snapToGrid w:val="0"/>
                <w:kern w:val="0"/>
                <w:sz w:val="22"/>
                <w:szCs w:val="22"/>
                <w:lang w:bidi="ar"/>
              </w:rPr>
              <w:t>ZH</w:t>
            </w:r>
            <w:r>
              <w:rPr>
                <w:rStyle w:val="90"/>
                <w:snapToGrid w:val="0"/>
                <w:color w:val="auto"/>
                <w:sz w:val="22"/>
                <w:szCs w:val="22"/>
                <w:lang w:bidi="ar"/>
              </w:rPr>
              <w:t>50010</w:t>
            </w:r>
            <w:r>
              <w:rPr>
                <w:rStyle w:val="90"/>
                <w:rFonts w:hint="eastAsia"/>
                <w:snapToGrid w:val="0"/>
                <w:color w:val="auto"/>
                <w:sz w:val="22"/>
                <w:szCs w:val="22"/>
                <w:lang w:val="en-US" w:eastAsia="zh-CN" w:bidi="ar"/>
              </w:rPr>
              <w:t>7</w:t>
            </w:r>
            <w:r>
              <w:rPr>
                <w:rStyle w:val="90"/>
                <w:snapToGrid w:val="0"/>
                <w:color w:val="auto"/>
                <w:sz w:val="22"/>
                <w:szCs w:val="22"/>
                <w:lang w:bidi="ar"/>
              </w:rPr>
              <w:t>20001</w:t>
            </w:r>
          </w:p>
        </w:tc>
        <w:tc>
          <w:tcPr>
            <w:tcW w:w="6578" w:type="dxa"/>
            <w:tcBorders>
              <w:top w:val="single" w:color="000000" w:sz="4" w:space="0"/>
              <w:left w:val="single" w:color="000000" w:sz="4" w:space="0"/>
              <w:bottom w:val="single" w:color="000000" w:sz="4" w:space="0"/>
              <w:right w:val="single" w:color="000000" w:sz="4" w:space="0"/>
            </w:tcBorders>
            <w:vAlign w:val="center"/>
          </w:tcPr>
          <w:p w14:paraId="3C4673CA">
            <w:pPr>
              <w:jc w:val="center"/>
              <w:textAlignment w:val="center"/>
              <w:rPr>
                <w:sz w:val="22"/>
                <w:szCs w:val="22"/>
              </w:rPr>
            </w:pPr>
            <w:r>
              <w:rPr>
                <w:rFonts w:hint="eastAsia"/>
                <w:sz w:val="22"/>
                <w:szCs w:val="22"/>
              </w:rPr>
              <w:t>九龙坡区工业城镇重点管控单元-九龙东城片区</w:t>
            </w:r>
          </w:p>
        </w:tc>
        <w:tc>
          <w:tcPr>
            <w:tcW w:w="4448" w:type="dxa"/>
            <w:gridSpan w:val="2"/>
            <w:tcBorders>
              <w:top w:val="single" w:color="000000" w:sz="4" w:space="0"/>
              <w:left w:val="single" w:color="000000" w:sz="4" w:space="0"/>
              <w:bottom w:val="single" w:color="000000" w:sz="4" w:space="0"/>
              <w:right w:val="single" w:color="000000" w:sz="4" w:space="0"/>
            </w:tcBorders>
            <w:vAlign w:val="center"/>
          </w:tcPr>
          <w:p w14:paraId="75D4E58B">
            <w:pPr>
              <w:jc w:val="center"/>
              <w:textAlignment w:val="center"/>
              <w:rPr>
                <w:rFonts w:hint="eastAsia" w:eastAsia="宋体"/>
                <w:sz w:val="22"/>
                <w:szCs w:val="22"/>
                <w:lang w:val="en-US" w:eastAsia="zh-CN"/>
              </w:rPr>
            </w:pPr>
            <w:r>
              <w:rPr>
                <w:snapToGrid w:val="0"/>
                <w:kern w:val="0"/>
                <w:sz w:val="22"/>
                <w:szCs w:val="22"/>
                <w:lang w:bidi="ar"/>
              </w:rPr>
              <w:t>重点管控单元</w:t>
            </w:r>
            <w:r>
              <w:rPr>
                <w:rFonts w:hint="eastAsia"/>
                <w:snapToGrid w:val="0"/>
                <w:kern w:val="0"/>
                <w:sz w:val="22"/>
                <w:szCs w:val="22"/>
                <w:lang w:val="en-US" w:eastAsia="zh-CN" w:bidi="ar"/>
              </w:rPr>
              <w:t>1</w:t>
            </w:r>
          </w:p>
        </w:tc>
      </w:tr>
      <w:tr w14:paraId="19CBD5AF">
        <w:tblPrEx>
          <w:tblCellMar>
            <w:top w:w="0" w:type="dxa"/>
            <w:left w:w="108" w:type="dxa"/>
            <w:bottom w:w="0" w:type="dxa"/>
            <w:right w:w="108" w:type="dxa"/>
          </w:tblCellMar>
        </w:tblPrEx>
        <w:trPr>
          <w:trHeight w:val="23"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14:paraId="0902ABB1">
            <w:pPr>
              <w:jc w:val="center"/>
              <w:textAlignment w:val="center"/>
              <w:rPr>
                <w:sz w:val="22"/>
                <w:szCs w:val="22"/>
              </w:rPr>
            </w:pPr>
            <w:r>
              <w:rPr>
                <w:snapToGrid w:val="0"/>
                <w:kern w:val="0"/>
                <w:sz w:val="22"/>
                <w:szCs w:val="22"/>
                <w:lang w:bidi="ar"/>
              </w:rPr>
              <w:t>管控要</w:t>
            </w:r>
            <w:r>
              <w:rPr>
                <w:rStyle w:val="91"/>
                <w:rFonts w:hint="default" w:ascii="Times New Roman" w:hAnsi="Times New Roman" w:cs="Times New Roman"/>
                <w:snapToGrid w:val="0"/>
                <w:color w:val="auto"/>
                <w:sz w:val="22"/>
                <w:szCs w:val="22"/>
                <w:lang w:bidi="ar"/>
              </w:rPr>
              <w:t>求层级</w:t>
            </w:r>
          </w:p>
        </w:tc>
        <w:tc>
          <w:tcPr>
            <w:tcW w:w="1425" w:type="dxa"/>
            <w:tcBorders>
              <w:top w:val="single" w:color="000000" w:sz="4" w:space="0"/>
              <w:left w:val="single" w:color="000000" w:sz="4" w:space="0"/>
              <w:bottom w:val="single" w:color="000000" w:sz="4" w:space="0"/>
              <w:right w:val="single" w:color="000000" w:sz="4" w:space="0"/>
            </w:tcBorders>
            <w:vAlign w:val="center"/>
          </w:tcPr>
          <w:p w14:paraId="468150C2">
            <w:pPr>
              <w:jc w:val="center"/>
              <w:textAlignment w:val="center"/>
              <w:rPr>
                <w:sz w:val="22"/>
                <w:szCs w:val="22"/>
              </w:rPr>
            </w:pPr>
            <w:r>
              <w:rPr>
                <w:snapToGrid w:val="0"/>
                <w:kern w:val="0"/>
                <w:sz w:val="22"/>
                <w:szCs w:val="22"/>
                <w:lang w:bidi="ar"/>
              </w:rPr>
              <w:t>管控类型</w:t>
            </w:r>
          </w:p>
        </w:tc>
        <w:tc>
          <w:tcPr>
            <w:tcW w:w="6578" w:type="dxa"/>
            <w:tcBorders>
              <w:top w:val="single" w:color="000000" w:sz="4" w:space="0"/>
              <w:left w:val="single" w:color="000000" w:sz="4" w:space="0"/>
              <w:bottom w:val="single" w:color="000000" w:sz="4" w:space="0"/>
              <w:right w:val="single" w:color="000000" w:sz="4" w:space="0"/>
            </w:tcBorders>
            <w:vAlign w:val="center"/>
          </w:tcPr>
          <w:p w14:paraId="6A0409CD">
            <w:pPr>
              <w:jc w:val="center"/>
              <w:textAlignment w:val="center"/>
              <w:rPr>
                <w:sz w:val="22"/>
                <w:szCs w:val="22"/>
              </w:rPr>
            </w:pPr>
            <w:r>
              <w:rPr>
                <w:snapToGrid w:val="0"/>
                <w:kern w:val="0"/>
                <w:sz w:val="22"/>
                <w:szCs w:val="22"/>
                <w:lang w:bidi="ar"/>
              </w:rPr>
              <w:t>管控要求</w:t>
            </w:r>
          </w:p>
        </w:tc>
        <w:tc>
          <w:tcPr>
            <w:tcW w:w="3302" w:type="dxa"/>
            <w:tcBorders>
              <w:top w:val="single" w:color="000000" w:sz="4" w:space="0"/>
              <w:left w:val="single" w:color="000000" w:sz="4" w:space="0"/>
              <w:bottom w:val="single" w:color="000000" w:sz="4" w:space="0"/>
              <w:right w:val="single" w:color="000000" w:sz="4" w:space="0"/>
            </w:tcBorders>
            <w:vAlign w:val="center"/>
          </w:tcPr>
          <w:p w14:paraId="37F8E9D2">
            <w:pPr>
              <w:jc w:val="center"/>
              <w:textAlignment w:val="center"/>
              <w:rPr>
                <w:sz w:val="22"/>
                <w:szCs w:val="22"/>
              </w:rPr>
            </w:pPr>
            <w:r>
              <w:rPr>
                <w:snapToGrid w:val="0"/>
                <w:kern w:val="0"/>
                <w:sz w:val="22"/>
                <w:szCs w:val="22"/>
                <w:lang w:bidi="ar"/>
              </w:rPr>
              <w:t>建设项目情况</w:t>
            </w:r>
          </w:p>
        </w:tc>
        <w:tc>
          <w:tcPr>
            <w:tcW w:w="1146" w:type="dxa"/>
            <w:tcBorders>
              <w:top w:val="single" w:color="000000" w:sz="4" w:space="0"/>
              <w:left w:val="single" w:color="000000" w:sz="4" w:space="0"/>
              <w:bottom w:val="single" w:color="000000" w:sz="4" w:space="0"/>
              <w:right w:val="single" w:color="000000" w:sz="4" w:space="0"/>
            </w:tcBorders>
            <w:vAlign w:val="center"/>
          </w:tcPr>
          <w:p w14:paraId="632EE9CA">
            <w:pPr>
              <w:jc w:val="center"/>
              <w:textAlignment w:val="center"/>
              <w:rPr>
                <w:sz w:val="22"/>
                <w:szCs w:val="22"/>
              </w:rPr>
            </w:pPr>
            <w:r>
              <w:rPr>
                <w:snapToGrid w:val="0"/>
                <w:kern w:val="0"/>
                <w:sz w:val="22"/>
                <w:szCs w:val="22"/>
                <w:lang w:bidi="ar"/>
              </w:rPr>
              <w:t>符合性</w:t>
            </w:r>
          </w:p>
        </w:tc>
      </w:tr>
      <w:tr w14:paraId="23A765CD">
        <w:tblPrEx>
          <w:tblCellMar>
            <w:top w:w="0" w:type="dxa"/>
            <w:left w:w="108" w:type="dxa"/>
            <w:bottom w:w="0" w:type="dxa"/>
            <w:right w:w="108" w:type="dxa"/>
          </w:tblCellMar>
        </w:tblPrEx>
        <w:trPr>
          <w:trHeight w:val="23" w:hRule="atLeast"/>
          <w:jc w:val="center"/>
        </w:trPr>
        <w:tc>
          <w:tcPr>
            <w:tcW w:w="1201" w:type="dxa"/>
            <w:vMerge w:val="restart"/>
            <w:tcBorders>
              <w:top w:val="single" w:color="000000" w:sz="4" w:space="0"/>
              <w:left w:val="single" w:color="000000" w:sz="4" w:space="0"/>
              <w:bottom w:val="single" w:color="000000" w:sz="4" w:space="0"/>
              <w:right w:val="single" w:color="000000" w:sz="4" w:space="0"/>
            </w:tcBorders>
            <w:vAlign w:val="center"/>
          </w:tcPr>
          <w:p w14:paraId="3BD1523F">
            <w:pPr>
              <w:jc w:val="center"/>
              <w:textAlignment w:val="center"/>
              <w:rPr>
                <w:sz w:val="22"/>
                <w:szCs w:val="22"/>
              </w:rPr>
            </w:pPr>
            <w:r>
              <w:rPr>
                <w:snapToGrid w:val="0"/>
                <w:kern w:val="0"/>
                <w:sz w:val="22"/>
                <w:szCs w:val="22"/>
                <w:lang w:bidi="ar"/>
              </w:rPr>
              <w:t>全市总体管控要求</w:t>
            </w: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684D1326">
            <w:pPr>
              <w:jc w:val="center"/>
              <w:textAlignment w:val="center"/>
              <w:rPr>
                <w:sz w:val="22"/>
                <w:szCs w:val="22"/>
              </w:rPr>
            </w:pPr>
            <w:r>
              <w:rPr>
                <w:snapToGrid w:val="0"/>
                <w:kern w:val="0"/>
                <w:sz w:val="22"/>
                <w:szCs w:val="22"/>
                <w:lang w:bidi="ar"/>
              </w:rPr>
              <w:t>空间布局</w:t>
            </w:r>
            <w:r>
              <w:rPr>
                <w:rStyle w:val="91"/>
                <w:rFonts w:hint="default" w:ascii="Times New Roman" w:hAnsi="Times New Roman" w:cs="Times New Roman"/>
                <w:snapToGrid w:val="0"/>
                <w:color w:val="auto"/>
                <w:sz w:val="22"/>
                <w:szCs w:val="22"/>
                <w:lang w:bidi="ar"/>
              </w:rPr>
              <w:t>约束</w:t>
            </w:r>
          </w:p>
        </w:tc>
        <w:tc>
          <w:tcPr>
            <w:tcW w:w="6578" w:type="dxa"/>
            <w:tcBorders>
              <w:top w:val="single" w:color="000000" w:sz="4" w:space="0"/>
              <w:left w:val="single" w:color="000000" w:sz="4" w:space="0"/>
              <w:bottom w:val="single" w:color="000000" w:sz="4" w:space="0"/>
              <w:right w:val="single" w:color="000000" w:sz="4" w:space="0"/>
            </w:tcBorders>
            <w:vAlign w:val="center"/>
          </w:tcPr>
          <w:p w14:paraId="6FE497F5">
            <w:pPr>
              <w:jc w:val="center"/>
              <w:textAlignment w:val="center"/>
              <w:rPr>
                <w:sz w:val="22"/>
                <w:szCs w:val="22"/>
              </w:rPr>
            </w:pPr>
            <w:r>
              <w:rPr>
                <w:snapToGrid w:val="0"/>
                <w:kern w:val="0"/>
                <w:sz w:val="22"/>
                <w:szCs w:val="22"/>
                <w:lang w:bidi="ar"/>
              </w:rPr>
              <w:t>1、深入贯彻习近平生态文明思想，筑牢长江上游重要生态屏障，推动优势区域重点发展、生态功能区重点保护、城乡融合发展，优化重点区域、流域、产业的空间布局。</w:t>
            </w:r>
          </w:p>
        </w:tc>
        <w:tc>
          <w:tcPr>
            <w:tcW w:w="3302" w:type="dxa"/>
            <w:tcBorders>
              <w:top w:val="single" w:color="000000" w:sz="4" w:space="0"/>
              <w:left w:val="single" w:color="000000" w:sz="4" w:space="0"/>
              <w:bottom w:val="single" w:color="000000" w:sz="4" w:space="0"/>
              <w:right w:val="single" w:color="000000" w:sz="4" w:space="0"/>
            </w:tcBorders>
            <w:vAlign w:val="center"/>
          </w:tcPr>
          <w:p w14:paraId="2FA67536">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1FEB5EFA">
            <w:pPr>
              <w:jc w:val="center"/>
              <w:textAlignment w:val="center"/>
              <w:rPr>
                <w:sz w:val="22"/>
                <w:szCs w:val="22"/>
              </w:rPr>
            </w:pPr>
            <w:r>
              <w:rPr>
                <w:snapToGrid w:val="0"/>
                <w:kern w:val="0"/>
                <w:sz w:val="22"/>
                <w:szCs w:val="22"/>
                <w:lang w:bidi="ar"/>
              </w:rPr>
              <w:t>符合</w:t>
            </w:r>
          </w:p>
        </w:tc>
      </w:tr>
      <w:tr w14:paraId="5C270BFF">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7F9402A">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601F6B2A">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305F1748">
            <w:pPr>
              <w:jc w:val="center"/>
              <w:textAlignment w:val="center"/>
              <w:rPr>
                <w:sz w:val="22"/>
                <w:szCs w:val="22"/>
              </w:rPr>
            </w:pPr>
            <w:r>
              <w:rPr>
                <w:snapToGrid w:val="0"/>
                <w:kern w:val="0"/>
                <w:sz w:val="22"/>
                <w:szCs w:val="22"/>
                <w:lang w:bidi="ar"/>
              </w:rPr>
              <w:t>2、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3302" w:type="dxa"/>
            <w:tcBorders>
              <w:top w:val="single" w:color="000000" w:sz="4" w:space="0"/>
              <w:left w:val="single" w:color="000000" w:sz="4" w:space="0"/>
              <w:bottom w:val="single" w:color="000000" w:sz="4" w:space="0"/>
              <w:right w:val="single" w:color="000000" w:sz="4" w:space="0"/>
            </w:tcBorders>
            <w:vAlign w:val="center"/>
          </w:tcPr>
          <w:p w14:paraId="4B0CE3A5">
            <w:pPr>
              <w:jc w:val="center"/>
              <w:textAlignment w:val="center"/>
              <w:rPr>
                <w:sz w:val="22"/>
                <w:szCs w:val="22"/>
              </w:rPr>
            </w:pPr>
            <w:r>
              <w:rPr>
                <w:snapToGrid w:val="0"/>
                <w:kern w:val="0"/>
                <w:sz w:val="22"/>
                <w:szCs w:val="22"/>
                <w:lang w:bidi="ar"/>
              </w:rPr>
              <w:t>项目属于成品油销售项</w:t>
            </w:r>
            <w:r>
              <w:rPr>
                <w:rStyle w:val="91"/>
                <w:rFonts w:hint="default" w:ascii="Times New Roman" w:hAnsi="Times New Roman" w:cs="Times New Roman"/>
                <w:snapToGrid w:val="0"/>
                <w:color w:val="auto"/>
                <w:sz w:val="22"/>
                <w:szCs w:val="22"/>
                <w:lang w:bidi="ar"/>
              </w:rPr>
              <w:t>目，位于重庆市九龙坡区华福大道北段400号，不属于尾矿库、冶炼渣库、磷石膏库，不属于新建重化工、纸浆制造、印染等存在环境风险的项目</w:t>
            </w:r>
          </w:p>
        </w:tc>
        <w:tc>
          <w:tcPr>
            <w:tcW w:w="1146" w:type="dxa"/>
            <w:tcBorders>
              <w:top w:val="single" w:color="000000" w:sz="4" w:space="0"/>
              <w:left w:val="single" w:color="000000" w:sz="4" w:space="0"/>
              <w:bottom w:val="single" w:color="000000" w:sz="4" w:space="0"/>
              <w:right w:val="single" w:color="000000" w:sz="4" w:space="0"/>
            </w:tcBorders>
            <w:vAlign w:val="center"/>
          </w:tcPr>
          <w:p w14:paraId="48861D83">
            <w:pPr>
              <w:jc w:val="center"/>
              <w:textAlignment w:val="center"/>
              <w:rPr>
                <w:sz w:val="22"/>
                <w:szCs w:val="22"/>
              </w:rPr>
            </w:pPr>
            <w:r>
              <w:rPr>
                <w:snapToGrid w:val="0"/>
                <w:kern w:val="0"/>
                <w:sz w:val="22"/>
                <w:szCs w:val="22"/>
                <w:lang w:bidi="ar"/>
              </w:rPr>
              <w:t>符合</w:t>
            </w:r>
          </w:p>
        </w:tc>
      </w:tr>
      <w:tr w14:paraId="51D8107A">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1041492">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74960432">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3A2BE63B">
            <w:pPr>
              <w:jc w:val="center"/>
              <w:textAlignment w:val="center"/>
              <w:rPr>
                <w:sz w:val="22"/>
                <w:szCs w:val="22"/>
              </w:rPr>
            </w:pPr>
            <w:r>
              <w:rPr>
                <w:snapToGrid w:val="0"/>
                <w:kern w:val="0"/>
                <w:sz w:val="22"/>
                <w:szCs w:val="22"/>
                <w:lang w:bidi="ar"/>
              </w:rPr>
              <w:t>3、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302" w:type="dxa"/>
            <w:tcBorders>
              <w:top w:val="single" w:color="000000" w:sz="4" w:space="0"/>
              <w:left w:val="single" w:color="000000" w:sz="4" w:space="0"/>
              <w:bottom w:val="single" w:color="000000" w:sz="4" w:space="0"/>
              <w:right w:val="single" w:color="000000" w:sz="4" w:space="0"/>
            </w:tcBorders>
            <w:vAlign w:val="center"/>
          </w:tcPr>
          <w:p w14:paraId="412C26D9">
            <w:pPr>
              <w:jc w:val="center"/>
              <w:textAlignment w:val="center"/>
              <w:rPr>
                <w:sz w:val="22"/>
                <w:szCs w:val="22"/>
              </w:rPr>
            </w:pPr>
            <w:r>
              <w:rPr>
                <w:snapToGrid w:val="0"/>
                <w:kern w:val="0"/>
                <w:sz w:val="22"/>
                <w:szCs w:val="22"/>
                <w:lang w:bidi="ar"/>
              </w:rPr>
              <w:t>项目属于成品油销售项</w:t>
            </w:r>
            <w:r>
              <w:rPr>
                <w:rStyle w:val="91"/>
                <w:rFonts w:hint="default" w:ascii="Times New Roman" w:hAnsi="Times New Roman" w:cs="Times New Roman"/>
                <w:snapToGrid w:val="0"/>
                <w:color w:val="auto"/>
                <w:sz w:val="22"/>
                <w:szCs w:val="22"/>
                <w:lang w:bidi="ar"/>
              </w:rPr>
              <w:t>目</w:t>
            </w:r>
            <w:r>
              <w:rPr>
                <w:snapToGrid w:val="0"/>
                <w:kern w:val="0"/>
                <w:sz w:val="22"/>
                <w:szCs w:val="22"/>
                <w:lang w:bidi="ar"/>
              </w:rPr>
              <w:t>，不属于新建、扩建钢铁、石化、化工、焦化、建材、有色、制浆造纸等高污染项目；不属于石化、煤化工等；不属于“两高”项目</w:t>
            </w:r>
          </w:p>
        </w:tc>
        <w:tc>
          <w:tcPr>
            <w:tcW w:w="1146" w:type="dxa"/>
            <w:tcBorders>
              <w:top w:val="single" w:color="000000" w:sz="4" w:space="0"/>
              <w:left w:val="single" w:color="000000" w:sz="4" w:space="0"/>
              <w:bottom w:val="single" w:color="000000" w:sz="4" w:space="0"/>
              <w:right w:val="single" w:color="000000" w:sz="4" w:space="0"/>
            </w:tcBorders>
            <w:vAlign w:val="center"/>
          </w:tcPr>
          <w:p w14:paraId="55DB1C43">
            <w:pPr>
              <w:jc w:val="center"/>
              <w:textAlignment w:val="center"/>
              <w:rPr>
                <w:sz w:val="22"/>
                <w:szCs w:val="22"/>
              </w:rPr>
            </w:pPr>
            <w:r>
              <w:rPr>
                <w:snapToGrid w:val="0"/>
                <w:kern w:val="0"/>
                <w:sz w:val="22"/>
                <w:szCs w:val="22"/>
                <w:lang w:bidi="ar"/>
              </w:rPr>
              <w:t>符合</w:t>
            </w:r>
          </w:p>
        </w:tc>
      </w:tr>
      <w:tr w14:paraId="334AFD5B">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8FD05DD">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DD6DE8E">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4724BD4F">
            <w:pPr>
              <w:jc w:val="center"/>
              <w:textAlignment w:val="center"/>
              <w:rPr>
                <w:sz w:val="22"/>
                <w:szCs w:val="22"/>
              </w:rPr>
            </w:pPr>
            <w:r>
              <w:rPr>
                <w:snapToGrid w:val="0"/>
                <w:kern w:val="0"/>
                <w:sz w:val="22"/>
                <w:szCs w:val="22"/>
                <w:lang w:bidi="ar"/>
              </w:rPr>
              <w:t>4、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3302" w:type="dxa"/>
            <w:tcBorders>
              <w:top w:val="single" w:color="000000" w:sz="4" w:space="0"/>
              <w:left w:val="single" w:color="000000" w:sz="4" w:space="0"/>
              <w:bottom w:val="single" w:color="000000" w:sz="4" w:space="0"/>
              <w:right w:val="single" w:color="000000" w:sz="4" w:space="0"/>
            </w:tcBorders>
            <w:vAlign w:val="center"/>
          </w:tcPr>
          <w:p w14:paraId="677F63BA">
            <w:pPr>
              <w:jc w:val="center"/>
              <w:textAlignment w:val="center"/>
              <w:rPr>
                <w:sz w:val="22"/>
                <w:szCs w:val="22"/>
              </w:rPr>
            </w:pPr>
            <w:r>
              <w:rPr>
                <w:snapToGrid w:val="0"/>
                <w:kern w:val="0"/>
                <w:sz w:val="22"/>
                <w:szCs w:val="22"/>
                <w:lang w:bidi="ar"/>
              </w:rPr>
              <w:t>项目属于成品油销售项</w:t>
            </w:r>
            <w:r>
              <w:rPr>
                <w:rStyle w:val="91"/>
                <w:rFonts w:hint="default" w:ascii="Times New Roman" w:hAnsi="Times New Roman" w:cs="Times New Roman"/>
                <w:snapToGrid w:val="0"/>
                <w:color w:val="auto"/>
                <w:sz w:val="22"/>
                <w:szCs w:val="22"/>
                <w:lang w:bidi="ar"/>
              </w:rPr>
              <w:t>目</w:t>
            </w:r>
            <w:r>
              <w:rPr>
                <w:snapToGrid w:val="0"/>
                <w:kern w:val="0"/>
                <w:sz w:val="22"/>
                <w:szCs w:val="22"/>
                <w:lang w:bidi="ar"/>
              </w:rPr>
              <w:t>，不属于高耗能、高排放、低水平项目</w:t>
            </w:r>
          </w:p>
        </w:tc>
        <w:tc>
          <w:tcPr>
            <w:tcW w:w="1146" w:type="dxa"/>
            <w:tcBorders>
              <w:top w:val="single" w:color="000000" w:sz="4" w:space="0"/>
              <w:left w:val="single" w:color="000000" w:sz="4" w:space="0"/>
              <w:bottom w:val="single" w:color="000000" w:sz="4" w:space="0"/>
              <w:right w:val="single" w:color="000000" w:sz="4" w:space="0"/>
            </w:tcBorders>
            <w:vAlign w:val="center"/>
          </w:tcPr>
          <w:p w14:paraId="1D21C338">
            <w:pPr>
              <w:jc w:val="center"/>
              <w:textAlignment w:val="center"/>
              <w:rPr>
                <w:sz w:val="22"/>
                <w:szCs w:val="22"/>
              </w:rPr>
            </w:pPr>
            <w:r>
              <w:rPr>
                <w:snapToGrid w:val="0"/>
                <w:kern w:val="0"/>
                <w:sz w:val="22"/>
                <w:szCs w:val="22"/>
                <w:lang w:bidi="ar"/>
              </w:rPr>
              <w:t>符合</w:t>
            </w:r>
          </w:p>
        </w:tc>
      </w:tr>
      <w:tr w14:paraId="410298B8">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5EE666DF">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805588C">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1022BD0B">
            <w:pPr>
              <w:jc w:val="center"/>
              <w:textAlignment w:val="center"/>
              <w:rPr>
                <w:sz w:val="22"/>
                <w:szCs w:val="22"/>
              </w:rPr>
            </w:pPr>
            <w:r>
              <w:rPr>
                <w:snapToGrid w:val="0"/>
                <w:kern w:val="0"/>
                <w:sz w:val="22"/>
                <w:szCs w:val="22"/>
                <w:lang w:bidi="ar"/>
              </w:rPr>
              <w:t>5、新建、扩建有色金属冶炼、电镀、铅蓄电池等企业应布设在依法合规设立并经过规划环评的产业园区。</w:t>
            </w:r>
          </w:p>
        </w:tc>
        <w:tc>
          <w:tcPr>
            <w:tcW w:w="3302" w:type="dxa"/>
            <w:tcBorders>
              <w:top w:val="single" w:color="000000" w:sz="4" w:space="0"/>
              <w:left w:val="single" w:color="000000" w:sz="4" w:space="0"/>
              <w:bottom w:val="single" w:color="000000" w:sz="4" w:space="0"/>
              <w:right w:val="single" w:color="000000" w:sz="4" w:space="0"/>
            </w:tcBorders>
            <w:vAlign w:val="center"/>
          </w:tcPr>
          <w:p w14:paraId="1FBAFBBB">
            <w:pPr>
              <w:jc w:val="center"/>
              <w:textAlignment w:val="center"/>
              <w:rPr>
                <w:sz w:val="22"/>
                <w:szCs w:val="22"/>
              </w:rPr>
            </w:pPr>
            <w:r>
              <w:rPr>
                <w:snapToGrid w:val="0"/>
                <w:kern w:val="0"/>
                <w:sz w:val="22"/>
                <w:szCs w:val="22"/>
                <w:lang w:bidi="ar"/>
              </w:rPr>
              <w:t>项目不属于新建、扩建有色金属冶炼、电镀、铅蓄电池等企业</w:t>
            </w:r>
          </w:p>
        </w:tc>
        <w:tc>
          <w:tcPr>
            <w:tcW w:w="1146" w:type="dxa"/>
            <w:tcBorders>
              <w:top w:val="single" w:color="000000" w:sz="4" w:space="0"/>
              <w:left w:val="single" w:color="000000" w:sz="4" w:space="0"/>
              <w:bottom w:val="single" w:color="000000" w:sz="4" w:space="0"/>
              <w:right w:val="single" w:color="000000" w:sz="4" w:space="0"/>
            </w:tcBorders>
            <w:vAlign w:val="center"/>
          </w:tcPr>
          <w:p w14:paraId="6357F944">
            <w:pPr>
              <w:jc w:val="center"/>
              <w:textAlignment w:val="center"/>
              <w:rPr>
                <w:sz w:val="22"/>
                <w:szCs w:val="22"/>
              </w:rPr>
            </w:pPr>
            <w:r>
              <w:rPr>
                <w:snapToGrid w:val="0"/>
                <w:kern w:val="0"/>
                <w:sz w:val="22"/>
                <w:szCs w:val="22"/>
                <w:lang w:bidi="ar"/>
              </w:rPr>
              <w:t>符合</w:t>
            </w:r>
          </w:p>
        </w:tc>
      </w:tr>
      <w:tr w14:paraId="1F25A0B8">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1BA99DB8">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55144B46">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06989573">
            <w:pPr>
              <w:jc w:val="center"/>
              <w:textAlignment w:val="center"/>
              <w:rPr>
                <w:sz w:val="22"/>
                <w:szCs w:val="22"/>
              </w:rPr>
            </w:pPr>
            <w:r>
              <w:rPr>
                <w:snapToGrid w:val="0"/>
                <w:kern w:val="0"/>
                <w:sz w:val="22"/>
                <w:szCs w:val="22"/>
                <w:lang w:bidi="ar"/>
              </w:rPr>
              <w:t>6、涉及环境防护距离的工业企业或项目应通过选址或调整布局原则上将环境防护距离控制在园区边界或用地红线内，提前合理规划项目地块布置、预防环境风险。</w:t>
            </w:r>
          </w:p>
        </w:tc>
        <w:tc>
          <w:tcPr>
            <w:tcW w:w="3302" w:type="dxa"/>
            <w:tcBorders>
              <w:top w:val="single" w:color="000000" w:sz="4" w:space="0"/>
              <w:left w:val="single" w:color="000000" w:sz="4" w:space="0"/>
              <w:bottom w:val="single" w:color="000000" w:sz="4" w:space="0"/>
              <w:right w:val="single" w:color="000000" w:sz="4" w:space="0"/>
            </w:tcBorders>
            <w:vAlign w:val="center"/>
          </w:tcPr>
          <w:p w14:paraId="26AA082A">
            <w:pPr>
              <w:jc w:val="center"/>
              <w:textAlignment w:val="center"/>
              <w:rPr>
                <w:sz w:val="22"/>
                <w:szCs w:val="22"/>
              </w:rPr>
            </w:pPr>
            <w:r>
              <w:rPr>
                <w:snapToGrid w:val="0"/>
                <w:kern w:val="0"/>
                <w:sz w:val="22"/>
                <w:szCs w:val="22"/>
                <w:lang w:bidi="ar"/>
              </w:rPr>
              <w:t>项目不涉及环境防护距离</w:t>
            </w:r>
          </w:p>
        </w:tc>
        <w:tc>
          <w:tcPr>
            <w:tcW w:w="1146" w:type="dxa"/>
            <w:tcBorders>
              <w:top w:val="single" w:color="000000" w:sz="4" w:space="0"/>
              <w:left w:val="single" w:color="000000" w:sz="4" w:space="0"/>
              <w:bottom w:val="single" w:color="000000" w:sz="4" w:space="0"/>
              <w:right w:val="single" w:color="000000" w:sz="4" w:space="0"/>
            </w:tcBorders>
            <w:vAlign w:val="center"/>
          </w:tcPr>
          <w:p w14:paraId="6407ED40">
            <w:pPr>
              <w:jc w:val="center"/>
              <w:rPr>
                <w:sz w:val="22"/>
                <w:szCs w:val="22"/>
              </w:rPr>
            </w:pPr>
          </w:p>
        </w:tc>
      </w:tr>
      <w:tr w14:paraId="1A566165">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01937EFA">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127ADEEA">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0EC6834A">
            <w:pPr>
              <w:jc w:val="center"/>
              <w:textAlignment w:val="center"/>
              <w:rPr>
                <w:sz w:val="22"/>
                <w:szCs w:val="22"/>
              </w:rPr>
            </w:pPr>
            <w:r>
              <w:rPr>
                <w:snapToGrid w:val="0"/>
                <w:kern w:val="0"/>
                <w:sz w:val="22"/>
                <w:szCs w:val="22"/>
                <w:lang w:bidi="ar"/>
              </w:rPr>
              <w:t>7、有效规范空间开发秩序，合理控制空间开发强度，切实将各类开发活动限制在资源环境承载能力之内，为构建高效协调可持续的国土空间开发格局奠定坚实基础。</w:t>
            </w:r>
          </w:p>
        </w:tc>
        <w:tc>
          <w:tcPr>
            <w:tcW w:w="3302" w:type="dxa"/>
            <w:tcBorders>
              <w:top w:val="single" w:color="000000" w:sz="4" w:space="0"/>
              <w:left w:val="single" w:color="000000" w:sz="4" w:space="0"/>
              <w:bottom w:val="single" w:color="000000" w:sz="4" w:space="0"/>
              <w:right w:val="single" w:color="000000" w:sz="4" w:space="0"/>
            </w:tcBorders>
            <w:vAlign w:val="center"/>
          </w:tcPr>
          <w:p w14:paraId="70A76969">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6183DA31">
            <w:pPr>
              <w:jc w:val="center"/>
              <w:textAlignment w:val="center"/>
              <w:rPr>
                <w:sz w:val="22"/>
                <w:szCs w:val="22"/>
              </w:rPr>
            </w:pPr>
            <w:r>
              <w:rPr>
                <w:snapToGrid w:val="0"/>
                <w:kern w:val="0"/>
                <w:sz w:val="22"/>
                <w:szCs w:val="22"/>
                <w:lang w:bidi="ar"/>
              </w:rPr>
              <w:t>符合</w:t>
            </w:r>
          </w:p>
        </w:tc>
      </w:tr>
      <w:tr w14:paraId="7A49CED4">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EE32020">
            <w:pPr>
              <w:jc w:val="center"/>
              <w:rPr>
                <w:sz w:val="22"/>
                <w:szCs w:val="22"/>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6A5473EB">
            <w:pPr>
              <w:jc w:val="center"/>
              <w:textAlignment w:val="center"/>
              <w:rPr>
                <w:sz w:val="22"/>
                <w:szCs w:val="22"/>
              </w:rPr>
            </w:pPr>
            <w:r>
              <w:rPr>
                <w:snapToGrid w:val="0"/>
                <w:kern w:val="0"/>
                <w:sz w:val="22"/>
                <w:szCs w:val="22"/>
                <w:lang w:bidi="ar"/>
              </w:rPr>
              <w:t>污染物排放管控</w:t>
            </w:r>
          </w:p>
        </w:tc>
        <w:tc>
          <w:tcPr>
            <w:tcW w:w="6578" w:type="dxa"/>
            <w:tcBorders>
              <w:top w:val="single" w:color="000000" w:sz="4" w:space="0"/>
              <w:left w:val="single" w:color="000000" w:sz="4" w:space="0"/>
              <w:bottom w:val="single" w:color="000000" w:sz="4" w:space="0"/>
              <w:right w:val="single" w:color="000000" w:sz="4" w:space="0"/>
            </w:tcBorders>
            <w:vAlign w:val="center"/>
          </w:tcPr>
          <w:p w14:paraId="44EFE7CC">
            <w:pPr>
              <w:jc w:val="center"/>
              <w:textAlignment w:val="center"/>
              <w:rPr>
                <w:sz w:val="22"/>
                <w:szCs w:val="22"/>
              </w:rPr>
            </w:pPr>
            <w:r>
              <w:rPr>
                <w:snapToGrid w:val="0"/>
                <w:kern w:val="0"/>
                <w:sz w:val="22"/>
                <w:szCs w:val="22"/>
                <w:lang w:bidi="ar"/>
              </w:rPr>
              <w:t>8、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3302" w:type="dxa"/>
            <w:tcBorders>
              <w:top w:val="single" w:color="000000" w:sz="4" w:space="0"/>
              <w:left w:val="single" w:color="000000" w:sz="4" w:space="0"/>
              <w:bottom w:val="single" w:color="000000" w:sz="4" w:space="0"/>
              <w:right w:val="single" w:color="000000" w:sz="4" w:space="0"/>
            </w:tcBorders>
            <w:vAlign w:val="center"/>
          </w:tcPr>
          <w:p w14:paraId="429C4664">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00453689">
            <w:pPr>
              <w:jc w:val="center"/>
              <w:textAlignment w:val="center"/>
              <w:rPr>
                <w:sz w:val="22"/>
                <w:szCs w:val="22"/>
              </w:rPr>
            </w:pPr>
            <w:r>
              <w:rPr>
                <w:snapToGrid w:val="0"/>
                <w:kern w:val="0"/>
                <w:sz w:val="22"/>
                <w:szCs w:val="22"/>
                <w:lang w:bidi="ar"/>
              </w:rPr>
              <w:t>符合</w:t>
            </w:r>
          </w:p>
        </w:tc>
      </w:tr>
      <w:tr w14:paraId="5D91C859">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C908988">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FF931FF">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25FFECC3">
            <w:pPr>
              <w:jc w:val="center"/>
              <w:textAlignment w:val="center"/>
              <w:rPr>
                <w:sz w:val="22"/>
                <w:szCs w:val="22"/>
              </w:rPr>
            </w:pPr>
            <w:r>
              <w:rPr>
                <w:snapToGrid w:val="0"/>
                <w:kern w:val="0"/>
                <w:sz w:val="22"/>
                <w:szCs w:val="22"/>
                <w:lang w:bidi="ar"/>
              </w:rPr>
              <w:t>9、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3302" w:type="dxa"/>
            <w:tcBorders>
              <w:top w:val="single" w:color="000000" w:sz="4" w:space="0"/>
              <w:left w:val="single" w:color="000000" w:sz="4" w:space="0"/>
              <w:bottom w:val="single" w:color="000000" w:sz="4" w:space="0"/>
              <w:right w:val="single" w:color="000000" w:sz="4" w:space="0"/>
            </w:tcBorders>
            <w:vAlign w:val="center"/>
          </w:tcPr>
          <w:p w14:paraId="662AC89C">
            <w:pPr>
              <w:jc w:val="center"/>
              <w:textAlignment w:val="center"/>
              <w:rPr>
                <w:sz w:val="22"/>
                <w:szCs w:val="22"/>
              </w:rPr>
            </w:pPr>
            <w:r>
              <w:rPr>
                <w:snapToGrid w:val="0"/>
                <w:kern w:val="0"/>
                <w:sz w:val="22"/>
                <w:szCs w:val="22"/>
                <w:lang w:bidi="ar"/>
              </w:rPr>
              <w:t>根据</w:t>
            </w:r>
            <w:r>
              <w:rPr>
                <w:rStyle w:val="90"/>
                <w:snapToGrid w:val="0"/>
                <w:color w:val="auto"/>
                <w:sz w:val="22"/>
                <w:szCs w:val="22"/>
                <w:lang w:bidi="ar"/>
              </w:rPr>
              <w:t>2024</w:t>
            </w:r>
            <w:r>
              <w:rPr>
                <w:rStyle w:val="91"/>
                <w:rFonts w:hint="default" w:ascii="Times New Roman" w:hAnsi="Times New Roman" w:cs="Times New Roman"/>
                <w:snapToGrid w:val="0"/>
                <w:color w:val="auto"/>
                <w:sz w:val="22"/>
                <w:szCs w:val="22"/>
                <w:lang w:bidi="ar"/>
              </w:rPr>
              <w:t>年重庆市生态环境状况公报，</w:t>
            </w:r>
            <w:r>
              <w:rPr>
                <w:rStyle w:val="91"/>
                <w:rFonts w:hint="eastAsia" w:cs="Times New Roman"/>
                <w:snapToGrid w:val="0"/>
                <w:color w:val="auto"/>
                <w:sz w:val="22"/>
                <w:szCs w:val="22"/>
                <w:lang w:val="en-US" w:eastAsia="zh-CN" w:bidi="ar"/>
              </w:rPr>
              <w:t>九龙坡</w:t>
            </w:r>
            <w:r>
              <w:rPr>
                <w:rStyle w:val="91"/>
                <w:rFonts w:hint="default" w:ascii="Times New Roman" w:hAnsi="Times New Roman" w:cs="Times New Roman"/>
                <w:snapToGrid w:val="0"/>
                <w:color w:val="auto"/>
                <w:sz w:val="22"/>
                <w:szCs w:val="22"/>
                <w:lang w:bidi="ar"/>
              </w:rPr>
              <w:t>区为环境空气质量达标区</w:t>
            </w:r>
            <w:r>
              <w:rPr>
                <w:sz w:val="22"/>
                <w:szCs w:val="22"/>
              </w:rPr>
              <w:t xml:space="preserve"> </w:t>
            </w:r>
          </w:p>
        </w:tc>
        <w:tc>
          <w:tcPr>
            <w:tcW w:w="1146" w:type="dxa"/>
            <w:tcBorders>
              <w:top w:val="single" w:color="000000" w:sz="4" w:space="0"/>
              <w:left w:val="single" w:color="000000" w:sz="4" w:space="0"/>
              <w:bottom w:val="single" w:color="000000" w:sz="4" w:space="0"/>
              <w:right w:val="single" w:color="000000" w:sz="4" w:space="0"/>
            </w:tcBorders>
            <w:vAlign w:val="center"/>
          </w:tcPr>
          <w:p w14:paraId="125EE55C">
            <w:pPr>
              <w:jc w:val="center"/>
              <w:textAlignment w:val="center"/>
              <w:rPr>
                <w:sz w:val="22"/>
                <w:szCs w:val="22"/>
              </w:rPr>
            </w:pPr>
            <w:r>
              <w:rPr>
                <w:snapToGrid w:val="0"/>
                <w:kern w:val="0"/>
                <w:sz w:val="22"/>
                <w:szCs w:val="22"/>
                <w:lang w:bidi="ar"/>
              </w:rPr>
              <w:t>符合</w:t>
            </w:r>
          </w:p>
        </w:tc>
      </w:tr>
      <w:tr w14:paraId="0472DA3C">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3CBFD493">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264AE7DE">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22ADE8AC">
            <w:pPr>
              <w:jc w:val="center"/>
              <w:textAlignment w:val="center"/>
              <w:rPr>
                <w:sz w:val="22"/>
                <w:szCs w:val="22"/>
              </w:rPr>
            </w:pPr>
            <w:r>
              <w:rPr>
                <w:snapToGrid w:val="0"/>
                <w:kern w:val="0"/>
                <w:sz w:val="22"/>
                <w:szCs w:val="22"/>
                <w:lang w:bidi="ar"/>
              </w:rPr>
              <w:t>10、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3302" w:type="dxa"/>
            <w:tcBorders>
              <w:top w:val="single" w:color="000000" w:sz="4" w:space="0"/>
              <w:left w:val="single" w:color="000000" w:sz="4" w:space="0"/>
              <w:bottom w:val="single" w:color="000000" w:sz="4" w:space="0"/>
              <w:right w:val="single" w:color="000000" w:sz="4" w:space="0"/>
            </w:tcBorders>
            <w:vAlign w:val="center"/>
          </w:tcPr>
          <w:p w14:paraId="04C3CABB">
            <w:pPr>
              <w:jc w:val="center"/>
              <w:textAlignment w:val="center"/>
              <w:rPr>
                <w:sz w:val="22"/>
                <w:szCs w:val="22"/>
              </w:rPr>
            </w:pPr>
            <w:r>
              <w:rPr>
                <w:snapToGrid w:val="0"/>
                <w:kern w:val="0"/>
                <w:sz w:val="22"/>
                <w:szCs w:val="22"/>
                <w:lang w:bidi="ar"/>
              </w:rPr>
              <w:t>项目不属于重点行业、不涉及喷漆、喷粉、印刷</w:t>
            </w:r>
          </w:p>
        </w:tc>
        <w:tc>
          <w:tcPr>
            <w:tcW w:w="1146" w:type="dxa"/>
            <w:tcBorders>
              <w:top w:val="single" w:color="000000" w:sz="4" w:space="0"/>
              <w:left w:val="single" w:color="000000" w:sz="4" w:space="0"/>
              <w:bottom w:val="single" w:color="000000" w:sz="4" w:space="0"/>
              <w:right w:val="single" w:color="000000" w:sz="4" w:space="0"/>
            </w:tcBorders>
            <w:vAlign w:val="center"/>
          </w:tcPr>
          <w:p w14:paraId="66451CE8">
            <w:pPr>
              <w:jc w:val="center"/>
              <w:textAlignment w:val="center"/>
              <w:rPr>
                <w:sz w:val="22"/>
                <w:szCs w:val="22"/>
              </w:rPr>
            </w:pPr>
            <w:r>
              <w:rPr>
                <w:snapToGrid w:val="0"/>
                <w:kern w:val="0"/>
                <w:sz w:val="22"/>
                <w:szCs w:val="22"/>
                <w:lang w:bidi="ar"/>
              </w:rPr>
              <w:t>符合</w:t>
            </w:r>
          </w:p>
        </w:tc>
      </w:tr>
      <w:tr w14:paraId="73D01638">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452ADD21">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187210B6">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6AF7C1CC">
            <w:pPr>
              <w:jc w:val="center"/>
              <w:textAlignment w:val="center"/>
              <w:rPr>
                <w:sz w:val="22"/>
                <w:szCs w:val="22"/>
              </w:rPr>
            </w:pPr>
            <w:r>
              <w:rPr>
                <w:snapToGrid w:val="0"/>
                <w:kern w:val="0"/>
                <w:sz w:val="22"/>
                <w:szCs w:val="22"/>
                <w:lang w:bidi="ar"/>
              </w:rPr>
              <w:t>11、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3302" w:type="dxa"/>
            <w:tcBorders>
              <w:top w:val="single" w:color="000000" w:sz="4" w:space="0"/>
              <w:left w:val="single" w:color="000000" w:sz="4" w:space="0"/>
              <w:bottom w:val="single" w:color="000000" w:sz="4" w:space="0"/>
              <w:right w:val="single" w:color="000000" w:sz="4" w:space="0"/>
            </w:tcBorders>
            <w:vAlign w:val="center"/>
          </w:tcPr>
          <w:p w14:paraId="3DD2AB57">
            <w:pPr>
              <w:jc w:val="center"/>
              <w:textAlignment w:val="center"/>
              <w:rPr>
                <w:rFonts w:hint="eastAsia" w:eastAsia="宋体"/>
                <w:sz w:val="22"/>
                <w:szCs w:val="22"/>
                <w:lang w:eastAsia="zh-CN"/>
              </w:rPr>
            </w:pPr>
            <w:r>
              <w:rPr>
                <w:snapToGrid w:val="0"/>
                <w:kern w:val="0"/>
                <w:sz w:val="22"/>
                <w:szCs w:val="22"/>
                <w:lang w:bidi="ar"/>
              </w:rPr>
              <w:t>项目所在位置不属于工业</w:t>
            </w:r>
            <w:r>
              <w:rPr>
                <w:rFonts w:hint="eastAsia"/>
                <w:snapToGrid w:val="0"/>
                <w:kern w:val="0"/>
                <w:sz w:val="22"/>
                <w:szCs w:val="22"/>
                <w:lang w:val="en-US" w:eastAsia="zh-CN" w:bidi="ar"/>
              </w:rPr>
              <w:t>园区</w:t>
            </w:r>
          </w:p>
        </w:tc>
        <w:tc>
          <w:tcPr>
            <w:tcW w:w="1146" w:type="dxa"/>
            <w:tcBorders>
              <w:top w:val="single" w:color="000000" w:sz="4" w:space="0"/>
              <w:left w:val="single" w:color="000000" w:sz="4" w:space="0"/>
              <w:bottom w:val="single" w:color="000000" w:sz="4" w:space="0"/>
              <w:right w:val="single" w:color="000000" w:sz="4" w:space="0"/>
            </w:tcBorders>
            <w:vAlign w:val="center"/>
          </w:tcPr>
          <w:p w14:paraId="560408BD">
            <w:pPr>
              <w:jc w:val="center"/>
              <w:textAlignment w:val="center"/>
              <w:rPr>
                <w:sz w:val="22"/>
                <w:szCs w:val="22"/>
              </w:rPr>
            </w:pPr>
            <w:r>
              <w:rPr>
                <w:snapToGrid w:val="0"/>
                <w:kern w:val="0"/>
                <w:sz w:val="22"/>
                <w:szCs w:val="22"/>
                <w:lang w:bidi="ar"/>
              </w:rPr>
              <w:t>符合</w:t>
            </w:r>
          </w:p>
        </w:tc>
      </w:tr>
      <w:tr w14:paraId="47CB23AB">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10F16133">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172AA8F0">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A9FB6A2">
            <w:pPr>
              <w:jc w:val="center"/>
              <w:textAlignment w:val="center"/>
              <w:rPr>
                <w:sz w:val="22"/>
                <w:szCs w:val="22"/>
              </w:rPr>
            </w:pPr>
            <w:r>
              <w:rPr>
                <w:snapToGrid w:val="0"/>
                <w:kern w:val="0"/>
                <w:sz w:val="22"/>
                <w:szCs w:val="22"/>
                <w:lang w:bidi="ar"/>
              </w:rPr>
              <w:t>12</w:t>
            </w:r>
            <w:r>
              <w:rPr>
                <w:rStyle w:val="91"/>
                <w:rFonts w:hint="default" w:ascii="Times New Roman" w:hAnsi="Times New Roman" w:cs="Times New Roman"/>
                <w:snapToGrid w:val="0"/>
                <w:color w:val="auto"/>
                <w:sz w:val="22"/>
                <w:szCs w:val="22"/>
                <w:lang w:bidi="ar"/>
              </w:rPr>
              <w:t>、推进乡镇生活污水处理设施达标改造。新建城市生活污水处理厂全部按照</w:t>
            </w:r>
            <w:r>
              <w:rPr>
                <w:snapToGrid w:val="0"/>
                <w:kern w:val="0"/>
                <w:sz w:val="22"/>
                <w:szCs w:val="22"/>
                <w:lang w:bidi="ar"/>
              </w:rPr>
              <w:t>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3302" w:type="dxa"/>
            <w:tcBorders>
              <w:top w:val="single" w:color="000000" w:sz="4" w:space="0"/>
              <w:left w:val="single" w:color="000000" w:sz="4" w:space="0"/>
              <w:bottom w:val="single" w:color="000000" w:sz="4" w:space="0"/>
              <w:right w:val="single" w:color="000000" w:sz="4" w:space="0"/>
            </w:tcBorders>
            <w:vAlign w:val="center"/>
          </w:tcPr>
          <w:p w14:paraId="3C2E4E93">
            <w:pPr>
              <w:jc w:val="center"/>
              <w:textAlignment w:val="center"/>
              <w:rPr>
                <w:sz w:val="22"/>
                <w:szCs w:val="22"/>
              </w:rPr>
            </w:pPr>
            <w:r>
              <w:rPr>
                <w:snapToGrid w:val="0"/>
                <w:kern w:val="0"/>
                <w:sz w:val="22"/>
                <w:szCs w:val="22"/>
                <w:lang w:bidi="ar"/>
              </w:rPr>
              <w:t>本项目污废水进入</w:t>
            </w:r>
            <w:r>
              <w:rPr>
                <w:rFonts w:hint="eastAsia"/>
                <w:snapToGrid w:val="0"/>
                <w:kern w:val="0"/>
                <w:sz w:val="22"/>
                <w:szCs w:val="22"/>
                <w:lang w:val="en-US" w:eastAsia="zh-CN" w:bidi="ar"/>
              </w:rPr>
              <w:t>大九</w:t>
            </w:r>
            <w:r>
              <w:rPr>
                <w:snapToGrid w:val="0"/>
                <w:kern w:val="0"/>
                <w:sz w:val="22"/>
                <w:szCs w:val="22"/>
                <w:lang w:bidi="ar"/>
              </w:rPr>
              <w:t>污水处理厂</w:t>
            </w:r>
            <w:r>
              <w:rPr>
                <w:rFonts w:hint="eastAsia"/>
                <w:snapToGrid w:val="0"/>
                <w:kern w:val="0"/>
                <w:sz w:val="22"/>
                <w:szCs w:val="22"/>
                <w:lang w:val="en-US" w:eastAsia="zh-CN" w:bidi="ar"/>
              </w:rPr>
              <w:t>深度</w:t>
            </w:r>
            <w:r>
              <w:rPr>
                <w:snapToGrid w:val="0"/>
                <w:kern w:val="0"/>
                <w:sz w:val="22"/>
                <w:szCs w:val="22"/>
                <w:lang w:bidi="ar"/>
              </w:rPr>
              <w:t>处理，</w:t>
            </w:r>
            <w:r>
              <w:rPr>
                <w:rFonts w:hint="eastAsia"/>
                <w:snapToGrid w:val="0"/>
                <w:kern w:val="0"/>
                <w:sz w:val="22"/>
                <w:szCs w:val="22"/>
                <w:lang w:val="en-US" w:eastAsia="zh-CN" w:bidi="ar"/>
              </w:rPr>
              <w:t>大九</w:t>
            </w:r>
            <w:r>
              <w:rPr>
                <w:snapToGrid w:val="0"/>
                <w:kern w:val="0"/>
                <w:sz w:val="22"/>
                <w:szCs w:val="22"/>
                <w:lang w:bidi="ar"/>
              </w:rPr>
              <w:t>污水处理厂出水标准为</w:t>
            </w:r>
            <w:r>
              <w:rPr>
                <w:rFonts w:hint="eastAsia"/>
                <w:snapToGrid w:val="0"/>
                <w:kern w:val="0"/>
                <w:sz w:val="22"/>
                <w:szCs w:val="22"/>
                <w:lang w:bidi="ar"/>
              </w:rPr>
              <w:t>《城镇污水处理厂污染物排放标准》（GB18918-2002）中一级A标准</w:t>
            </w:r>
          </w:p>
        </w:tc>
        <w:tc>
          <w:tcPr>
            <w:tcW w:w="1146" w:type="dxa"/>
            <w:tcBorders>
              <w:top w:val="single" w:color="000000" w:sz="4" w:space="0"/>
              <w:left w:val="single" w:color="000000" w:sz="4" w:space="0"/>
              <w:bottom w:val="single" w:color="000000" w:sz="4" w:space="0"/>
              <w:right w:val="single" w:color="000000" w:sz="4" w:space="0"/>
            </w:tcBorders>
            <w:vAlign w:val="center"/>
          </w:tcPr>
          <w:p w14:paraId="5789428E">
            <w:pPr>
              <w:jc w:val="center"/>
              <w:textAlignment w:val="center"/>
              <w:rPr>
                <w:sz w:val="22"/>
                <w:szCs w:val="22"/>
              </w:rPr>
            </w:pPr>
            <w:r>
              <w:rPr>
                <w:snapToGrid w:val="0"/>
                <w:kern w:val="0"/>
                <w:sz w:val="22"/>
                <w:szCs w:val="22"/>
                <w:lang w:bidi="ar"/>
              </w:rPr>
              <w:t>符合</w:t>
            </w:r>
          </w:p>
        </w:tc>
      </w:tr>
      <w:tr w14:paraId="68563C26">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574C5DE3">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27BAB9BD">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41744D32">
            <w:pPr>
              <w:jc w:val="center"/>
              <w:textAlignment w:val="center"/>
              <w:rPr>
                <w:sz w:val="22"/>
                <w:szCs w:val="22"/>
              </w:rPr>
            </w:pPr>
            <w:r>
              <w:rPr>
                <w:snapToGrid w:val="0"/>
                <w:kern w:val="0"/>
                <w:sz w:val="22"/>
                <w:szCs w:val="22"/>
                <w:lang w:bidi="ar"/>
              </w:rPr>
              <w:t>13、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3302" w:type="dxa"/>
            <w:tcBorders>
              <w:top w:val="single" w:color="000000" w:sz="4" w:space="0"/>
              <w:left w:val="single" w:color="000000" w:sz="4" w:space="0"/>
              <w:bottom w:val="single" w:color="000000" w:sz="4" w:space="0"/>
              <w:right w:val="single" w:color="000000" w:sz="4" w:space="0"/>
            </w:tcBorders>
            <w:vAlign w:val="center"/>
          </w:tcPr>
          <w:p w14:paraId="25C24039">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28268202">
            <w:pPr>
              <w:jc w:val="center"/>
              <w:textAlignment w:val="center"/>
              <w:rPr>
                <w:sz w:val="22"/>
                <w:szCs w:val="22"/>
              </w:rPr>
            </w:pPr>
            <w:r>
              <w:rPr>
                <w:snapToGrid w:val="0"/>
                <w:kern w:val="0"/>
                <w:sz w:val="22"/>
                <w:szCs w:val="22"/>
                <w:lang w:bidi="ar"/>
              </w:rPr>
              <w:t>符合</w:t>
            </w:r>
          </w:p>
        </w:tc>
      </w:tr>
      <w:tr w14:paraId="18AB5B4A">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4F4E6B33">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0E7364DD">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7BF123E2">
            <w:pPr>
              <w:jc w:val="center"/>
              <w:textAlignment w:val="center"/>
              <w:rPr>
                <w:sz w:val="22"/>
                <w:szCs w:val="22"/>
              </w:rPr>
            </w:pPr>
            <w:r>
              <w:rPr>
                <w:snapToGrid w:val="0"/>
                <w:kern w:val="0"/>
                <w:sz w:val="22"/>
                <w:szCs w:val="22"/>
                <w:lang w:bidi="ar"/>
              </w:rPr>
              <w:t>14、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3302" w:type="dxa"/>
            <w:tcBorders>
              <w:top w:val="single" w:color="000000" w:sz="4" w:space="0"/>
              <w:left w:val="single" w:color="000000" w:sz="4" w:space="0"/>
              <w:bottom w:val="single" w:color="000000" w:sz="4" w:space="0"/>
              <w:right w:val="single" w:color="000000" w:sz="4" w:space="0"/>
            </w:tcBorders>
            <w:vAlign w:val="center"/>
          </w:tcPr>
          <w:p w14:paraId="6CFA9EBE">
            <w:pPr>
              <w:jc w:val="center"/>
              <w:textAlignment w:val="center"/>
              <w:rPr>
                <w:sz w:val="22"/>
                <w:szCs w:val="22"/>
              </w:rPr>
            </w:pPr>
            <w:r>
              <w:rPr>
                <w:snapToGrid w:val="0"/>
                <w:kern w:val="0"/>
                <w:sz w:val="22"/>
                <w:szCs w:val="22"/>
                <w:lang w:bidi="ar"/>
              </w:rPr>
              <w:t>项目为</w:t>
            </w:r>
            <w:r>
              <w:rPr>
                <w:rFonts w:hint="eastAsia"/>
                <w:snapToGrid w:val="0"/>
                <w:kern w:val="0"/>
                <w:sz w:val="22"/>
                <w:szCs w:val="22"/>
                <w:lang w:bidi="ar"/>
              </w:rPr>
              <w:t>成品油销售项目</w:t>
            </w:r>
            <w:r>
              <w:rPr>
                <w:rStyle w:val="91"/>
                <w:rFonts w:hint="default" w:ascii="Times New Roman" w:hAnsi="Times New Roman" w:cs="Times New Roman"/>
                <w:snapToGrid w:val="0"/>
                <w:color w:val="auto"/>
                <w:sz w:val="22"/>
                <w:szCs w:val="22"/>
                <w:lang w:bidi="ar"/>
              </w:rPr>
              <w:t>，设置危废贮存点并建立废物污染环境防治责任制度及管理台账</w:t>
            </w:r>
          </w:p>
        </w:tc>
        <w:tc>
          <w:tcPr>
            <w:tcW w:w="1146" w:type="dxa"/>
            <w:tcBorders>
              <w:top w:val="single" w:color="000000" w:sz="4" w:space="0"/>
              <w:left w:val="single" w:color="000000" w:sz="4" w:space="0"/>
              <w:bottom w:val="single" w:color="000000" w:sz="4" w:space="0"/>
              <w:right w:val="single" w:color="000000" w:sz="4" w:space="0"/>
            </w:tcBorders>
            <w:vAlign w:val="center"/>
          </w:tcPr>
          <w:p w14:paraId="65A8D2C9">
            <w:pPr>
              <w:jc w:val="center"/>
              <w:textAlignment w:val="center"/>
              <w:rPr>
                <w:sz w:val="22"/>
                <w:szCs w:val="22"/>
              </w:rPr>
            </w:pPr>
            <w:r>
              <w:rPr>
                <w:snapToGrid w:val="0"/>
                <w:kern w:val="0"/>
                <w:sz w:val="22"/>
                <w:szCs w:val="22"/>
                <w:lang w:bidi="ar"/>
              </w:rPr>
              <w:t>符合</w:t>
            </w:r>
          </w:p>
        </w:tc>
      </w:tr>
      <w:tr w14:paraId="6BAD4B5A">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00D9D970">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0774FF7">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3C438C00">
            <w:pPr>
              <w:jc w:val="center"/>
              <w:textAlignment w:val="center"/>
              <w:rPr>
                <w:sz w:val="22"/>
                <w:szCs w:val="22"/>
              </w:rPr>
            </w:pPr>
            <w:r>
              <w:rPr>
                <w:snapToGrid w:val="0"/>
                <w:kern w:val="0"/>
                <w:sz w:val="22"/>
                <w:szCs w:val="22"/>
                <w:lang w:bidi="ar"/>
              </w:rPr>
              <w:t>15、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3302" w:type="dxa"/>
            <w:tcBorders>
              <w:top w:val="single" w:color="000000" w:sz="4" w:space="0"/>
              <w:left w:val="single" w:color="000000" w:sz="4" w:space="0"/>
              <w:bottom w:val="single" w:color="000000" w:sz="4" w:space="0"/>
              <w:right w:val="single" w:color="000000" w:sz="4" w:space="0"/>
            </w:tcBorders>
            <w:vAlign w:val="center"/>
          </w:tcPr>
          <w:p w14:paraId="065EB611">
            <w:pPr>
              <w:jc w:val="center"/>
              <w:textAlignment w:val="center"/>
              <w:rPr>
                <w:sz w:val="22"/>
                <w:szCs w:val="22"/>
              </w:rPr>
            </w:pPr>
            <w:r>
              <w:rPr>
                <w:snapToGrid w:val="0"/>
                <w:kern w:val="0"/>
                <w:sz w:val="22"/>
                <w:szCs w:val="22"/>
                <w:lang w:bidi="ar"/>
              </w:rPr>
              <w:t>项目</w:t>
            </w:r>
            <w:r>
              <w:rPr>
                <w:rFonts w:hint="eastAsia"/>
                <w:snapToGrid w:val="0"/>
                <w:kern w:val="0"/>
                <w:sz w:val="22"/>
                <w:szCs w:val="22"/>
                <w:lang w:bidi="ar"/>
              </w:rPr>
              <w:t>生活垃圾分类收集，</w:t>
            </w:r>
            <w:r>
              <w:rPr>
                <w:rStyle w:val="91"/>
                <w:rFonts w:hint="default" w:ascii="Times New Roman" w:hAnsi="Times New Roman" w:cs="Times New Roman"/>
                <w:snapToGrid w:val="0"/>
                <w:color w:val="auto"/>
                <w:sz w:val="22"/>
                <w:szCs w:val="22"/>
                <w:lang w:bidi="ar"/>
              </w:rPr>
              <w:t>设置危废贮存点；固危废均妥善处置</w:t>
            </w:r>
          </w:p>
        </w:tc>
        <w:tc>
          <w:tcPr>
            <w:tcW w:w="1146" w:type="dxa"/>
            <w:tcBorders>
              <w:top w:val="single" w:color="000000" w:sz="4" w:space="0"/>
              <w:left w:val="single" w:color="000000" w:sz="4" w:space="0"/>
              <w:bottom w:val="single" w:color="000000" w:sz="4" w:space="0"/>
              <w:right w:val="single" w:color="000000" w:sz="4" w:space="0"/>
            </w:tcBorders>
            <w:vAlign w:val="center"/>
          </w:tcPr>
          <w:p w14:paraId="7A7B6A63">
            <w:pPr>
              <w:jc w:val="center"/>
              <w:textAlignment w:val="center"/>
              <w:rPr>
                <w:sz w:val="22"/>
                <w:szCs w:val="22"/>
              </w:rPr>
            </w:pPr>
            <w:r>
              <w:rPr>
                <w:snapToGrid w:val="0"/>
                <w:kern w:val="0"/>
                <w:sz w:val="22"/>
                <w:szCs w:val="22"/>
                <w:lang w:bidi="ar"/>
              </w:rPr>
              <w:t>符合</w:t>
            </w:r>
          </w:p>
        </w:tc>
      </w:tr>
      <w:tr w14:paraId="6CCB61AD">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230B168">
            <w:pPr>
              <w:jc w:val="center"/>
              <w:rPr>
                <w:sz w:val="22"/>
                <w:szCs w:val="22"/>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5112CA68">
            <w:pPr>
              <w:jc w:val="center"/>
              <w:textAlignment w:val="center"/>
              <w:rPr>
                <w:sz w:val="22"/>
                <w:szCs w:val="22"/>
              </w:rPr>
            </w:pPr>
            <w:r>
              <w:rPr>
                <w:snapToGrid w:val="0"/>
                <w:kern w:val="0"/>
                <w:sz w:val="22"/>
                <w:szCs w:val="22"/>
                <w:lang w:bidi="ar"/>
              </w:rPr>
              <w:t>环境风险</w:t>
            </w:r>
            <w:r>
              <w:rPr>
                <w:rStyle w:val="91"/>
                <w:rFonts w:hint="default" w:ascii="Times New Roman" w:hAnsi="Times New Roman" w:cs="Times New Roman"/>
                <w:snapToGrid w:val="0"/>
                <w:color w:val="auto"/>
                <w:sz w:val="22"/>
                <w:szCs w:val="22"/>
                <w:lang w:bidi="ar"/>
              </w:rPr>
              <w:t>管控</w:t>
            </w:r>
          </w:p>
        </w:tc>
        <w:tc>
          <w:tcPr>
            <w:tcW w:w="6578" w:type="dxa"/>
            <w:tcBorders>
              <w:top w:val="single" w:color="000000" w:sz="4" w:space="0"/>
              <w:left w:val="single" w:color="000000" w:sz="4" w:space="0"/>
              <w:bottom w:val="single" w:color="000000" w:sz="4" w:space="0"/>
              <w:right w:val="single" w:color="000000" w:sz="4" w:space="0"/>
            </w:tcBorders>
            <w:vAlign w:val="center"/>
          </w:tcPr>
          <w:p w14:paraId="58EBD9B6">
            <w:pPr>
              <w:jc w:val="center"/>
              <w:textAlignment w:val="center"/>
              <w:rPr>
                <w:sz w:val="22"/>
                <w:szCs w:val="22"/>
              </w:rPr>
            </w:pPr>
            <w:r>
              <w:rPr>
                <w:snapToGrid w:val="0"/>
                <w:kern w:val="0"/>
                <w:sz w:val="22"/>
                <w:szCs w:val="22"/>
                <w:lang w:bidi="ar"/>
              </w:rPr>
              <w:t>16、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3302" w:type="dxa"/>
            <w:tcBorders>
              <w:top w:val="single" w:color="000000" w:sz="4" w:space="0"/>
              <w:left w:val="single" w:color="000000" w:sz="4" w:space="0"/>
              <w:bottom w:val="single" w:color="000000" w:sz="4" w:space="0"/>
              <w:right w:val="single" w:color="000000" w:sz="4" w:space="0"/>
            </w:tcBorders>
            <w:vAlign w:val="center"/>
          </w:tcPr>
          <w:p w14:paraId="6B0C0477">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471431E8">
            <w:pPr>
              <w:jc w:val="center"/>
              <w:textAlignment w:val="center"/>
              <w:rPr>
                <w:sz w:val="22"/>
                <w:szCs w:val="22"/>
              </w:rPr>
            </w:pPr>
            <w:r>
              <w:rPr>
                <w:snapToGrid w:val="0"/>
                <w:kern w:val="0"/>
                <w:sz w:val="22"/>
                <w:szCs w:val="22"/>
                <w:lang w:bidi="ar"/>
              </w:rPr>
              <w:t>符合</w:t>
            </w:r>
          </w:p>
        </w:tc>
      </w:tr>
      <w:tr w14:paraId="599E2646">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516F263A">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301A6CFE">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00D411A9">
            <w:pPr>
              <w:jc w:val="center"/>
              <w:textAlignment w:val="center"/>
              <w:rPr>
                <w:sz w:val="22"/>
                <w:szCs w:val="22"/>
              </w:rPr>
            </w:pPr>
            <w:r>
              <w:rPr>
                <w:snapToGrid w:val="0"/>
                <w:kern w:val="0"/>
                <w:sz w:val="22"/>
                <w:szCs w:val="22"/>
                <w:lang w:bidi="ar"/>
              </w:rPr>
              <w:t>17、强化化工园区涉水突发环境事件四级环境风险防范体系建设。持续推进重点化工园区（化工集中区）建设有毒有害气体监测预警体系和水质生物毒性预警体系。</w:t>
            </w:r>
          </w:p>
        </w:tc>
        <w:tc>
          <w:tcPr>
            <w:tcW w:w="3302" w:type="dxa"/>
            <w:tcBorders>
              <w:top w:val="single" w:color="000000" w:sz="4" w:space="0"/>
              <w:left w:val="single" w:color="000000" w:sz="4" w:space="0"/>
              <w:bottom w:val="single" w:color="000000" w:sz="4" w:space="0"/>
              <w:right w:val="single" w:color="000000" w:sz="4" w:space="0"/>
            </w:tcBorders>
            <w:vAlign w:val="center"/>
          </w:tcPr>
          <w:p w14:paraId="62B63B83">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0415F67F">
            <w:pPr>
              <w:jc w:val="center"/>
              <w:textAlignment w:val="center"/>
              <w:rPr>
                <w:sz w:val="22"/>
                <w:szCs w:val="22"/>
              </w:rPr>
            </w:pPr>
            <w:r>
              <w:rPr>
                <w:snapToGrid w:val="0"/>
                <w:kern w:val="0"/>
                <w:sz w:val="22"/>
                <w:szCs w:val="22"/>
                <w:lang w:bidi="ar"/>
              </w:rPr>
              <w:t>符合</w:t>
            </w:r>
          </w:p>
        </w:tc>
      </w:tr>
      <w:tr w14:paraId="0C56F2AF">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232F37DA">
            <w:pPr>
              <w:jc w:val="center"/>
              <w:rPr>
                <w:sz w:val="22"/>
                <w:szCs w:val="22"/>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657E79AA">
            <w:pPr>
              <w:jc w:val="center"/>
              <w:textAlignment w:val="center"/>
              <w:rPr>
                <w:sz w:val="22"/>
                <w:szCs w:val="22"/>
              </w:rPr>
            </w:pPr>
            <w:r>
              <w:rPr>
                <w:snapToGrid w:val="0"/>
                <w:kern w:val="0"/>
                <w:sz w:val="22"/>
                <w:szCs w:val="22"/>
                <w:lang w:bidi="ar"/>
              </w:rPr>
              <w:t>资源利用效率</w:t>
            </w:r>
          </w:p>
        </w:tc>
        <w:tc>
          <w:tcPr>
            <w:tcW w:w="6578" w:type="dxa"/>
            <w:tcBorders>
              <w:top w:val="single" w:color="000000" w:sz="4" w:space="0"/>
              <w:left w:val="single" w:color="000000" w:sz="4" w:space="0"/>
              <w:bottom w:val="single" w:color="000000" w:sz="4" w:space="0"/>
              <w:right w:val="single" w:color="000000" w:sz="4" w:space="0"/>
            </w:tcBorders>
            <w:vAlign w:val="center"/>
          </w:tcPr>
          <w:p w14:paraId="400E55EF">
            <w:pPr>
              <w:jc w:val="center"/>
              <w:textAlignment w:val="center"/>
              <w:rPr>
                <w:sz w:val="22"/>
                <w:szCs w:val="22"/>
              </w:rPr>
            </w:pPr>
            <w:r>
              <w:rPr>
                <w:snapToGrid w:val="0"/>
                <w:kern w:val="0"/>
                <w:sz w:val="22"/>
                <w:szCs w:val="22"/>
                <w:lang w:bidi="ar"/>
              </w:rPr>
              <w:t>18、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3302" w:type="dxa"/>
            <w:tcBorders>
              <w:top w:val="single" w:color="000000" w:sz="4" w:space="0"/>
              <w:left w:val="single" w:color="000000" w:sz="4" w:space="0"/>
              <w:bottom w:val="single" w:color="000000" w:sz="4" w:space="0"/>
              <w:right w:val="single" w:color="000000" w:sz="4" w:space="0"/>
            </w:tcBorders>
            <w:vAlign w:val="center"/>
          </w:tcPr>
          <w:p w14:paraId="0103903D">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00C1228C">
            <w:pPr>
              <w:jc w:val="center"/>
              <w:textAlignment w:val="center"/>
              <w:rPr>
                <w:sz w:val="22"/>
                <w:szCs w:val="22"/>
              </w:rPr>
            </w:pPr>
            <w:r>
              <w:rPr>
                <w:snapToGrid w:val="0"/>
                <w:kern w:val="0"/>
                <w:sz w:val="22"/>
                <w:szCs w:val="22"/>
                <w:lang w:bidi="ar"/>
              </w:rPr>
              <w:t>符合</w:t>
            </w:r>
          </w:p>
        </w:tc>
      </w:tr>
      <w:tr w14:paraId="0ECBD52B">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EA8EDC9">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31B73127">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BE56CB9">
            <w:pPr>
              <w:jc w:val="center"/>
              <w:textAlignment w:val="center"/>
              <w:rPr>
                <w:sz w:val="22"/>
                <w:szCs w:val="22"/>
              </w:rPr>
            </w:pPr>
            <w:r>
              <w:rPr>
                <w:snapToGrid w:val="0"/>
                <w:kern w:val="0"/>
                <w:sz w:val="22"/>
                <w:szCs w:val="22"/>
                <w:lang w:bidi="ar"/>
              </w:rPr>
              <w:t>19、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3302" w:type="dxa"/>
            <w:tcBorders>
              <w:top w:val="single" w:color="000000" w:sz="4" w:space="0"/>
              <w:left w:val="single" w:color="000000" w:sz="4" w:space="0"/>
              <w:bottom w:val="single" w:color="000000" w:sz="4" w:space="0"/>
              <w:right w:val="single" w:color="000000" w:sz="4" w:space="0"/>
            </w:tcBorders>
            <w:vAlign w:val="center"/>
          </w:tcPr>
          <w:p w14:paraId="0B88E0F5">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1D2AD220">
            <w:pPr>
              <w:jc w:val="center"/>
              <w:textAlignment w:val="center"/>
              <w:rPr>
                <w:sz w:val="22"/>
                <w:szCs w:val="22"/>
              </w:rPr>
            </w:pPr>
            <w:r>
              <w:rPr>
                <w:snapToGrid w:val="0"/>
                <w:kern w:val="0"/>
                <w:sz w:val="22"/>
                <w:szCs w:val="22"/>
                <w:lang w:bidi="ar"/>
              </w:rPr>
              <w:t>符合</w:t>
            </w:r>
          </w:p>
        </w:tc>
      </w:tr>
      <w:tr w14:paraId="4BADA4BA">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3CBD874C">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DFC3CAF">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60B0E9C0">
            <w:pPr>
              <w:jc w:val="center"/>
              <w:textAlignment w:val="center"/>
              <w:rPr>
                <w:sz w:val="22"/>
                <w:szCs w:val="22"/>
              </w:rPr>
            </w:pPr>
            <w:r>
              <w:rPr>
                <w:snapToGrid w:val="0"/>
                <w:kern w:val="0"/>
                <w:sz w:val="22"/>
                <w:szCs w:val="22"/>
                <w:lang w:bidi="ar"/>
              </w:rPr>
              <w:t>20、新建、扩建“两高”项目应采用先进适用的工艺技术和装备，单位产品物耗、能耗、水耗等达到清洁生产先进水平。</w:t>
            </w:r>
          </w:p>
        </w:tc>
        <w:tc>
          <w:tcPr>
            <w:tcW w:w="3302" w:type="dxa"/>
            <w:tcBorders>
              <w:top w:val="single" w:color="000000" w:sz="4" w:space="0"/>
              <w:left w:val="single" w:color="000000" w:sz="4" w:space="0"/>
              <w:bottom w:val="single" w:color="000000" w:sz="4" w:space="0"/>
              <w:right w:val="single" w:color="000000" w:sz="4" w:space="0"/>
            </w:tcBorders>
            <w:vAlign w:val="center"/>
          </w:tcPr>
          <w:p w14:paraId="7E046554">
            <w:pPr>
              <w:jc w:val="center"/>
              <w:textAlignment w:val="center"/>
              <w:rPr>
                <w:sz w:val="22"/>
                <w:szCs w:val="22"/>
              </w:rPr>
            </w:pPr>
            <w:r>
              <w:rPr>
                <w:snapToGrid w:val="0"/>
                <w:kern w:val="0"/>
                <w:sz w:val="22"/>
                <w:szCs w:val="22"/>
                <w:lang w:bidi="ar"/>
              </w:rPr>
              <w:t>项目不属于两高项目</w:t>
            </w:r>
          </w:p>
        </w:tc>
        <w:tc>
          <w:tcPr>
            <w:tcW w:w="1146" w:type="dxa"/>
            <w:tcBorders>
              <w:top w:val="single" w:color="000000" w:sz="4" w:space="0"/>
              <w:left w:val="single" w:color="000000" w:sz="4" w:space="0"/>
              <w:bottom w:val="single" w:color="000000" w:sz="4" w:space="0"/>
              <w:right w:val="single" w:color="000000" w:sz="4" w:space="0"/>
            </w:tcBorders>
            <w:vAlign w:val="center"/>
          </w:tcPr>
          <w:p w14:paraId="09B04E04">
            <w:pPr>
              <w:jc w:val="center"/>
              <w:textAlignment w:val="center"/>
              <w:rPr>
                <w:sz w:val="22"/>
                <w:szCs w:val="22"/>
              </w:rPr>
            </w:pPr>
            <w:r>
              <w:rPr>
                <w:snapToGrid w:val="0"/>
                <w:kern w:val="0"/>
                <w:sz w:val="22"/>
                <w:szCs w:val="22"/>
                <w:lang w:bidi="ar"/>
              </w:rPr>
              <w:t>符合</w:t>
            </w:r>
          </w:p>
        </w:tc>
      </w:tr>
      <w:tr w14:paraId="7BC15531">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5F955307">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7E9F1D1D">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392CDF1E">
            <w:pPr>
              <w:jc w:val="center"/>
              <w:textAlignment w:val="center"/>
              <w:rPr>
                <w:sz w:val="22"/>
                <w:szCs w:val="22"/>
              </w:rPr>
            </w:pPr>
            <w:r>
              <w:rPr>
                <w:snapToGrid w:val="0"/>
                <w:kern w:val="0"/>
                <w:sz w:val="22"/>
                <w:szCs w:val="22"/>
                <w:lang w:bidi="ar"/>
              </w:rPr>
              <w:t>21、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3302" w:type="dxa"/>
            <w:tcBorders>
              <w:top w:val="single" w:color="000000" w:sz="4" w:space="0"/>
              <w:left w:val="single" w:color="000000" w:sz="4" w:space="0"/>
              <w:bottom w:val="single" w:color="000000" w:sz="4" w:space="0"/>
              <w:right w:val="single" w:color="000000" w:sz="4" w:space="0"/>
            </w:tcBorders>
            <w:vAlign w:val="center"/>
          </w:tcPr>
          <w:p w14:paraId="097845DD">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661CD918">
            <w:pPr>
              <w:jc w:val="center"/>
              <w:textAlignment w:val="center"/>
              <w:rPr>
                <w:sz w:val="22"/>
                <w:szCs w:val="22"/>
              </w:rPr>
            </w:pPr>
            <w:r>
              <w:rPr>
                <w:snapToGrid w:val="0"/>
                <w:kern w:val="0"/>
                <w:sz w:val="22"/>
                <w:szCs w:val="22"/>
                <w:lang w:bidi="ar"/>
              </w:rPr>
              <w:t>符合</w:t>
            </w:r>
          </w:p>
        </w:tc>
      </w:tr>
      <w:tr w14:paraId="6DE2D152">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42EE3315">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72A9740">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47F95E4C">
            <w:pPr>
              <w:jc w:val="center"/>
              <w:textAlignment w:val="center"/>
              <w:rPr>
                <w:sz w:val="22"/>
                <w:szCs w:val="22"/>
              </w:rPr>
            </w:pPr>
            <w:r>
              <w:rPr>
                <w:snapToGrid w:val="0"/>
                <w:kern w:val="0"/>
                <w:sz w:val="22"/>
                <w:szCs w:val="22"/>
                <w:lang w:bidi="ar"/>
              </w:rPr>
              <w:t>22、加快推进节水配套设施建设，加强再生水、雨水等非常规水多元、梯级和安全利用，逐年提高非常规水利用比例。结合现有污水处理设施提标升级扩能改造，系统规划城镇污水再生利用设施。</w:t>
            </w:r>
          </w:p>
        </w:tc>
        <w:tc>
          <w:tcPr>
            <w:tcW w:w="3302" w:type="dxa"/>
            <w:tcBorders>
              <w:top w:val="single" w:color="000000" w:sz="4" w:space="0"/>
              <w:left w:val="single" w:color="000000" w:sz="4" w:space="0"/>
              <w:bottom w:val="single" w:color="000000" w:sz="4" w:space="0"/>
              <w:right w:val="single" w:color="000000" w:sz="4" w:space="0"/>
            </w:tcBorders>
            <w:vAlign w:val="center"/>
          </w:tcPr>
          <w:p w14:paraId="44A3609A">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4ABDC95D">
            <w:pPr>
              <w:jc w:val="center"/>
              <w:textAlignment w:val="center"/>
              <w:rPr>
                <w:sz w:val="22"/>
                <w:szCs w:val="22"/>
              </w:rPr>
            </w:pPr>
            <w:r>
              <w:rPr>
                <w:snapToGrid w:val="0"/>
                <w:kern w:val="0"/>
                <w:sz w:val="22"/>
                <w:szCs w:val="22"/>
                <w:lang w:bidi="ar"/>
              </w:rPr>
              <w:t>符合</w:t>
            </w:r>
          </w:p>
        </w:tc>
      </w:tr>
      <w:tr w14:paraId="642ACA0A">
        <w:tblPrEx>
          <w:tblCellMar>
            <w:top w:w="0" w:type="dxa"/>
            <w:left w:w="108" w:type="dxa"/>
            <w:bottom w:w="0" w:type="dxa"/>
            <w:right w:w="108" w:type="dxa"/>
          </w:tblCellMar>
        </w:tblPrEx>
        <w:trPr>
          <w:trHeight w:val="23" w:hRule="atLeast"/>
          <w:jc w:val="center"/>
        </w:trPr>
        <w:tc>
          <w:tcPr>
            <w:tcW w:w="1201" w:type="dxa"/>
            <w:vMerge w:val="restart"/>
            <w:tcBorders>
              <w:top w:val="single" w:color="000000" w:sz="4" w:space="0"/>
              <w:left w:val="single" w:color="000000" w:sz="4" w:space="0"/>
              <w:bottom w:val="single" w:color="000000" w:sz="4" w:space="0"/>
              <w:right w:val="single" w:color="000000" w:sz="4" w:space="0"/>
            </w:tcBorders>
            <w:vAlign w:val="center"/>
          </w:tcPr>
          <w:p w14:paraId="31851D24">
            <w:pPr>
              <w:jc w:val="center"/>
              <w:textAlignment w:val="center"/>
              <w:rPr>
                <w:sz w:val="22"/>
                <w:szCs w:val="22"/>
              </w:rPr>
            </w:pPr>
            <w:r>
              <w:rPr>
                <w:rFonts w:hint="eastAsia"/>
                <w:snapToGrid w:val="0"/>
                <w:kern w:val="0"/>
                <w:sz w:val="22"/>
                <w:szCs w:val="22"/>
                <w:lang w:val="en-US" w:eastAsia="zh-CN" w:bidi="ar"/>
              </w:rPr>
              <w:t>九龙坡</w:t>
            </w:r>
            <w:r>
              <w:rPr>
                <w:snapToGrid w:val="0"/>
                <w:kern w:val="0"/>
                <w:sz w:val="22"/>
                <w:szCs w:val="22"/>
                <w:lang w:bidi="ar"/>
              </w:rPr>
              <w:t>区总体管</w:t>
            </w:r>
            <w:r>
              <w:rPr>
                <w:rStyle w:val="91"/>
                <w:rFonts w:hint="default" w:ascii="Times New Roman" w:hAnsi="Times New Roman" w:cs="Times New Roman"/>
                <w:snapToGrid w:val="0"/>
                <w:color w:val="auto"/>
                <w:sz w:val="22"/>
                <w:szCs w:val="22"/>
                <w:lang w:bidi="ar"/>
              </w:rPr>
              <w:t>控要求</w:t>
            </w: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5ABBCCB6">
            <w:pPr>
              <w:jc w:val="center"/>
              <w:textAlignment w:val="center"/>
              <w:rPr>
                <w:sz w:val="22"/>
                <w:szCs w:val="22"/>
              </w:rPr>
            </w:pPr>
            <w:r>
              <w:rPr>
                <w:snapToGrid w:val="0"/>
                <w:kern w:val="0"/>
                <w:sz w:val="22"/>
                <w:szCs w:val="22"/>
                <w:lang w:bidi="ar"/>
              </w:rPr>
              <w:t>空间布局</w:t>
            </w:r>
            <w:r>
              <w:rPr>
                <w:rStyle w:val="91"/>
                <w:rFonts w:hint="default" w:ascii="Times New Roman" w:hAnsi="Times New Roman" w:cs="Times New Roman"/>
                <w:snapToGrid w:val="0"/>
                <w:color w:val="auto"/>
                <w:sz w:val="22"/>
                <w:szCs w:val="22"/>
                <w:lang w:bidi="ar"/>
              </w:rPr>
              <w:t>约束</w:t>
            </w:r>
          </w:p>
        </w:tc>
        <w:tc>
          <w:tcPr>
            <w:tcW w:w="6578" w:type="dxa"/>
            <w:tcBorders>
              <w:top w:val="single" w:color="000000" w:sz="4" w:space="0"/>
              <w:left w:val="single" w:color="000000" w:sz="4" w:space="0"/>
              <w:bottom w:val="single" w:color="000000" w:sz="4" w:space="0"/>
              <w:right w:val="single" w:color="000000" w:sz="4" w:space="0"/>
            </w:tcBorders>
            <w:vAlign w:val="center"/>
          </w:tcPr>
          <w:p w14:paraId="71A94BC3">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color w:val="auto"/>
                <w:sz w:val="22"/>
                <w:szCs w:val="22"/>
              </w:rPr>
              <w:t>第一条  执行重点管控单元市级总体要求第一条、第二条、第三条、第四条、第五条和第七条。</w:t>
            </w:r>
          </w:p>
        </w:tc>
        <w:tc>
          <w:tcPr>
            <w:tcW w:w="3302" w:type="dxa"/>
            <w:tcBorders>
              <w:top w:val="single" w:color="000000" w:sz="4" w:space="0"/>
              <w:left w:val="single" w:color="000000" w:sz="4" w:space="0"/>
              <w:bottom w:val="single" w:color="000000" w:sz="4" w:space="0"/>
              <w:right w:val="single" w:color="000000" w:sz="4" w:space="0"/>
            </w:tcBorders>
            <w:vAlign w:val="center"/>
          </w:tcPr>
          <w:p w14:paraId="06CC7C64">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rFonts w:hint="eastAsia"/>
                <w:color w:val="auto"/>
                <w:sz w:val="22"/>
                <w:szCs w:val="22"/>
              </w:rPr>
              <w:t>根据前述分析，本项目符合市级总体要求</w:t>
            </w:r>
            <w:r>
              <w:rPr>
                <w:color w:val="auto"/>
                <w:sz w:val="22"/>
                <w:szCs w:val="22"/>
              </w:rPr>
              <w:t>第一条、第二条、第三条、第四条、第五条和第七条</w:t>
            </w:r>
            <w:r>
              <w:rPr>
                <w:rFonts w:hint="eastAsia"/>
                <w:color w:val="auto"/>
                <w:sz w:val="22"/>
                <w:szCs w:val="22"/>
              </w:rPr>
              <w:t>相关内容</w:t>
            </w:r>
            <w:r>
              <w:rPr>
                <w:color w:val="auto"/>
                <w:sz w:val="22"/>
                <w:szCs w:val="22"/>
              </w:rPr>
              <w:t>。</w:t>
            </w:r>
          </w:p>
        </w:tc>
        <w:tc>
          <w:tcPr>
            <w:tcW w:w="1146" w:type="dxa"/>
            <w:tcBorders>
              <w:top w:val="single" w:color="000000" w:sz="4" w:space="0"/>
              <w:left w:val="single" w:color="000000" w:sz="4" w:space="0"/>
              <w:bottom w:val="single" w:color="000000" w:sz="4" w:space="0"/>
              <w:right w:val="single" w:color="000000" w:sz="4" w:space="0"/>
            </w:tcBorders>
            <w:vAlign w:val="center"/>
          </w:tcPr>
          <w:p w14:paraId="6DCCC83D">
            <w:pPr>
              <w:jc w:val="center"/>
              <w:textAlignment w:val="center"/>
              <w:rPr>
                <w:sz w:val="22"/>
                <w:szCs w:val="22"/>
              </w:rPr>
            </w:pPr>
            <w:r>
              <w:rPr>
                <w:snapToGrid w:val="0"/>
                <w:kern w:val="0"/>
                <w:sz w:val="22"/>
                <w:szCs w:val="22"/>
                <w:lang w:bidi="ar"/>
              </w:rPr>
              <w:t>符合</w:t>
            </w:r>
          </w:p>
        </w:tc>
      </w:tr>
      <w:tr w14:paraId="1ADA488B">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5895C177">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042BD849">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21152B22">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第二条  以完善优势产业链发展作为方向，科学合理优化工业用地空间布局，推进产城融合高质量发展。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3302" w:type="dxa"/>
            <w:tcBorders>
              <w:top w:val="single" w:color="000000" w:sz="4" w:space="0"/>
              <w:left w:val="single" w:color="000000" w:sz="4" w:space="0"/>
              <w:bottom w:val="single" w:color="000000" w:sz="4" w:space="0"/>
              <w:right w:val="single" w:color="000000" w:sz="4" w:space="0"/>
            </w:tcBorders>
            <w:vAlign w:val="center"/>
          </w:tcPr>
          <w:p w14:paraId="44247D2F">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rFonts w:ascii="Times New Roman" w:hAnsi="Times New Roman" w:eastAsia="Times New Roman" w:cs="Times New Roman"/>
                <w:color w:val="auto"/>
                <w:sz w:val="22"/>
                <w:szCs w:val="22"/>
              </w:rPr>
              <w:t>本项目位于</w:t>
            </w:r>
            <w:r>
              <w:rPr>
                <w:rFonts w:hint="eastAsia" w:ascii="Times New Roman" w:hAnsi="Times New Roman" w:eastAsia="Times New Roman" w:cs="Times New Roman"/>
                <w:color w:val="auto"/>
                <w:sz w:val="22"/>
                <w:szCs w:val="22"/>
              </w:rPr>
              <w:t>重庆市九龙坡区华福大道北段400号，</w:t>
            </w:r>
            <w:r>
              <w:rPr>
                <w:rFonts w:hint="eastAsia" w:ascii="Times New Roman" w:hAnsi="Times New Roman" w:eastAsia="宋体" w:cs="Times New Roman"/>
                <w:color w:val="auto"/>
                <w:sz w:val="22"/>
                <w:szCs w:val="22"/>
                <w:lang w:val="en-US" w:eastAsia="zh-CN"/>
              </w:rPr>
              <w:t>不属于九龙新城园区内</w:t>
            </w:r>
            <w:r>
              <w:rPr>
                <w:rFonts w:ascii="Times New Roman" w:hAnsi="Times New Roman" w:eastAsia="Times New Roman" w:cs="Times New Roman"/>
                <w:color w:val="auto"/>
                <w:sz w:val="22"/>
                <w:szCs w:val="22"/>
              </w:rPr>
              <w:t>，</w:t>
            </w:r>
            <w:r>
              <w:rPr>
                <w:rFonts w:hint="eastAsia" w:ascii="Times New Roman" w:hAnsi="Times New Roman" w:eastAsia="宋体" w:cs="Times New Roman"/>
                <w:color w:val="auto"/>
                <w:sz w:val="22"/>
                <w:szCs w:val="22"/>
                <w:lang w:val="en-US" w:eastAsia="zh-CN"/>
              </w:rPr>
              <w:t>项目</w:t>
            </w:r>
            <w:r>
              <w:rPr>
                <w:rFonts w:ascii="Times New Roman" w:hAnsi="Times New Roman" w:eastAsia="Times New Roman" w:cs="Times New Roman"/>
                <w:color w:val="auto"/>
                <w:sz w:val="22"/>
                <w:szCs w:val="22"/>
              </w:rPr>
              <w:t>无需设置防护距离。</w:t>
            </w:r>
          </w:p>
        </w:tc>
        <w:tc>
          <w:tcPr>
            <w:tcW w:w="1146" w:type="dxa"/>
            <w:tcBorders>
              <w:top w:val="single" w:color="000000" w:sz="4" w:space="0"/>
              <w:left w:val="single" w:color="000000" w:sz="4" w:space="0"/>
              <w:bottom w:val="single" w:color="000000" w:sz="4" w:space="0"/>
              <w:right w:val="single" w:color="000000" w:sz="4" w:space="0"/>
            </w:tcBorders>
            <w:vAlign w:val="center"/>
          </w:tcPr>
          <w:p w14:paraId="46E35901">
            <w:pPr>
              <w:jc w:val="center"/>
              <w:textAlignment w:val="center"/>
              <w:rPr>
                <w:sz w:val="22"/>
                <w:szCs w:val="22"/>
              </w:rPr>
            </w:pPr>
            <w:r>
              <w:rPr>
                <w:snapToGrid w:val="0"/>
                <w:kern w:val="0"/>
                <w:sz w:val="22"/>
                <w:szCs w:val="22"/>
                <w:lang w:bidi="ar"/>
              </w:rPr>
              <w:t>符合</w:t>
            </w:r>
          </w:p>
        </w:tc>
      </w:tr>
      <w:tr w14:paraId="1EE9C6C2">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21B2CC32">
            <w:pPr>
              <w:jc w:val="center"/>
              <w:rPr>
                <w:sz w:val="22"/>
                <w:szCs w:val="22"/>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63505CB3">
            <w:pPr>
              <w:jc w:val="center"/>
              <w:textAlignment w:val="center"/>
              <w:rPr>
                <w:sz w:val="22"/>
                <w:szCs w:val="22"/>
              </w:rPr>
            </w:pPr>
            <w:r>
              <w:rPr>
                <w:snapToGrid w:val="0"/>
                <w:kern w:val="0"/>
                <w:sz w:val="22"/>
                <w:szCs w:val="22"/>
                <w:lang w:bidi="ar"/>
              </w:rPr>
              <w:t>污染物排放管控</w:t>
            </w:r>
          </w:p>
        </w:tc>
        <w:tc>
          <w:tcPr>
            <w:tcW w:w="6578" w:type="dxa"/>
            <w:tcBorders>
              <w:top w:val="single" w:color="000000" w:sz="4" w:space="0"/>
              <w:left w:val="single" w:color="000000" w:sz="4" w:space="0"/>
              <w:bottom w:val="single" w:color="000000" w:sz="4" w:space="0"/>
              <w:right w:val="single" w:color="000000" w:sz="4" w:space="0"/>
            </w:tcBorders>
            <w:vAlign w:val="center"/>
          </w:tcPr>
          <w:p w14:paraId="1D012442">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第三条  执行重点管控单元市级总体要求第八条、第九条、第十一条、第十二条、第十四条和第十五条。</w:t>
            </w:r>
          </w:p>
        </w:tc>
        <w:tc>
          <w:tcPr>
            <w:tcW w:w="3302" w:type="dxa"/>
            <w:tcBorders>
              <w:top w:val="single" w:color="000000" w:sz="4" w:space="0"/>
              <w:left w:val="single" w:color="000000" w:sz="4" w:space="0"/>
              <w:bottom w:val="single" w:color="000000" w:sz="4" w:space="0"/>
              <w:right w:val="single" w:color="000000" w:sz="4" w:space="0"/>
            </w:tcBorders>
            <w:vAlign w:val="center"/>
          </w:tcPr>
          <w:p w14:paraId="4FD8BAA9">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rFonts w:hint="eastAsia" w:ascii="Times New Roman" w:hAnsi="Times New Roman" w:eastAsia="Times New Roman" w:cs="Times New Roman"/>
                <w:color w:val="auto"/>
                <w:sz w:val="22"/>
                <w:szCs w:val="22"/>
              </w:rPr>
              <w:t>根据前述分析，本项目符合市级总体要求</w:t>
            </w:r>
            <w:r>
              <w:rPr>
                <w:rFonts w:ascii="Times New Roman" w:hAnsi="Times New Roman" w:eastAsia="Times New Roman" w:cs="Times New Roman"/>
                <w:color w:val="auto"/>
                <w:sz w:val="22"/>
                <w:szCs w:val="22"/>
              </w:rPr>
              <w:t>第八条、第九条、第十一条、第十二条、第十四条和第十五条</w:t>
            </w:r>
            <w:r>
              <w:rPr>
                <w:rFonts w:hint="eastAsia" w:ascii="Times New Roman" w:hAnsi="Times New Roman" w:eastAsia="Times New Roman" w:cs="Times New Roman"/>
                <w:color w:val="auto"/>
                <w:sz w:val="22"/>
                <w:szCs w:val="22"/>
              </w:rPr>
              <w:t>相关内容</w:t>
            </w:r>
            <w:r>
              <w:rPr>
                <w:rFonts w:ascii="Times New Roman" w:hAnsi="Times New Roman" w:eastAsia="Times New Roman" w:cs="Times New Roman"/>
                <w:color w:val="auto"/>
                <w:sz w:val="22"/>
                <w:szCs w:val="22"/>
              </w:rPr>
              <w:t>。</w:t>
            </w:r>
          </w:p>
        </w:tc>
        <w:tc>
          <w:tcPr>
            <w:tcW w:w="1146" w:type="dxa"/>
            <w:tcBorders>
              <w:top w:val="single" w:color="000000" w:sz="4" w:space="0"/>
              <w:left w:val="single" w:color="000000" w:sz="4" w:space="0"/>
              <w:bottom w:val="single" w:color="000000" w:sz="4" w:space="0"/>
              <w:right w:val="single" w:color="000000" w:sz="4" w:space="0"/>
            </w:tcBorders>
            <w:vAlign w:val="center"/>
          </w:tcPr>
          <w:p w14:paraId="487DD88F">
            <w:pPr>
              <w:jc w:val="center"/>
              <w:textAlignment w:val="center"/>
              <w:rPr>
                <w:sz w:val="22"/>
                <w:szCs w:val="22"/>
              </w:rPr>
            </w:pPr>
            <w:r>
              <w:rPr>
                <w:snapToGrid w:val="0"/>
                <w:kern w:val="0"/>
                <w:sz w:val="22"/>
                <w:szCs w:val="22"/>
                <w:lang w:bidi="ar"/>
              </w:rPr>
              <w:t>符合</w:t>
            </w:r>
          </w:p>
        </w:tc>
      </w:tr>
      <w:tr w14:paraId="6EF6B156">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097ACE08">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73EBC4F">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4CCAED67">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3302" w:type="dxa"/>
            <w:tcBorders>
              <w:top w:val="single" w:color="000000" w:sz="4" w:space="0"/>
              <w:left w:val="single" w:color="000000" w:sz="4" w:space="0"/>
              <w:bottom w:val="single" w:color="000000" w:sz="4" w:space="0"/>
              <w:right w:val="single" w:color="000000" w:sz="4" w:space="0"/>
            </w:tcBorders>
            <w:vAlign w:val="center"/>
          </w:tcPr>
          <w:p w14:paraId="3C9A3EB5">
            <w:pPr>
              <w:adjustRightInd w:val="0"/>
              <w:snapToGrid w:val="0"/>
              <w:rPr>
                <w:rFonts w:hint="default" w:eastAsia="宋体"/>
                <w:sz w:val="22"/>
                <w:szCs w:val="22"/>
                <w:lang w:val="en-US" w:eastAsia="zh-CN"/>
              </w:rPr>
            </w:pPr>
            <w:r>
              <w:rPr>
                <w:rFonts w:hint="eastAsia" w:eastAsia="宋体"/>
                <w:sz w:val="22"/>
                <w:szCs w:val="22"/>
                <w:lang w:val="en-US" w:eastAsia="zh-CN"/>
              </w:rPr>
              <w:t>本项目属于油品储运销行业，主要原料为汽油和柴油，储油罐</w:t>
            </w:r>
            <w:r>
              <w:rPr>
                <w:rFonts w:hint="eastAsia"/>
                <w:sz w:val="22"/>
                <w:szCs w:val="22"/>
              </w:rPr>
              <w:t>储油罐保持完好，无缝隙</w:t>
            </w:r>
            <w:r>
              <w:rPr>
                <w:rFonts w:hint="eastAsia"/>
                <w:sz w:val="22"/>
                <w:szCs w:val="22"/>
                <w:lang w:eastAsia="zh-CN"/>
              </w:rPr>
              <w:t>；</w:t>
            </w:r>
            <w:r>
              <w:rPr>
                <w:rFonts w:hint="eastAsia"/>
                <w:sz w:val="22"/>
                <w:szCs w:val="22"/>
              </w:rPr>
              <w:t>储油罐阀门仅在采样、计量、检查、维护等情况下打开，日常状态下关闭；项目设置一次卸油油气回收系统</w:t>
            </w:r>
            <w:r>
              <w:rPr>
                <w:rFonts w:hint="eastAsia"/>
                <w:sz w:val="22"/>
                <w:szCs w:val="22"/>
                <w:lang w:eastAsia="zh-CN"/>
              </w:rPr>
              <w:t>、</w:t>
            </w:r>
            <w:r>
              <w:rPr>
                <w:rFonts w:hint="eastAsia"/>
                <w:sz w:val="22"/>
                <w:szCs w:val="22"/>
              </w:rPr>
              <w:t>二次加油油气回收系统</w:t>
            </w:r>
            <w:r>
              <w:rPr>
                <w:rFonts w:hint="eastAsia"/>
                <w:sz w:val="22"/>
                <w:szCs w:val="22"/>
                <w:lang w:val="en-US" w:eastAsia="zh-CN"/>
              </w:rPr>
              <w:t>和</w:t>
            </w:r>
            <w:r>
              <w:rPr>
                <w:rFonts w:hint="eastAsia"/>
                <w:sz w:val="22"/>
                <w:szCs w:val="22"/>
              </w:rPr>
              <w:t>三次储油油罐油气回收系统，对卸车</w:t>
            </w:r>
            <w:r>
              <w:rPr>
                <w:rFonts w:hint="eastAsia"/>
                <w:sz w:val="22"/>
                <w:szCs w:val="22"/>
                <w:lang w:eastAsia="zh-CN"/>
              </w:rPr>
              <w:t>、</w:t>
            </w:r>
            <w:r>
              <w:rPr>
                <w:rFonts w:hint="eastAsia"/>
                <w:sz w:val="22"/>
                <w:szCs w:val="22"/>
                <w:lang w:val="en-US" w:eastAsia="zh-CN"/>
              </w:rPr>
              <w:t>加油、储油过程中产生的</w:t>
            </w:r>
            <w:r>
              <w:rPr>
                <w:rFonts w:hint="eastAsia"/>
                <w:sz w:val="22"/>
                <w:szCs w:val="22"/>
              </w:rPr>
              <w:t>油气（VOCs）进行回收利用</w:t>
            </w:r>
            <w:r>
              <w:rPr>
                <w:rFonts w:hint="eastAsia"/>
                <w:sz w:val="22"/>
                <w:szCs w:val="22"/>
                <w:lang w:val="en-US" w:eastAsia="zh-CN"/>
              </w:rPr>
              <w:t>且</w:t>
            </w:r>
            <w:r>
              <w:rPr>
                <w:rFonts w:hint="eastAsia"/>
                <w:sz w:val="22"/>
                <w:szCs w:val="22"/>
              </w:rPr>
              <w:t>每年定期检查油气回收系统</w:t>
            </w:r>
          </w:p>
        </w:tc>
        <w:tc>
          <w:tcPr>
            <w:tcW w:w="1146" w:type="dxa"/>
            <w:tcBorders>
              <w:top w:val="single" w:color="000000" w:sz="4" w:space="0"/>
              <w:left w:val="single" w:color="000000" w:sz="4" w:space="0"/>
              <w:bottom w:val="single" w:color="000000" w:sz="4" w:space="0"/>
              <w:right w:val="single" w:color="000000" w:sz="4" w:space="0"/>
            </w:tcBorders>
            <w:vAlign w:val="center"/>
          </w:tcPr>
          <w:p w14:paraId="170D2950">
            <w:pPr>
              <w:jc w:val="center"/>
              <w:textAlignment w:val="center"/>
              <w:rPr>
                <w:sz w:val="22"/>
                <w:szCs w:val="22"/>
              </w:rPr>
            </w:pPr>
            <w:r>
              <w:rPr>
                <w:snapToGrid w:val="0"/>
                <w:kern w:val="0"/>
                <w:sz w:val="22"/>
                <w:szCs w:val="22"/>
                <w:lang w:bidi="ar"/>
              </w:rPr>
              <w:t>符合</w:t>
            </w:r>
          </w:p>
        </w:tc>
      </w:tr>
      <w:tr w14:paraId="69CD1364">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08FE10D4">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15D84DBD">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262B1265">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第五条  以餐饮油烟为重点，强化生活污染防治。加大居民生活油烟排放治理，推动具备条件的餐饮单位安装餐饮油烟在线监控设施，加强对重点区域无油烟净化设施露天摊位的管理。</w:t>
            </w:r>
          </w:p>
        </w:tc>
        <w:tc>
          <w:tcPr>
            <w:tcW w:w="3302" w:type="dxa"/>
            <w:tcBorders>
              <w:top w:val="single" w:color="000000" w:sz="4" w:space="0"/>
              <w:left w:val="single" w:color="000000" w:sz="4" w:space="0"/>
              <w:bottom w:val="single" w:color="000000" w:sz="4" w:space="0"/>
              <w:right w:val="single" w:color="000000" w:sz="4" w:space="0"/>
            </w:tcBorders>
            <w:vAlign w:val="center"/>
          </w:tcPr>
          <w:p w14:paraId="5D6D72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2"/>
                <w:szCs w:val="22"/>
              </w:rPr>
            </w:pPr>
            <w:r>
              <w:rPr>
                <w:rFonts w:hint="eastAsia" w:eastAsia="宋体"/>
                <w:color w:val="auto"/>
                <w:sz w:val="22"/>
                <w:szCs w:val="22"/>
              </w:rPr>
              <w:t>本</w:t>
            </w:r>
            <w:r>
              <w:rPr>
                <w:rFonts w:eastAsia="宋体"/>
                <w:color w:val="auto"/>
                <w:sz w:val="22"/>
                <w:szCs w:val="22"/>
              </w:rPr>
              <w:t>项目不涉及</w:t>
            </w:r>
            <w:r>
              <w:rPr>
                <w:rFonts w:hint="eastAsia" w:eastAsia="宋体"/>
                <w:color w:val="auto"/>
                <w:sz w:val="22"/>
                <w:szCs w:val="22"/>
              </w:rPr>
              <w:t>前述</w:t>
            </w:r>
            <w:r>
              <w:rPr>
                <w:rFonts w:eastAsia="宋体"/>
                <w:color w:val="auto"/>
                <w:sz w:val="22"/>
                <w:szCs w:val="22"/>
              </w:rPr>
              <w:t>内容</w:t>
            </w:r>
          </w:p>
        </w:tc>
        <w:tc>
          <w:tcPr>
            <w:tcW w:w="1146" w:type="dxa"/>
            <w:tcBorders>
              <w:top w:val="single" w:color="000000" w:sz="4" w:space="0"/>
              <w:left w:val="single" w:color="000000" w:sz="4" w:space="0"/>
              <w:bottom w:val="single" w:color="000000" w:sz="4" w:space="0"/>
              <w:right w:val="single" w:color="000000" w:sz="4" w:space="0"/>
            </w:tcBorders>
            <w:vAlign w:val="center"/>
          </w:tcPr>
          <w:p w14:paraId="4AC10441">
            <w:pPr>
              <w:jc w:val="center"/>
              <w:textAlignment w:val="center"/>
              <w:rPr>
                <w:sz w:val="22"/>
                <w:szCs w:val="22"/>
              </w:rPr>
            </w:pPr>
            <w:r>
              <w:rPr>
                <w:snapToGrid w:val="0"/>
                <w:kern w:val="0"/>
                <w:sz w:val="22"/>
                <w:szCs w:val="22"/>
                <w:lang w:bidi="ar"/>
              </w:rPr>
              <w:t>符合</w:t>
            </w:r>
          </w:p>
        </w:tc>
      </w:tr>
      <w:tr w14:paraId="774F4725">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B6DE51A">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1FB075D">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6564A6F">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3302" w:type="dxa"/>
            <w:tcBorders>
              <w:top w:val="single" w:color="000000" w:sz="4" w:space="0"/>
              <w:left w:val="single" w:color="000000" w:sz="4" w:space="0"/>
              <w:bottom w:val="single" w:color="000000" w:sz="4" w:space="0"/>
              <w:right w:val="single" w:color="000000" w:sz="4" w:space="0"/>
            </w:tcBorders>
            <w:vAlign w:val="center"/>
          </w:tcPr>
          <w:p w14:paraId="477261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2"/>
                <w:szCs w:val="22"/>
              </w:rPr>
            </w:pPr>
            <w:r>
              <w:rPr>
                <w:rFonts w:hint="eastAsia" w:eastAsia="宋体"/>
                <w:color w:val="auto"/>
                <w:sz w:val="22"/>
                <w:szCs w:val="22"/>
              </w:rPr>
              <w:t>本</w:t>
            </w:r>
            <w:r>
              <w:rPr>
                <w:rFonts w:eastAsia="宋体"/>
                <w:color w:val="auto"/>
                <w:sz w:val="22"/>
                <w:szCs w:val="22"/>
              </w:rPr>
              <w:t>项目不涉及</w:t>
            </w:r>
            <w:r>
              <w:rPr>
                <w:rFonts w:hint="eastAsia" w:eastAsia="宋体"/>
                <w:color w:val="auto"/>
                <w:sz w:val="22"/>
                <w:szCs w:val="22"/>
              </w:rPr>
              <w:t>前述</w:t>
            </w:r>
            <w:r>
              <w:rPr>
                <w:rFonts w:eastAsia="宋体"/>
                <w:color w:val="auto"/>
                <w:sz w:val="22"/>
                <w:szCs w:val="22"/>
              </w:rPr>
              <w:t>内容</w:t>
            </w:r>
          </w:p>
        </w:tc>
        <w:tc>
          <w:tcPr>
            <w:tcW w:w="1146" w:type="dxa"/>
            <w:tcBorders>
              <w:top w:val="single" w:color="000000" w:sz="4" w:space="0"/>
              <w:left w:val="single" w:color="000000" w:sz="4" w:space="0"/>
              <w:bottom w:val="single" w:color="000000" w:sz="4" w:space="0"/>
              <w:right w:val="single" w:color="000000" w:sz="4" w:space="0"/>
            </w:tcBorders>
            <w:vAlign w:val="center"/>
          </w:tcPr>
          <w:p w14:paraId="0A0EDD5F">
            <w:pPr>
              <w:jc w:val="center"/>
              <w:textAlignment w:val="center"/>
              <w:rPr>
                <w:sz w:val="22"/>
                <w:szCs w:val="22"/>
              </w:rPr>
            </w:pPr>
            <w:r>
              <w:rPr>
                <w:snapToGrid w:val="0"/>
                <w:kern w:val="0"/>
                <w:sz w:val="22"/>
                <w:szCs w:val="22"/>
                <w:lang w:bidi="ar"/>
              </w:rPr>
              <w:t>符合</w:t>
            </w:r>
          </w:p>
        </w:tc>
      </w:tr>
      <w:tr w14:paraId="4D40DD83">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37695B24">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5FDA41ED">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32016BC">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3302" w:type="dxa"/>
            <w:tcBorders>
              <w:top w:val="single" w:color="000000" w:sz="4" w:space="0"/>
              <w:left w:val="single" w:color="000000" w:sz="4" w:space="0"/>
              <w:bottom w:val="single" w:color="000000" w:sz="4" w:space="0"/>
              <w:right w:val="single" w:color="000000" w:sz="4" w:space="0"/>
            </w:tcBorders>
            <w:vAlign w:val="center"/>
          </w:tcPr>
          <w:p w14:paraId="11150A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2"/>
                <w:szCs w:val="22"/>
              </w:rPr>
            </w:pPr>
            <w:r>
              <w:rPr>
                <w:rFonts w:hint="eastAsia" w:eastAsia="宋体"/>
                <w:color w:val="auto"/>
                <w:sz w:val="22"/>
                <w:szCs w:val="22"/>
              </w:rPr>
              <w:t>本</w:t>
            </w:r>
            <w:r>
              <w:rPr>
                <w:rFonts w:eastAsia="宋体"/>
                <w:color w:val="auto"/>
                <w:sz w:val="22"/>
                <w:szCs w:val="22"/>
              </w:rPr>
              <w:t>项目不涉及</w:t>
            </w:r>
            <w:r>
              <w:rPr>
                <w:rFonts w:hint="eastAsia" w:eastAsia="宋体"/>
                <w:color w:val="auto"/>
                <w:sz w:val="22"/>
                <w:szCs w:val="22"/>
              </w:rPr>
              <w:t>前述</w:t>
            </w:r>
            <w:r>
              <w:rPr>
                <w:rFonts w:eastAsia="宋体"/>
                <w:color w:val="auto"/>
                <w:sz w:val="22"/>
                <w:szCs w:val="22"/>
              </w:rPr>
              <w:t>内容</w:t>
            </w:r>
          </w:p>
        </w:tc>
        <w:tc>
          <w:tcPr>
            <w:tcW w:w="1146" w:type="dxa"/>
            <w:tcBorders>
              <w:top w:val="single" w:color="000000" w:sz="4" w:space="0"/>
              <w:left w:val="single" w:color="000000" w:sz="4" w:space="0"/>
              <w:bottom w:val="single" w:color="000000" w:sz="4" w:space="0"/>
              <w:right w:val="single" w:color="000000" w:sz="4" w:space="0"/>
            </w:tcBorders>
            <w:vAlign w:val="center"/>
          </w:tcPr>
          <w:p w14:paraId="6F4F38BF">
            <w:pPr>
              <w:jc w:val="center"/>
              <w:textAlignment w:val="center"/>
              <w:rPr>
                <w:sz w:val="22"/>
                <w:szCs w:val="22"/>
              </w:rPr>
            </w:pPr>
            <w:r>
              <w:rPr>
                <w:snapToGrid w:val="0"/>
                <w:kern w:val="0"/>
                <w:sz w:val="22"/>
                <w:szCs w:val="22"/>
                <w:lang w:bidi="ar"/>
              </w:rPr>
              <w:t>符合</w:t>
            </w:r>
          </w:p>
        </w:tc>
      </w:tr>
      <w:tr w14:paraId="6DF9F325">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4C7EDA9B">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39955B5A">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31DE6CE1">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3302" w:type="dxa"/>
            <w:tcBorders>
              <w:top w:val="single" w:color="000000" w:sz="4" w:space="0"/>
              <w:left w:val="single" w:color="000000" w:sz="4" w:space="0"/>
              <w:bottom w:val="single" w:color="000000" w:sz="4" w:space="0"/>
              <w:right w:val="single" w:color="000000" w:sz="4" w:space="0"/>
            </w:tcBorders>
            <w:vAlign w:val="center"/>
          </w:tcPr>
          <w:p w14:paraId="3D03BDC5">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rFonts w:hint="eastAsia"/>
                <w:color w:val="auto"/>
                <w:sz w:val="22"/>
                <w:szCs w:val="22"/>
              </w:rPr>
              <w:t>本</w:t>
            </w:r>
            <w:r>
              <w:rPr>
                <w:color w:val="auto"/>
                <w:sz w:val="22"/>
                <w:szCs w:val="22"/>
              </w:rPr>
              <w:t>项目不涉及</w:t>
            </w:r>
            <w:r>
              <w:rPr>
                <w:rFonts w:hint="eastAsia"/>
                <w:color w:val="auto"/>
                <w:sz w:val="22"/>
                <w:szCs w:val="22"/>
              </w:rPr>
              <w:t>前述</w:t>
            </w:r>
            <w:r>
              <w:rPr>
                <w:color w:val="auto"/>
                <w:sz w:val="22"/>
                <w:szCs w:val="22"/>
              </w:rPr>
              <w:t>内容</w:t>
            </w:r>
          </w:p>
        </w:tc>
        <w:tc>
          <w:tcPr>
            <w:tcW w:w="1146" w:type="dxa"/>
            <w:tcBorders>
              <w:top w:val="single" w:color="000000" w:sz="4" w:space="0"/>
              <w:left w:val="single" w:color="000000" w:sz="4" w:space="0"/>
              <w:bottom w:val="single" w:color="000000" w:sz="4" w:space="0"/>
              <w:right w:val="single" w:color="000000" w:sz="4" w:space="0"/>
            </w:tcBorders>
            <w:vAlign w:val="center"/>
          </w:tcPr>
          <w:p w14:paraId="5393F3B9">
            <w:pPr>
              <w:jc w:val="center"/>
              <w:textAlignment w:val="center"/>
              <w:rPr>
                <w:sz w:val="22"/>
                <w:szCs w:val="22"/>
              </w:rPr>
            </w:pPr>
            <w:r>
              <w:rPr>
                <w:snapToGrid w:val="0"/>
                <w:kern w:val="0"/>
                <w:sz w:val="22"/>
                <w:szCs w:val="22"/>
                <w:lang w:bidi="ar"/>
              </w:rPr>
              <w:t>符合</w:t>
            </w:r>
          </w:p>
        </w:tc>
      </w:tr>
      <w:tr w14:paraId="1C4DC8B5">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DA81046">
            <w:pPr>
              <w:jc w:val="center"/>
              <w:rPr>
                <w:sz w:val="22"/>
                <w:szCs w:val="22"/>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6385502D">
            <w:pPr>
              <w:jc w:val="center"/>
              <w:textAlignment w:val="center"/>
              <w:rPr>
                <w:sz w:val="22"/>
                <w:szCs w:val="22"/>
              </w:rPr>
            </w:pPr>
            <w:r>
              <w:rPr>
                <w:snapToGrid w:val="0"/>
                <w:kern w:val="0"/>
                <w:sz w:val="22"/>
                <w:szCs w:val="22"/>
                <w:lang w:bidi="ar"/>
              </w:rPr>
              <w:t>环境风险</w:t>
            </w:r>
            <w:r>
              <w:rPr>
                <w:rStyle w:val="91"/>
                <w:rFonts w:hint="default" w:ascii="Times New Roman" w:hAnsi="Times New Roman" w:cs="Times New Roman"/>
                <w:snapToGrid w:val="0"/>
                <w:color w:val="auto"/>
                <w:sz w:val="22"/>
                <w:szCs w:val="22"/>
                <w:lang w:bidi="ar"/>
              </w:rPr>
              <w:t>防控</w:t>
            </w:r>
          </w:p>
        </w:tc>
        <w:tc>
          <w:tcPr>
            <w:tcW w:w="6578" w:type="dxa"/>
            <w:tcBorders>
              <w:top w:val="single" w:color="000000" w:sz="4" w:space="0"/>
              <w:left w:val="single" w:color="000000" w:sz="4" w:space="0"/>
              <w:bottom w:val="single" w:color="000000" w:sz="4" w:space="0"/>
              <w:right w:val="single" w:color="000000" w:sz="4" w:space="0"/>
            </w:tcBorders>
            <w:vAlign w:val="center"/>
          </w:tcPr>
          <w:p w14:paraId="0C61CD34">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第九条  执行重点管控单元市级总体要求第十六条。</w:t>
            </w:r>
          </w:p>
        </w:tc>
        <w:tc>
          <w:tcPr>
            <w:tcW w:w="3302" w:type="dxa"/>
            <w:tcBorders>
              <w:top w:val="single" w:color="000000" w:sz="4" w:space="0"/>
              <w:left w:val="single" w:color="000000" w:sz="4" w:space="0"/>
              <w:bottom w:val="single" w:color="000000" w:sz="4" w:space="0"/>
              <w:right w:val="single" w:color="000000" w:sz="4" w:space="0"/>
            </w:tcBorders>
            <w:vAlign w:val="center"/>
          </w:tcPr>
          <w:p w14:paraId="1F0A0B3A">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rFonts w:hint="eastAsia"/>
                <w:color w:val="auto"/>
                <w:sz w:val="22"/>
                <w:szCs w:val="22"/>
              </w:rPr>
              <w:t>根据前述分析，本项目符合市级总体要求</w:t>
            </w:r>
            <w:r>
              <w:rPr>
                <w:color w:val="auto"/>
                <w:sz w:val="22"/>
                <w:szCs w:val="22"/>
              </w:rPr>
              <w:t>第十六</w:t>
            </w:r>
            <w:r>
              <w:rPr>
                <w:rFonts w:hint="eastAsia"/>
                <w:color w:val="auto"/>
                <w:sz w:val="22"/>
                <w:szCs w:val="22"/>
              </w:rPr>
              <w:t>条相关内容。</w:t>
            </w:r>
          </w:p>
        </w:tc>
        <w:tc>
          <w:tcPr>
            <w:tcW w:w="1146" w:type="dxa"/>
            <w:tcBorders>
              <w:top w:val="single" w:color="000000" w:sz="4" w:space="0"/>
              <w:left w:val="single" w:color="000000" w:sz="4" w:space="0"/>
              <w:bottom w:val="single" w:color="000000" w:sz="4" w:space="0"/>
              <w:right w:val="single" w:color="000000" w:sz="4" w:space="0"/>
            </w:tcBorders>
            <w:vAlign w:val="center"/>
          </w:tcPr>
          <w:p w14:paraId="5F5D608C">
            <w:pPr>
              <w:jc w:val="center"/>
              <w:textAlignment w:val="center"/>
              <w:rPr>
                <w:sz w:val="22"/>
                <w:szCs w:val="22"/>
              </w:rPr>
            </w:pPr>
            <w:r>
              <w:rPr>
                <w:snapToGrid w:val="0"/>
                <w:kern w:val="0"/>
                <w:sz w:val="22"/>
                <w:szCs w:val="22"/>
                <w:lang w:bidi="ar"/>
              </w:rPr>
              <w:t>符合</w:t>
            </w:r>
          </w:p>
        </w:tc>
      </w:tr>
      <w:tr w14:paraId="75DE86F7">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F19862B">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413D0539">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CFE413C">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第十条  以保障饮用水源安全为目标，完善区域环境风险措施。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tc>
        <w:tc>
          <w:tcPr>
            <w:tcW w:w="3302" w:type="dxa"/>
            <w:tcBorders>
              <w:top w:val="single" w:color="000000" w:sz="4" w:space="0"/>
              <w:left w:val="single" w:color="000000" w:sz="4" w:space="0"/>
              <w:bottom w:val="single" w:color="000000" w:sz="4" w:space="0"/>
              <w:right w:val="single" w:color="000000" w:sz="4" w:space="0"/>
            </w:tcBorders>
            <w:vAlign w:val="center"/>
          </w:tcPr>
          <w:p w14:paraId="2119795C">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rFonts w:hint="eastAsia"/>
                <w:bCs/>
                <w:color w:val="auto"/>
                <w:sz w:val="22"/>
                <w:szCs w:val="22"/>
              </w:rPr>
              <w:t>本项目危废贮存点按照《危险废物贮存污染控制标准》（GB18597-2023）相关标准要求进行</w:t>
            </w:r>
            <w:r>
              <w:rPr>
                <w:rFonts w:hint="eastAsia" w:eastAsia="宋体"/>
                <w:bCs/>
                <w:color w:val="auto"/>
                <w:sz w:val="22"/>
                <w:szCs w:val="22"/>
                <w:lang w:val="en-US" w:eastAsia="zh-CN"/>
              </w:rPr>
              <w:t>改造</w:t>
            </w:r>
            <w:r>
              <w:rPr>
                <w:rFonts w:hint="eastAsia"/>
                <w:bCs/>
                <w:color w:val="auto"/>
                <w:sz w:val="22"/>
                <w:szCs w:val="22"/>
              </w:rPr>
              <w:t>建设</w:t>
            </w:r>
            <w:r>
              <w:rPr>
                <w:rFonts w:hint="eastAsia" w:eastAsia="宋体"/>
                <w:bCs/>
                <w:color w:val="auto"/>
                <w:sz w:val="22"/>
                <w:szCs w:val="22"/>
                <w:lang w:val="en-US" w:eastAsia="zh-CN"/>
              </w:rPr>
              <w:t>并依托利用</w:t>
            </w:r>
            <w:r>
              <w:rPr>
                <w:rFonts w:hint="eastAsia"/>
                <w:bCs/>
                <w:color w:val="auto"/>
                <w:sz w:val="22"/>
                <w:szCs w:val="22"/>
              </w:rPr>
              <w:t>。</w:t>
            </w:r>
          </w:p>
        </w:tc>
        <w:tc>
          <w:tcPr>
            <w:tcW w:w="1146" w:type="dxa"/>
            <w:tcBorders>
              <w:top w:val="single" w:color="000000" w:sz="4" w:space="0"/>
              <w:left w:val="single" w:color="000000" w:sz="4" w:space="0"/>
              <w:bottom w:val="single" w:color="000000" w:sz="4" w:space="0"/>
              <w:right w:val="single" w:color="000000" w:sz="4" w:space="0"/>
            </w:tcBorders>
            <w:vAlign w:val="center"/>
          </w:tcPr>
          <w:p w14:paraId="69517ABD">
            <w:pPr>
              <w:jc w:val="center"/>
              <w:textAlignment w:val="center"/>
              <w:rPr>
                <w:sz w:val="22"/>
                <w:szCs w:val="22"/>
              </w:rPr>
            </w:pPr>
            <w:r>
              <w:rPr>
                <w:snapToGrid w:val="0"/>
                <w:kern w:val="0"/>
                <w:sz w:val="22"/>
                <w:szCs w:val="22"/>
                <w:lang w:bidi="ar"/>
              </w:rPr>
              <w:t>符合</w:t>
            </w:r>
          </w:p>
        </w:tc>
      </w:tr>
      <w:tr w14:paraId="0BEB5BC6">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4EC978E">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337F1D18">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2E8BFAF6">
            <w:pPr>
              <w:pStyle w:val="95"/>
              <w:keepNext w:val="0"/>
              <w:keepLines w:val="0"/>
              <w:pageBreakBefore w:val="0"/>
              <w:widowControl w:val="0"/>
              <w:kinsoku/>
              <w:wordWrap/>
              <w:overflowPunct/>
              <w:topLinePunct w:val="0"/>
              <w:autoSpaceDE/>
              <w:autoSpaceDN/>
              <w:bidi w:val="0"/>
              <w:spacing w:line="240" w:lineRule="auto"/>
              <w:ind w:firstLine="0" w:firstLineChars="0"/>
              <w:jc w:val="left"/>
              <w:textAlignment w:val="auto"/>
              <w:rPr>
                <w:sz w:val="22"/>
                <w:szCs w:val="22"/>
              </w:rPr>
            </w:pPr>
            <w:r>
              <w:rPr>
                <w:color w:val="auto"/>
                <w:sz w:val="22"/>
                <w:szCs w:val="22"/>
              </w:rP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3302" w:type="dxa"/>
            <w:tcBorders>
              <w:top w:val="single" w:color="000000" w:sz="4" w:space="0"/>
              <w:left w:val="single" w:color="000000" w:sz="4" w:space="0"/>
              <w:bottom w:val="single" w:color="000000" w:sz="4" w:space="0"/>
              <w:right w:val="single" w:color="000000" w:sz="4" w:space="0"/>
            </w:tcBorders>
            <w:vAlign w:val="center"/>
          </w:tcPr>
          <w:p w14:paraId="4B276FA8">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color w:val="auto"/>
                <w:sz w:val="22"/>
                <w:szCs w:val="22"/>
              </w:rPr>
              <w:t>项目</w:t>
            </w:r>
            <w:r>
              <w:rPr>
                <w:rFonts w:hint="eastAsia" w:eastAsia="宋体"/>
                <w:color w:val="auto"/>
                <w:sz w:val="22"/>
                <w:szCs w:val="22"/>
                <w:lang w:val="en-US" w:eastAsia="zh-CN"/>
              </w:rPr>
              <w:t>在现有加油站基础上进行改造</w:t>
            </w:r>
            <w:r>
              <w:rPr>
                <w:color w:val="auto"/>
                <w:sz w:val="22"/>
                <w:szCs w:val="22"/>
              </w:rPr>
              <w:t>，不涉及污染地块。</w:t>
            </w:r>
          </w:p>
        </w:tc>
        <w:tc>
          <w:tcPr>
            <w:tcW w:w="1146" w:type="dxa"/>
            <w:tcBorders>
              <w:top w:val="single" w:color="000000" w:sz="4" w:space="0"/>
              <w:left w:val="single" w:color="000000" w:sz="4" w:space="0"/>
              <w:bottom w:val="single" w:color="000000" w:sz="4" w:space="0"/>
              <w:right w:val="single" w:color="000000" w:sz="4" w:space="0"/>
            </w:tcBorders>
            <w:vAlign w:val="center"/>
          </w:tcPr>
          <w:p w14:paraId="42F35407">
            <w:pPr>
              <w:jc w:val="center"/>
              <w:textAlignment w:val="center"/>
              <w:rPr>
                <w:sz w:val="22"/>
                <w:szCs w:val="22"/>
              </w:rPr>
            </w:pPr>
            <w:r>
              <w:rPr>
                <w:snapToGrid w:val="0"/>
                <w:kern w:val="0"/>
                <w:sz w:val="22"/>
                <w:szCs w:val="22"/>
                <w:lang w:bidi="ar"/>
              </w:rPr>
              <w:t>符合</w:t>
            </w:r>
          </w:p>
        </w:tc>
      </w:tr>
      <w:tr w14:paraId="385BADB3">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5F2C7C7E">
            <w:pPr>
              <w:jc w:val="center"/>
              <w:rPr>
                <w:sz w:val="22"/>
                <w:szCs w:val="22"/>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48B0C524">
            <w:pPr>
              <w:jc w:val="center"/>
              <w:textAlignment w:val="center"/>
              <w:rPr>
                <w:sz w:val="22"/>
                <w:szCs w:val="22"/>
              </w:rPr>
            </w:pPr>
            <w:r>
              <w:rPr>
                <w:snapToGrid w:val="0"/>
                <w:kern w:val="0"/>
                <w:sz w:val="22"/>
                <w:szCs w:val="22"/>
                <w:lang w:bidi="ar"/>
              </w:rPr>
              <w:t>资源开发</w:t>
            </w:r>
            <w:r>
              <w:rPr>
                <w:rStyle w:val="91"/>
                <w:rFonts w:hint="default" w:ascii="Times New Roman" w:hAnsi="Times New Roman" w:cs="Times New Roman"/>
                <w:snapToGrid w:val="0"/>
                <w:color w:val="auto"/>
                <w:sz w:val="22"/>
                <w:szCs w:val="22"/>
                <w:lang w:bidi="ar"/>
              </w:rPr>
              <w:t>利用效率</w:t>
            </w:r>
          </w:p>
        </w:tc>
        <w:tc>
          <w:tcPr>
            <w:tcW w:w="6578" w:type="dxa"/>
            <w:tcBorders>
              <w:top w:val="single" w:color="000000" w:sz="4" w:space="0"/>
              <w:left w:val="single" w:color="000000" w:sz="4" w:space="0"/>
              <w:bottom w:val="single" w:color="000000" w:sz="4" w:space="0"/>
              <w:right w:val="single" w:color="000000" w:sz="4" w:space="0"/>
            </w:tcBorders>
            <w:vAlign w:val="center"/>
          </w:tcPr>
          <w:p w14:paraId="4087C7FA">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color w:val="auto"/>
                <w:sz w:val="22"/>
                <w:szCs w:val="22"/>
              </w:rPr>
              <w:t>第十二条  执行重点管控单元市级总体要求第十八条、第十九条、第二十条、第二十一条。</w:t>
            </w:r>
          </w:p>
        </w:tc>
        <w:tc>
          <w:tcPr>
            <w:tcW w:w="3302" w:type="dxa"/>
            <w:tcBorders>
              <w:top w:val="single" w:color="000000" w:sz="4" w:space="0"/>
              <w:left w:val="single" w:color="000000" w:sz="4" w:space="0"/>
              <w:bottom w:val="single" w:color="000000" w:sz="4" w:space="0"/>
              <w:right w:val="single" w:color="000000" w:sz="4" w:space="0"/>
            </w:tcBorders>
            <w:vAlign w:val="center"/>
          </w:tcPr>
          <w:p w14:paraId="340F89C1">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rFonts w:hint="eastAsia"/>
                <w:color w:val="auto"/>
                <w:sz w:val="22"/>
                <w:szCs w:val="22"/>
              </w:rPr>
              <w:t>根据前述分析，本项目符合市级总体要求</w:t>
            </w:r>
            <w:r>
              <w:rPr>
                <w:color w:val="auto"/>
                <w:sz w:val="22"/>
                <w:szCs w:val="22"/>
              </w:rPr>
              <w:t>第十八条、第十九条、第二十条、第二十一条</w:t>
            </w:r>
            <w:r>
              <w:rPr>
                <w:rFonts w:hint="eastAsia"/>
                <w:color w:val="auto"/>
                <w:sz w:val="22"/>
                <w:szCs w:val="22"/>
              </w:rPr>
              <w:t>相关内容</w:t>
            </w:r>
          </w:p>
        </w:tc>
        <w:tc>
          <w:tcPr>
            <w:tcW w:w="1146" w:type="dxa"/>
            <w:tcBorders>
              <w:top w:val="single" w:color="000000" w:sz="4" w:space="0"/>
              <w:left w:val="single" w:color="000000" w:sz="4" w:space="0"/>
              <w:bottom w:val="single" w:color="000000" w:sz="4" w:space="0"/>
              <w:right w:val="single" w:color="000000" w:sz="4" w:space="0"/>
            </w:tcBorders>
            <w:vAlign w:val="center"/>
          </w:tcPr>
          <w:p w14:paraId="532472F9">
            <w:pPr>
              <w:jc w:val="center"/>
              <w:textAlignment w:val="center"/>
              <w:rPr>
                <w:sz w:val="22"/>
                <w:szCs w:val="22"/>
              </w:rPr>
            </w:pPr>
            <w:r>
              <w:rPr>
                <w:snapToGrid w:val="0"/>
                <w:kern w:val="0"/>
                <w:sz w:val="22"/>
                <w:szCs w:val="22"/>
                <w:lang w:bidi="ar"/>
              </w:rPr>
              <w:t>符合</w:t>
            </w:r>
          </w:p>
        </w:tc>
      </w:tr>
      <w:tr w14:paraId="564BC0C3">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729A9C2">
            <w:pPr>
              <w:jc w:val="center"/>
              <w:rPr>
                <w:sz w:val="22"/>
                <w:szCs w:val="22"/>
              </w:rPr>
            </w:pPr>
          </w:p>
        </w:tc>
        <w:tc>
          <w:tcPr>
            <w:tcW w:w="1425" w:type="dxa"/>
            <w:vMerge w:val="continue"/>
            <w:tcBorders>
              <w:left w:val="single" w:color="000000" w:sz="4" w:space="0"/>
              <w:right w:val="single" w:color="000000" w:sz="4" w:space="0"/>
            </w:tcBorders>
            <w:vAlign w:val="center"/>
          </w:tcPr>
          <w:p w14:paraId="3D5F71CC">
            <w:pPr>
              <w:jc w:val="center"/>
              <w:textAlignment w:val="center"/>
              <w:rPr>
                <w:snapToGrid w:val="0"/>
                <w:kern w:val="0"/>
                <w:sz w:val="22"/>
                <w:szCs w:val="22"/>
                <w:lang w:bidi="ar"/>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732294B">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kern w:val="0"/>
                <w:sz w:val="22"/>
                <w:szCs w:val="22"/>
                <w:lang w:bidi="ar"/>
              </w:rPr>
            </w:pPr>
            <w:r>
              <w:rPr>
                <w:color w:val="auto"/>
                <w:sz w:val="22"/>
                <w:szCs w:val="22"/>
              </w:rPr>
              <w:t>第十三条  以促进产业绿色低碳循环发展为导向，推动减污降碳协同共治。结合九龙新城园区西部片区（原西彭工业园区）近零碳园区建设，深化</w:t>
            </w:r>
            <w:r>
              <w:rPr>
                <w:rFonts w:hint="eastAsia"/>
                <w:color w:val="auto"/>
                <w:sz w:val="22"/>
                <w:szCs w:val="22"/>
              </w:rPr>
              <w:t>通用零部件制造</w:t>
            </w:r>
            <w:r>
              <w:rPr>
                <w:color w:val="auto"/>
                <w:sz w:val="22"/>
                <w:szCs w:val="22"/>
              </w:rPr>
              <w:t>、化学原料及化学制品制造业和汽车制造业等行业减污降碳。</w:t>
            </w:r>
          </w:p>
        </w:tc>
        <w:tc>
          <w:tcPr>
            <w:tcW w:w="3302" w:type="dxa"/>
            <w:tcBorders>
              <w:top w:val="single" w:color="000000" w:sz="4" w:space="0"/>
              <w:left w:val="single" w:color="000000" w:sz="4" w:space="0"/>
              <w:bottom w:val="single" w:color="000000" w:sz="4" w:space="0"/>
              <w:right w:val="single" w:color="000000" w:sz="4" w:space="0"/>
            </w:tcBorders>
            <w:vAlign w:val="center"/>
          </w:tcPr>
          <w:p w14:paraId="0AD5E4A5">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kern w:val="0"/>
                <w:sz w:val="22"/>
                <w:szCs w:val="22"/>
                <w:lang w:bidi="ar"/>
              </w:rPr>
            </w:pPr>
            <w:r>
              <w:rPr>
                <w:color w:val="auto"/>
                <w:sz w:val="22"/>
                <w:szCs w:val="22"/>
              </w:rPr>
              <w:t>项目</w:t>
            </w:r>
            <w:r>
              <w:rPr>
                <w:rFonts w:hint="eastAsia" w:eastAsia="宋体"/>
                <w:color w:val="auto"/>
                <w:sz w:val="22"/>
                <w:szCs w:val="22"/>
                <w:lang w:val="en-US" w:eastAsia="zh-CN"/>
              </w:rPr>
              <w:t>不</w:t>
            </w:r>
            <w:r>
              <w:rPr>
                <w:color w:val="auto"/>
                <w:sz w:val="22"/>
                <w:szCs w:val="22"/>
              </w:rPr>
              <w:t>属于</w:t>
            </w:r>
            <w:r>
              <w:rPr>
                <w:rFonts w:hint="eastAsia" w:eastAsia="宋体"/>
                <w:color w:val="auto"/>
                <w:sz w:val="22"/>
                <w:szCs w:val="22"/>
                <w:lang w:val="en-US" w:eastAsia="zh-CN"/>
              </w:rPr>
              <w:t>前述行业</w:t>
            </w:r>
            <w:r>
              <w:rPr>
                <w:color w:val="auto"/>
                <w:sz w:val="22"/>
                <w:szCs w:val="22"/>
              </w:rPr>
              <w:t>。</w:t>
            </w:r>
          </w:p>
        </w:tc>
        <w:tc>
          <w:tcPr>
            <w:tcW w:w="1146" w:type="dxa"/>
            <w:tcBorders>
              <w:top w:val="single" w:color="000000" w:sz="4" w:space="0"/>
              <w:left w:val="single" w:color="000000" w:sz="4" w:space="0"/>
              <w:bottom w:val="single" w:color="000000" w:sz="4" w:space="0"/>
              <w:right w:val="single" w:color="000000" w:sz="4" w:space="0"/>
            </w:tcBorders>
            <w:vAlign w:val="center"/>
          </w:tcPr>
          <w:p w14:paraId="206FD56D">
            <w:pPr>
              <w:jc w:val="center"/>
              <w:textAlignment w:val="center"/>
              <w:rPr>
                <w:rFonts w:hint="eastAsia" w:eastAsia="宋体"/>
                <w:snapToGrid w:val="0"/>
                <w:kern w:val="0"/>
                <w:sz w:val="22"/>
                <w:szCs w:val="22"/>
                <w:lang w:val="en-US" w:eastAsia="zh-CN" w:bidi="ar"/>
              </w:rPr>
            </w:pPr>
            <w:r>
              <w:rPr>
                <w:rFonts w:hint="eastAsia"/>
                <w:snapToGrid w:val="0"/>
                <w:kern w:val="0"/>
                <w:sz w:val="22"/>
                <w:szCs w:val="22"/>
                <w:lang w:val="en-US" w:eastAsia="zh-CN" w:bidi="ar"/>
              </w:rPr>
              <w:t>符合</w:t>
            </w:r>
          </w:p>
        </w:tc>
      </w:tr>
      <w:tr w14:paraId="2D38B808">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2F9F7BB">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5A2A517B">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142040C7">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2"/>
                <w:szCs w:val="22"/>
              </w:rPr>
            </w:pPr>
            <w:r>
              <w:rPr>
                <w:color w:val="auto"/>
                <w:sz w:val="22"/>
                <w:szCs w:val="22"/>
              </w:rPr>
              <w:t>第十四条  提升工业、城镇生活、农业节水能力，推进再生水循环利用，提高水资源利用效率。</w:t>
            </w:r>
          </w:p>
          <w:p w14:paraId="59DB59FB">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color w:val="auto"/>
                <w:sz w:val="22"/>
                <w:szCs w:val="22"/>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3302" w:type="dxa"/>
            <w:tcBorders>
              <w:top w:val="single" w:color="000000" w:sz="4" w:space="0"/>
              <w:left w:val="single" w:color="000000" w:sz="4" w:space="0"/>
              <w:bottom w:val="single" w:color="000000" w:sz="4" w:space="0"/>
              <w:right w:val="single" w:color="000000" w:sz="4" w:space="0"/>
            </w:tcBorders>
            <w:vAlign w:val="center"/>
          </w:tcPr>
          <w:p w14:paraId="124026D6">
            <w:pPr>
              <w:pStyle w:val="95"/>
              <w:keepNext w:val="0"/>
              <w:keepLines w:val="0"/>
              <w:pageBreakBefore w:val="0"/>
              <w:widowControl w:val="0"/>
              <w:kinsoku/>
              <w:wordWrap/>
              <w:overflowPunct/>
              <w:topLinePunct w:val="0"/>
              <w:autoSpaceDE/>
              <w:autoSpaceDN/>
              <w:bidi w:val="0"/>
              <w:spacing w:line="240" w:lineRule="auto"/>
              <w:ind w:firstLine="0" w:firstLineChars="0"/>
              <w:textAlignment w:val="auto"/>
              <w:rPr>
                <w:sz w:val="22"/>
                <w:szCs w:val="22"/>
              </w:rPr>
            </w:pPr>
            <w:r>
              <w:rPr>
                <w:color w:val="auto"/>
                <w:sz w:val="22"/>
                <w:szCs w:val="22"/>
              </w:rPr>
              <w:t>项目不属于高耗水行业，且积极推进节约用水。</w:t>
            </w:r>
          </w:p>
        </w:tc>
        <w:tc>
          <w:tcPr>
            <w:tcW w:w="1146" w:type="dxa"/>
            <w:tcBorders>
              <w:top w:val="single" w:color="000000" w:sz="4" w:space="0"/>
              <w:left w:val="single" w:color="000000" w:sz="4" w:space="0"/>
              <w:bottom w:val="single" w:color="000000" w:sz="4" w:space="0"/>
              <w:right w:val="single" w:color="000000" w:sz="4" w:space="0"/>
            </w:tcBorders>
            <w:vAlign w:val="center"/>
          </w:tcPr>
          <w:p w14:paraId="421EA8A6">
            <w:pPr>
              <w:jc w:val="center"/>
              <w:textAlignment w:val="center"/>
              <w:rPr>
                <w:sz w:val="22"/>
                <w:szCs w:val="22"/>
              </w:rPr>
            </w:pPr>
            <w:r>
              <w:rPr>
                <w:snapToGrid w:val="0"/>
                <w:kern w:val="0"/>
                <w:sz w:val="22"/>
                <w:szCs w:val="22"/>
                <w:lang w:bidi="ar"/>
              </w:rPr>
              <w:t>符合</w:t>
            </w:r>
          </w:p>
        </w:tc>
      </w:tr>
      <w:tr w14:paraId="2BFC596A">
        <w:tblPrEx>
          <w:tblCellMar>
            <w:top w:w="0" w:type="dxa"/>
            <w:left w:w="108" w:type="dxa"/>
            <w:bottom w:w="0" w:type="dxa"/>
            <w:right w:w="108" w:type="dxa"/>
          </w:tblCellMar>
        </w:tblPrEx>
        <w:trPr>
          <w:trHeight w:val="23" w:hRule="atLeast"/>
          <w:jc w:val="center"/>
        </w:trPr>
        <w:tc>
          <w:tcPr>
            <w:tcW w:w="1201" w:type="dxa"/>
            <w:vMerge w:val="restart"/>
            <w:tcBorders>
              <w:top w:val="single" w:color="000000" w:sz="4" w:space="0"/>
              <w:left w:val="single" w:color="000000" w:sz="4" w:space="0"/>
              <w:bottom w:val="single" w:color="000000" w:sz="4" w:space="0"/>
              <w:right w:val="single" w:color="000000" w:sz="4" w:space="0"/>
            </w:tcBorders>
            <w:vAlign w:val="center"/>
          </w:tcPr>
          <w:p w14:paraId="73F8C892">
            <w:pPr>
              <w:jc w:val="center"/>
              <w:textAlignment w:val="center"/>
              <w:rPr>
                <w:sz w:val="22"/>
                <w:szCs w:val="22"/>
              </w:rPr>
            </w:pPr>
            <w:r>
              <w:rPr>
                <w:rFonts w:hint="eastAsia"/>
                <w:sz w:val="22"/>
                <w:szCs w:val="22"/>
              </w:rPr>
              <w:t>九龙坡区工业城镇重点管控单元-九龙东城片区</w:t>
            </w:r>
          </w:p>
        </w:tc>
        <w:tc>
          <w:tcPr>
            <w:tcW w:w="1425" w:type="dxa"/>
            <w:vMerge w:val="restart"/>
            <w:tcBorders>
              <w:top w:val="single" w:color="000000" w:sz="4" w:space="0"/>
              <w:left w:val="single" w:color="000000" w:sz="4" w:space="0"/>
              <w:right w:val="single" w:color="000000" w:sz="4" w:space="0"/>
            </w:tcBorders>
            <w:vAlign w:val="center"/>
          </w:tcPr>
          <w:p w14:paraId="2A3375B0">
            <w:pPr>
              <w:jc w:val="center"/>
              <w:textAlignment w:val="center"/>
              <w:rPr>
                <w:sz w:val="22"/>
                <w:szCs w:val="22"/>
              </w:rPr>
            </w:pPr>
            <w:r>
              <w:rPr>
                <w:snapToGrid w:val="0"/>
                <w:kern w:val="0"/>
                <w:sz w:val="22"/>
                <w:szCs w:val="22"/>
                <w:lang w:bidi="ar"/>
              </w:rPr>
              <w:t>空间布局</w:t>
            </w:r>
            <w:r>
              <w:rPr>
                <w:rStyle w:val="91"/>
                <w:rFonts w:hint="default" w:ascii="Times New Roman" w:hAnsi="Times New Roman" w:cs="Times New Roman"/>
                <w:snapToGrid w:val="0"/>
                <w:color w:val="auto"/>
                <w:sz w:val="22"/>
                <w:szCs w:val="22"/>
                <w:lang w:bidi="ar"/>
              </w:rPr>
              <w:t>约束</w:t>
            </w:r>
          </w:p>
        </w:tc>
        <w:tc>
          <w:tcPr>
            <w:tcW w:w="6578" w:type="dxa"/>
            <w:tcBorders>
              <w:top w:val="single" w:color="000000" w:sz="4" w:space="0"/>
              <w:left w:val="single" w:color="000000" w:sz="4" w:space="0"/>
              <w:bottom w:val="single" w:color="000000" w:sz="4" w:space="0"/>
              <w:right w:val="single" w:color="000000" w:sz="4" w:space="0"/>
            </w:tcBorders>
            <w:vAlign w:val="center"/>
          </w:tcPr>
          <w:p w14:paraId="1336A31A">
            <w:pPr>
              <w:jc w:val="center"/>
              <w:textAlignment w:val="center"/>
              <w:rPr>
                <w:sz w:val="22"/>
                <w:szCs w:val="22"/>
              </w:rPr>
            </w:pPr>
            <w:r>
              <w:rPr>
                <w:rFonts w:hint="eastAsia"/>
                <w:sz w:val="22"/>
                <w:szCs w:val="22"/>
              </w:rPr>
              <w:t xml:space="preserve">1.有序推动九龙工业园区“东三街”和九龙街道工业用地转型升级，重点发展制造服务业； </w:t>
            </w:r>
          </w:p>
        </w:tc>
        <w:tc>
          <w:tcPr>
            <w:tcW w:w="3302" w:type="dxa"/>
            <w:vMerge w:val="restart"/>
            <w:tcBorders>
              <w:top w:val="single" w:color="000000" w:sz="4" w:space="0"/>
              <w:left w:val="single" w:color="000000" w:sz="4" w:space="0"/>
              <w:right w:val="single" w:color="000000" w:sz="4" w:space="0"/>
            </w:tcBorders>
            <w:vAlign w:val="center"/>
          </w:tcPr>
          <w:p w14:paraId="321BDED5">
            <w:pPr>
              <w:jc w:val="center"/>
              <w:textAlignment w:val="center"/>
              <w:rPr>
                <w:rFonts w:hint="default" w:eastAsia="宋体"/>
                <w:sz w:val="22"/>
                <w:szCs w:val="22"/>
                <w:lang w:val="en-US" w:eastAsia="zh-CN"/>
              </w:rPr>
            </w:pPr>
            <w:r>
              <w:rPr>
                <w:rFonts w:hint="eastAsia"/>
                <w:sz w:val="22"/>
                <w:szCs w:val="22"/>
                <w:lang w:val="en-US" w:eastAsia="zh-CN"/>
              </w:rPr>
              <w:t>本项目在现有华福路加油站地块内改造，不位于九龙工业园区，不涉及前述约束要求</w:t>
            </w:r>
          </w:p>
        </w:tc>
        <w:tc>
          <w:tcPr>
            <w:tcW w:w="1146" w:type="dxa"/>
            <w:vMerge w:val="restart"/>
            <w:tcBorders>
              <w:top w:val="single" w:color="000000" w:sz="4" w:space="0"/>
              <w:left w:val="single" w:color="000000" w:sz="4" w:space="0"/>
              <w:right w:val="single" w:color="000000" w:sz="4" w:space="0"/>
            </w:tcBorders>
            <w:vAlign w:val="center"/>
          </w:tcPr>
          <w:p w14:paraId="724068AB">
            <w:pPr>
              <w:jc w:val="center"/>
              <w:textAlignment w:val="center"/>
              <w:rPr>
                <w:sz w:val="22"/>
                <w:szCs w:val="22"/>
              </w:rPr>
            </w:pPr>
            <w:r>
              <w:rPr>
                <w:snapToGrid w:val="0"/>
                <w:kern w:val="0"/>
                <w:sz w:val="22"/>
                <w:szCs w:val="22"/>
                <w:lang w:bidi="ar"/>
              </w:rPr>
              <w:t>符合</w:t>
            </w:r>
          </w:p>
        </w:tc>
      </w:tr>
      <w:tr w14:paraId="3FB2C473">
        <w:tblPrEx>
          <w:tblCellMar>
            <w:top w:w="0" w:type="dxa"/>
            <w:left w:w="108" w:type="dxa"/>
            <w:bottom w:w="0" w:type="dxa"/>
            <w:right w:w="108" w:type="dxa"/>
          </w:tblCellMar>
        </w:tblPrEx>
        <w:trPr>
          <w:trHeight w:val="90" w:hRule="atLeast"/>
          <w:jc w:val="center"/>
        </w:trPr>
        <w:tc>
          <w:tcPr>
            <w:tcW w:w="1201" w:type="dxa"/>
            <w:vMerge w:val="continue"/>
            <w:tcBorders>
              <w:left w:val="single" w:color="000000" w:sz="4" w:space="0"/>
              <w:right w:val="single" w:color="000000" w:sz="4" w:space="0"/>
            </w:tcBorders>
            <w:vAlign w:val="center"/>
          </w:tcPr>
          <w:p w14:paraId="4F3C267F">
            <w:pPr>
              <w:jc w:val="center"/>
              <w:textAlignment w:val="center"/>
              <w:rPr>
                <w:snapToGrid w:val="0"/>
                <w:kern w:val="0"/>
                <w:sz w:val="22"/>
                <w:szCs w:val="22"/>
                <w:lang w:bidi="ar"/>
              </w:rPr>
            </w:pPr>
          </w:p>
        </w:tc>
        <w:tc>
          <w:tcPr>
            <w:tcW w:w="1425" w:type="dxa"/>
            <w:vMerge w:val="continue"/>
            <w:tcBorders>
              <w:left w:val="single" w:color="000000" w:sz="4" w:space="0"/>
              <w:bottom w:val="single" w:color="000000" w:sz="4" w:space="0"/>
              <w:right w:val="single" w:color="000000" w:sz="4" w:space="0"/>
            </w:tcBorders>
            <w:vAlign w:val="center"/>
          </w:tcPr>
          <w:p w14:paraId="065BD3F0">
            <w:pPr>
              <w:jc w:val="center"/>
              <w:textAlignment w:val="center"/>
              <w:rPr>
                <w:snapToGrid w:val="0"/>
                <w:kern w:val="0"/>
                <w:sz w:val="22"/>
                <w:szCs w:val="22"/>
                <w:lang w:bidi="ar"/>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8549186">
            <w:pPr>
              <w:jc w:val="center"/>
              <w:textAlignment w:val="center"/>
              <w:rPr>
                <w:rFonts w:hint="eastAsia"/>
                <w:sz w:val="22"/>
                <w:szCs w:val="22"/>
              </w:rPr>
            </w:pPr>
            <w:r>
              <w:rPr>
                <w:rFonts w:hint="eastAsia"/>
                <w:sz w:val="22"/>
                <w:szCs w:val="22"/>
              </w:rPr>
              <w:t>2.九龙工业园区B区为智能制造工业区，未来周边规划布局为居住区，应优化工业区内部布局，将污染较大的企业远离居住区一侧布设。</w:t>
            </w:r>
          </w:p>
        </w:tc>
        <w:tc>
          <w:tcPr>
            <w:tcW w:w="3302" w:type="dxa"/>
            <w:vMerge w:val="continue"/>
            <w:tcBorders>
              <w:left w:val="single" w:color="000000" w:sz="4" w:space="0"/>
              <w:bottom w:val="single" w:color="000000" w:sz="4" w:space="0"/>
              <w:right w:val="single" w:color="000000" w:sz="4" w:space="0"/>
            </w:tcBorders>
            <w:vAlign w:val="center"/>
          </w:tcPr>
          <w:p w14:paraId="7B80F750">
            <w:pPr>
              <w:jc w:val="center"/>
              <w:textAlignment w:val="center"/>
              <w:rPr>
                <w:rFonts w:hint="eastAsia"/>
                <w:sz w:val="22"/>
                <w:szCs w:val="22"/>
                <w:lang w:val="en-US" w:eastAsia="zh-CN"/>
              </w:rPr>
            </w:pPr>
          </w:p>
        </w:tc>
        <w:tc>
          <w:tcPr>
            <w:tcW w:w="1146" w:type="dxa"/>
            <w:vMerge w:val="continue"/>
            <w:tcBorders>
              <w:left w:val="single" w:color="000000" w:sz="4" w:space="0"/>
              <w:bottom w:val="single" w:color="000000" w:sz="4" w:space="0"/>
              <w:right w:val="single" w:color="000000" w:sz="4" w:space="0"/>
            </w:tcBorders>
            <w:vAlign w:val="center"/>
          </w:tcPr>
          <w:p w14:paraId="61F51249">
            <w:pPr>
              <w:jc w:val="center"/>
              <w:textAlignment w:val="center"/>
              <w:rPr>
                <w:snapToGrid w:val="0"/>
                <w:kern w:val="0"/>
                <w:sz w:val="22"/>
                <w:szCs w:val="22"/>
                <w:lang w:bidi="ar"/>
              </w:rPr>
            </w:pPr>
          </w:p>
        </w:tc>
      </w:tr>
      <w:tr w14:paraId="2480B382">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2AD5194">
            <w:pPr>
              <w:jc w:val="center"/>
              <w:rPr>
                <w:sz w:val="22"/>
                <w:szCs w:val="22"/>
              </w:rPr>
            </w:pP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74386CCC">
            <w:pPr>
              <w:jc w:val="center"/>
              <w:textAlignment w:val="center"/>
              <w:rPr>
                <w:sz w:val="22"/>
                <w:szCs w:val="22"/>
              </w:rPr>
            </w:pPr>
            <w:r>
              <w:rPr>
                <w:snapToGrid w:val="0"/>
                <w:kern w:val="0"/>
                <w:sz w:val="22"/>
                <w:szCs w:val="22"/>
                <w:lang w:bidi="ar"/>
              </w:rPr>
              <w:t>污染物排放管控</w:t>
            </w:r>
          </w:p>
        </w:tc>
        <w:tc>
          <w:tcPr>
            <w:tcW w:w="6578" w:type="dxa"/>
            <w:tcBorders>
              <w:top w:val="single" w:color="000000" w:sz="4" w:space="0"/>
              <w:left w:val="single" w:color="000000" w:sz="4" w:space="0"/>
              <w:bottom w:val="single" w:color="000000" w:sz="4" w:space="0"/>
              <w:right w:val="single" w:color="000000" w:sz="4" w:space="0"/>
            </w:tcBorders>
            <w:vAlign w:val="center"/>
          </w:tcPr>
          <w:p w14:paraId="33B2C4DF">
            <w:pPr>
              <w:jc w:val="center"/>
              <w:textAlignment w:val="center"/>
              <w:rPr>
                <w:sz w:val="22"/>
                <w:szCs w:val="22"/>
              </w:rPr>
            </w:pPr>
            <w:r>
              <w:rPr>
                <w:rFonts w:hint="eastAsia"/>
                <w:sz w:val="22"/>
                <w:szCs w:val="22"/>
              </w:rPr>
              <w:t xml:space="preserve">1.九龙工业园区B区内新建、改建、扩建涉VOCs排放的项目，要加强源头控制，使用低（无）VOCs含量的原辅料，加强废气收集，安装高效治理设施； </w:t>
            </w:r>
          </w:p>
        </w:tc>
        <w:tc>
          <w:tcPr>
            <w:tcW w:w="3302" w:type="dxa"/>
            <w:tcBorders>
              <w:top w:val="single" w:color="000000" w:sz="4" w:space="0"/>
              <w:left w:val="single" w:color="000000" w:sz="4" w:space="0"/>
              <w:bottom w:val="single" w:color="000000" w:sz="4" w:space="0"/>
              <w:right w:val="single" w:color="000000" w:sz="4" w:space="0"/>
            </w:tcBorders>
            <w:vAlign w:val="center"/>
          </w:tcPr>
          <w:p w14:paraId="6C37751A">
            <w:pPr>
              <w:jc w:val="center"/>
              <w:textAlignment w:val="center"/>
              <w:rPr>
                <w:rFonts w:hint="default" w:eastAsia="宋体"/>
                <w:sz w:val="22"/>
                <w:szCs w:val="22"/>
                <w:lang w:val="en-US" w:eastAsia="zh-CN"/>
              </w:rPr>
            </w:pPr>
            <w:r>
              <w:rPr>
                <w:rFonts w:hint="eastAsia"/>
                <w:sz w:val="22"/>
                <w:szCs w:val="22"/>
                <w:lang w:val="en-US" w:eastAsia="zh-CN"/>
              </w:rPr>
              <w:t>本项目在现有华福路加油站地块内改造，不位于九龙工业园区，不涉及前述约束要求</w:t>
            </w:r>
          </w:p>
        </w:tc>
        <w:tc>
          <w:tcPr>
            <w:tcW w:w="1146" w:type="dxa"/>
            <w:tcBorders>
              <w:top w:val="single" w:color="000000" w:sz="4" w:space="0"/>
              <w:left w:val="single" w:color="000000" w:sz="4" w:space="0"/>
              <w:bottom w:val="single" w:color="000000" w:sz="4" w:space="0"/>
              <w:right w:val="single" w:color="000000" w:sz="4" w:space="0"/>
            </w:tcBorders>
            <w:vAlign w:val="center"/>
          </w:tcPr>
          <w:p w14:paraId="26945B56">
            <w:pPr>
              <w:jc w:val="center"/>
              <w:textAlignment w:val="center"/>
              <w:rPr>
                <w:sz w:val="22"/>
                <w:szCs w:val="22"/>
              </w:rPr>
            </w:pPr>
            <w:r>
              <w:rPr>
                <w:snapToGrid w:val="0"/>
                <w:kern w:val="0"/>
                <w:sz w:val="22"/>
                <w:szCs w:val="22"/>
                <w:lang w:bidi="ar"/>
              </w:rPr>
              <w:t>符合</w:t>
            </w:r>
          </w:p>
        </w:tc>
      </w:tr>
      <w:tr w14:paraId="641D8DBA">
        <w:tblPrEx>
          <w:tblCellMar>
            <w:top w:w="0" w:type="dxa"/>
            <w:left w:w="108" w:type="dxa"/>
            <w:bottom w:w="0" w:type="dxa"/>
            <w:right w:w="108" w:type="dxa"/>
          </w:tblCellMar>
        </w:tblPrEx>
        <w:trPr>
          <w:trHeight w:val="812"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78733DB7">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78139E39">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23A9DD94">
            <w:pPr>
              <w:jc w:val="center"/>
              <w:textAlignment w:val="center"/>
              <w:rPr>
                <w:sz w:val="22"/>
                <w:szCs w:val="22"/>
              </w:rPr>
            </w:pPr>
            <w:r>
              <w:rPr>
                <w:rFonts w:hint="eastAsia"/>
                <w:sz w:val="22"/>
                <w:szCs w:val="22"/>
              </w:rPr>
              <w:t xml:space="preserve">2.有序推动九龙工业园区“东三街”和九龙街道范围内现状工业制造类企业开展搬迁工作，搬迁前企业应深化污染治理，在减污、风险可控的前提下可进行改造升级。 </w:t>
            </w:r>
          </w:p>
        </w:tc>
        <w:tc>
          <w:tcPr>
            <w:tcW w:w="3302" w:type="dxa"/>
            <w:tcBorders>
              <w:top w:val="single" w:color="000000" w:sz="4" w:space="0"/>
              <w:left w:val="single" w:color="000000" w:sz="4" w:space="0"/>
              <w:bottom w:val="single" w:color="000000" w:sz="4" w:space="0"/>
              <w:right w:val="single" w:color="000000" w:sz="4" w:space="0"/>
            </w:tcBorders>
            <w:vAlign w:val="center"/>
          </w:tcPr>
          <w:p w14:paraId="46A64DC2">
            <w:pPr>
              <w:jc w:val="center"/>
              <w:textAlignment w:val="center"/>
              <w:rPr>
                <w:sz w:val="22"/>
                <w:szCs w:val="22"/>
              </w:rPr>
            </w:pPr>
            <w:r>
              <w:rPr>
                <w:rFonts w:hint="eastAsia"/>
                <w:sz w:val="22"/>
                <w:szCs w:val="22"/>
                <w:lang w:val="en-US" w:eastAsia="zh-CN"/>
              </w:rPr>
              <w:t>本项目在现有华福路加油站地块内改造，不位于九龙工业园区，不涉及前述约束要求</w:t>
            </w:r>
          </w:p>
        </w:tc>
        <w:tc>
          <w:tcPr>
            <w:tcW w:w="1146" w:type="dxa"/>
            <w:tcBorders>
              <w:top w:val="single" w:color="000000" w:sz="4" w:space="0"/>
              <w:left w:val="single" w:color="000000" w:sz="4" w:space="0"/>
              <w:bottom w:val="single" w:color="000000" w:sz="4" w:space="0"/>
              <w:right w:val="single" w:color="000000" w:sz="4" w:space="0"/>
            </w:tcBorders>
            <w:vAlign w:val="center"/>
          </w:tcPr>
          <w:p w14:paraId="7501E0E4">
            <w:pPr>
              <w:jc w:val="center"/>
              <w:textAlignment w:val="center"/>
              <w:rPr>
                <w:sz w:val="22"/>
                <w:szCs w:val="22"/>
              </w:rPr>
            </w:pPr>
            <w:r>
              <w:rPr>
                <w:snapToGrid w:val="0"/>
                <w:kern w:val="0"/>
                <w:sz w:val="22"/>
                <w:szCs w:val="22"/>
                <w:lang w:bidi="ar"/>
              </w:rPr>
              <w:t>符合</w:t>
            </w:r>
          </w:p>
        </w:tc>
      </w:tr>
      <w:tr w14:paraId="6732D2D3">
        <w:tblPrEx>
          <w:tblCellMar>
            <w:top w:w="0" w:type="dxa"/>
            <w:left w:w="108" w:type="dxa"/>
            <w:bottom w:w="0" w:type="dxa"/>
            <w:right w:w="108" w:type="dxa"/>
          </w:tblCellMar>
        </w:tblPrEx>
        <w:trPr>
          <w:trHeight w:val="812"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CBA7A7C">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7C6E83B5">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0290CC5E">
            <w:pPr>
              <w:jc w:val="center"/>
              <w:textAlignment w:val="center"/>
              <w:rPr>
                <w:sz w:val="22"/>
                <w:szCs w:val="22"/>
              </w:rPr>
            </w:pPr>
            <w:r>
              <w:rPr>
                <w:rFonts w:hint="eastAsia"/>
                <w:sz w:val="22"/>
                <w:szCs w:val="22"/>
              </w:rPr>
              <w:t>3.推进桃花溪流域、跳蹬河流域雨污分流整治；推进扬声桥污水处理厂提标改造，出水水质达到准Ⅳ类标准；</w:t>
            </w:r>
          </w:p>
        </w:tc>
        <w:tc>
          <w:tcPr>
            <w:tcW w:w="3302" w:type="dxa"/>
            <w:tcBorders>
              <w:top w:val="single" w:color="000000" w:sz="4" w:space="0"/>
              <w:left w:val="single" w:color="000000" w:sz="4" w:space="0"/>
              <w:bottom w:val="single" w:color="000000" w:sz="4" w:space="0"/>
              <w:right w:val="single" w:color="000000" w:sz="4" w:space="0"/>
            </w:tcBorders>
            <w:vAlign w:val="center"/>
          </w:tcPr>
          <w:p w14:paraId="30F73BF9">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本项目生活污水经化粪池达标处理、厂区生产废水经隔油沉淀池达标处理后汇入市政污水管网后排入大九污水处理厂进一步达标处理后排入跳蹬河</w:t>
            </w:r>
          </w:p>
        </w:tc>
        <w:tc>
          <w:tcPr>
            <w:tcW w:w="1146" w:type="dxa"/>
            <w:tcBorders>
              <w:top w:val="single" w:color="000000" w:sz="4" w:space="0"/>
              <w:left w:val="single" w:color="000000" w:sz="4" w:space="0"/>
              <w:bottom w:val="single" w:color="000000" w:sz="4" w:space="0"/>
              <w:right w:val="single" w:color="000000" w:sz="4" w:space="0"/>
            </w:tcBorders>
            <w:vAlign w:val="center"/>
          </w:tcPr>
          <w:p w14:paraId="195CBA50">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符合</w:t>
            </w:r>
          </w:p>
        </w:tc>
      </w:tr>
      <w:tr w14:paraId="43552819">
        <w:tblPrEx>
          <w:tblCellMar>
            <w:top w:w="0" w:type="dxa"/>
            <w:left w:w="108" w:type="dxa"/>
            <w:bottom w:w="0" w:type="dxa"/>
            <w:right w:w="108" w:type="dxa"/>
          </w:tblCellMar>
        </w:tblPrEx>
        <w:trPr>
          <w:trHeight w:val="812"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69458FB9">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5C0489B1">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7BAB0BF7">
            <w:pPr>
              <w:jc w:val="center"/>
              <w:textAlignment w:val="center"/>
              <w:rPr>
                <w:sz w:val="22"/>
                <w:szCs w:val="22"/>
              </w:rPr>
            </w:pPr>
            <w:r>
              <w:rPr>
                <w:rFonts w:hint="eastAsia"/>
                <w:sz w:val="22"/>
                <w:szCs w:val="22"/>
              </w:rPr>
              <w:t xml:space="preserve"> 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tc>
        <w:tc>
          <w:tcPr>
            <w:tcW w:w="3302" w:type="dxa"/>
            <w:tcBorders>
              <w:top w:val="single" w:color="000000" w:sz="4" w:space="0"/>
              <w:left w:val="single" w:color="000000" w:sz="4" w:space="0"/>
              <w:bottom w:val="single" w:color="000000" w:sz="4" w:space="0"/>
              <w:right w:val="single" w:color="000000" w:sz="4" w:space="0"/>
            </w:tcBorders>
            <w:vAlign w:val="center"/>
          </w:tcPr>
          <w:p w14:paraId="00036149">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11142618">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符合</w:t>
            </w:r>
          </w:p>
        </w:tc>
      </w:tr>
      <w:tr w14:paraId="2625647F">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54EC3B4A">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258D6217">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3BF8E3F2">
            <w:pPr>
              <w:jc w:val="center"/>
              <w:textAlignment w:val="center"/>
              <w:rPr>
                <w:sz w:val="22"/>
                <w:szCs w:val="22"/>
              </w:rPr>
            </w:pPr>
            <w:r>
              <w:rPr>
                <w:rFonts w:hint="eastAsia"/>
                <w:sz w:val="22"/>
                <w:szCs w:val="22"/>
              </w:rPr>
              <w:t xml:space="preserve"> 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tc>
        <w:tc>
          <w:tcPr>
            <w:tcW w:w="3302" w:type="dxa"/>
            <w:tcBorders>
              <w:top w:val="single" w:color="000000" w:sz="4" w:space="0"/>
              <w:left w:val="single" w:color="000000" w:sz="4" w:space="0"/>
              <w:bottom w:val="single" w:color="000000" w:sz="4" w:space="0"/>
              <w:right w:val="single" w:color="000000" w:sz="4" w:space="0"/>
            </w:tcBorders>
            <w:vAlign w:val="center"/>
          </w:tcPr>
          <w:p w14:paraId="564DA1B7">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7B41CB69">
            <w:pPr>
              <w:jc w:val="center"/>
              <w:textAlignment w:val="center"/>
              <w:rPr>
                <w:sz w:val="22"/>
                <w:szCs w:val="22"/>
              </w:rPr>
            </w:pPr>
            <w:r>
              <w:rPr>
                <w:snapToGrid w:val="0"/>
                <w:kern w:val="0"/>
                <w:sz w:val="22"/>
                <w:szCs w:val="22"/>
                <w:lang w:bidi="ar"/>
              </w:rPr>
              <w:t>符合</w:t>
            </w:r>
          </w:p>
        </w:tc>
      </w:tr>
      <w:tr w14:paraId="4804FAA4">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038D1E9A">
            <w:pPr>
              <w:jc w:val="center"/>
              <w:rPr>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57DBB1D7">
            <w:pPr>
              <w:jc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22427247">
            <w:pPr>
              <w:jc w:val="center"/>
              <w:textAlignment w:val="center"/>
              <w:rPr>
                <w:sz w:val="22"/>
                <w:szCs w:val="22"/>
              </w:rPr>
            </w:pPr>
            <w:r>
              <w:rPr>
                <w:rFonts w:hint="eastAsia"/>
                <w:sz w:val="22"/>
                <w:szCs w:val="22"/>
              </w:rPr>
              <w:t xml:space="preserve"> 6.以九龙半岛为重点，加强施工扬尘监管，逐步推进建筑面积2万平方米以上的工地安装在线监控系统。</w:t>
            </w:r>
          </w:p>
        </w:tc>
        <w:tc>
          <w:tcPr>
            <w:tcW w:w="3302" w:type="dxa"/>
            <w:tcBorders>
              <w:top w:val="single" w:color="000000" w:sz="4" w:space="0"/>
              <w:left w:val="single" w:color="000000" w:sz="4" w:space="0"/>
              <w:bottom w:val="single" w:color="000000" w:sz="4" w:space="0"/>
              <w:right w:val="single" w:color="000000" w:sz="4" w:space="0"/>
            </w:tcBorders>
            <w:vAlign w:val="center"/>
          </w:tcPr>
          <w:p w14:paraId="6A26DA38">
            <w:pPr>
              <w:jc w:val="center"/>
              <w:textAlignment w:val="center"/>
              <w:rPr>
                <w:sz w:val="22"/>
                <w:szCs w:val="22"/>
              </w:rPr>
            </w:pPr>
            <w:r>
              <w:rPr>
                <w:snapToGrid w:val="0"/>
                <w:kern w:val="0"/>
                <w:sz w:val="22"/>
                <w:szCs w:val="22"/>
                <w:lang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6F8E7AAC">
            <w:pPr>
              <w:jc w:val="center"/>
              <w:textAlignment w:val="center"/>
              <w:rPr>
                <w:sz w:val="22"/>
                <w:szCs w:val="22"/>
              </w:rPr>
            </w:pPr>
            <w:r>
              <w:rPr>
                <w:snapToGrid w:val="0"/>
                <w:kern w:val="0"/>
                <w:sz w:val="22"/>
                <w:szCs w:val="22"/>
                <w:lang w:bidi="ar"/>
              </w:rPr>
              <w:t>符合</w:t>
            </w:r>
          </w:p>
        </w:tc>
      </w:tr>
      <w:tr w14:paraId="6F8DF5BD">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02103D9F">
            <w:pPr>
              <w:jc w:val="center"/>
              <w:rPr>
                <w:sz w:val="22"/>
                <w:szCs w:val="22"/>
              </w:rPr>
            </w:pPr>
          </w:p>
        </w:tc>
        <w:tc>
          <w:tcPr>
            <w:tcW w:w="1425" w:type="dxa"/>
            <w:vMerge w:val="restart"/>
            <w:tcBorders>
              <w:top w:val="single" w:color="000000" w:sz="4" w:space="0"/>
              <w:left w:val="single" w:color="000000" w:sz="4" w:space="0"/>
              <w:right w:val="single" w:color="000000" w:sz="4" w:space="0"/>
            </w:tcBorders>
            <w:vAlign w:val="center"/>
          </w:tcPr>
          <w:p w14:paraId="4418C0A6">
            <w:pPr>
              <w:jc w:val="center"/>
              <w:textAlignment w:val="center"/>
              <w:rPr>
                <w:sz w:val="22"/>
                <w:szCs w:val="22"/>
              </w:rPr>
            </w:pPr>
            <w:r>
              <w:rPr>
                <w:snapToGrid w:val="0"/>
                <w:kern w:val="0"/>
                <w:sz w:val="22"/>
                <w:szCs w:val="22"/>
                <w:lang w:bidi="ar"/>
              </w:rPr>
              <w:t>环境风险</w:t>
            </w:r>
            <w:r>
              <w:rPr>
                <w:rStyle w:val="91"/>
                <w:rFonts w:hint="default" w:ascii="Times New Roman" w:hAnsi="Times New Roman" w:cs="Times New Roman"/>
                <w:snapToGrid w:val="0"/>
                <w:color w:val="auto"/>
                <w:sz w:val="22"/>
                <w:szCs w:val="22"/>
                <w:lang w:bidi="ar"/>
              </w:rPr>
              <w:t>防控</w:t>
            </w:r>
          </w:p>
        </w:tc>
        <w:tc>
          <w:tcPr>
            <w:tcW w:w="6578" w:type="dxa"/>
            <w:tcBorders>
              <w:top w:val="single" w:color="000000" w:sz="4" w:space="0"/>
              <w:left w:val="single" w:color="000000" w:sz="4" w:space="0"/>
              <w:bottom w:val="single" w:color="000000" w:sz="4" w:space="0"/>
              <w:right w:val="single" w:color="000000" w:sz="4" w:space="0"/>
            </w:tcBorders>
            <w:vAlign w:val="center"/>
          </w:tcPr>
          <w:p w14:paraId="04A36984">
            <w:pPr>
              <w:jc w:val="center"/>
              <w:textAlignment w:val="center"/>
              <w:rPr>
                <w:sz w:val="22"/>
                <w:szCs w:val="22"/>
              </w:rPr>
            </w:pPr>
            <w:r>
              <w:rPr>
                <w:rFonts w:hint="eastAsia"/>
                <w:sz w:val="22"/>
                <w:szCs w:val="22"/>
              </w:rPr>
              <w:t xml:space="preserve">1.九龙工业园区禁止新建、扩建排放重金属（铬、镉、汞、砷、铅等五类重金属）、剧毒物质和持久性有机污染物的工业项目； </w:t>
            </w:r>
          </w:p>
        </w:tc>
        <w:tc>
          <w:tcPr>
            <w:tcW w:w="3302" w:type="dxa"/>
            <w:tcBorders>
              <w:top w:val="single" w:color="000000" w:sz="4" w:space="0"/>
              <w:left w:val="single" w:color="000000" w:sz="4" w:space="0"/>
              <w:bottom w:val="single" w:color="000000" w:sz="4" w:space="0"/>
              <w:right w:val="single" w:color="000000" w:sz="4" w:space="0"/>
            </w:tcBorders>
            <w:vAlign w:val="center"/>
          </w:tcPr>
          <w:p w14:paraId="0C13A2D4">
            <w:pPr>
              <w:jc w:val="center"/>
              <w:textAlignment w:val="center"/>
              <w:rPr>
                <w:rFonts w:hint="default" w:eastAsia="宋体"/>
                <w:sz w:val="22"/>
                <w:szCs w:val="22"/>
                <w:lang w:val="en-US" w:eastAsia="zh-CN"/>
              </w:rPr>
            </w:pPr>
            <w:r>
              <w:rPr>
                <w:rFonts w:hint="eastAsia"/>
                <w:sz w:val="22"/>
                <w:szCs w:val="22"/>
                <w:lang w:val="en-US" w:eastAsia="zh-CN"/>
              </w:rPr>
              <w:t>项目不位于九龙工业园区，且不属于前述涉重金属、剧毒物质和持久性有机污染物的工业项目</w:t>
            </w:r>
          </w:p>
        </w:tc>
        <w:tc>
          <w:tcPr>
            <w:tcW w:w="1146" w:type="dxa"/>
            <w:tcBorders>
              <w:top w:val="single" w:color="000000" w:sz="4" w:space="0"/>
              <w:left w:val="single" w:color="000000" w:sz="4" w:space="0"/>
              <w:bottom w:val="single" w:color="000000" w:sz="4" w:space="0"/>
              <w:right w:val="single" w:color="000000" w:sz="4" w:space="0"/>
            </w:tcBorders>
            <w:vAlign w:val="center"/>
          </w:tcPr>
          <w:p w14:paraId="685A697E">
            <w:pPr>
              <w:jc w:val="center"/>
              <w:textAlignment w:val="center"/>
              <w:rPr>
                <w:rFonts w:hint="default" w:eastAsia="宋体"/>
                <w:sz w:val="22"/>
                <w:szCs w:val="22"/>
                <w:lang w:val="en-US" w:eastAsia="zh-CN"/>
              </w:rPr>
            </w:pPr>
            <w:r>
              <w:rPr>
                <w:rFonts w:hint="eastAsia"/>
                <w:sz w:val="22"/>
                <w:szCs w:val="22"/>
                <w:lang w:val="en-US" w:eastAsia="zh-CN"/>
              </w:rPr>
              <w:t>符合</w:t>
            </w:r>
          </w:p>
        </w:tc>
      </w:tr>
      <w:tr w14:paraId="75A88384">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3089065B">
            <w:pPr>
              <w:jc w:val="center"/>
              <w:rPr>
                <w:sz w:val="22"/>
                <w:szCs w:val="22"/>
              </w:rPr>
            </w:pPr>
          </w:p>
        </w:tc>
        <w:tc>
          <w:tcPr>
            <w:tcW w:w="1425" w:type="dxa"/>
            <w:vMerge w:val="continue"/>
            <w:tcBorders>
              <w:left w:val="single" w:color="000000" w:sz="4" w:space="0"/>
              <w:bottom w:val="single" w:color="000000" w:sz="4" w:space="0"/>
              <w:right w:val="single" w:color="000000" w:sz="4" w:space="0"/>
            </w:tcBorders>
            <w:vAlign w:val="center"/>
          </w:tcPr>
          <w:p w14:paraId="4AA30A5F">
            <w:pPr>
              <w:jc w:val="center"/>
              <w:textAlignment w:val="center"/>
              <w:rPr>
                <w:snapToGrid w:val="0"/>
                <w:kern w:val="0"/>
                <w:sz w:val="22"/>
                <w:szCs w:val="22"/>
                <w:lang w:bidi="ar"/>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0A02DCD5">
            <w:pPr>
              <w:jc w:val="center"/>
              <w:textAlignment w:val="center"/>
              <w:rPr>
                <w:rFonts w:hint="eastAsia"/>
                <w:sz w:val="22"/>
                <w:szCs w:val="22"/>
              </w:rPr>
            </w:pPr>
            <w:r>
              <w:rPr>
                <w:rFonts w:hint="eastAsia"/>
                <w:sz w:val="22"/>
                <w:szCs w:val="22"/>
              </w:rPr>
              <w:t>2.未达到土壤污染风险评估报告确定的风险管控、修复目标的地块，禁止开工建设任何与风险管控、修复无关的项目。</w:t>
            </w:r>
          </w:p>
        </w:tc>
        <w:tc>
          <w:tcPr>
            <w:tcW w:w="3302" w:type="dxa"/>
            <w:tcBorders>
              <w:top w:val="single" w:color="000000" w:sz="4" w:space="0"/>
              <w:left w:val="single" w:color="000000" w:sz="4" w:space="0"/>
              <w:bottom w:val="single" w:color="000000" w:sz="4" w:space="0"/>
              <w:right w:val="single" w:color="000000" w:sz="4" w:space="0"/>
            </w:tcBorders>
            <w:vAlign w:val="center"/>
          </w:tcPr>
          <w:p w14:paraId="27922B16">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项目在现有加油站地块上进行改造，不涉及土壤污染地块</w:t>
            </w:r>
          </w:p>
        </w:tc>
        <w:tc>
          <w:tcPr>
            <w:tcW w:w="1146" w:type="dxa"/>
            <w:tcBorders>
              <w:top w:val="single" w:color="000000" w:sz="4" w:space="0"/>
              <w:left w:val="single" w:color="000000" w:sz="4" w:space="0"/>
              <w:bottom w:val="single" w:color="000000" w:sz="4" w:space="0"/>
              <w:right w:val="single" w:color="000000" w:sz="4" w:space="0"/>
            </w:tcBorders>
            <w:vAlign w:val="center"/>
          </w:tcPr>
          <w:p w14:paraId="42B98EA4">
            <w:pPr>
              <w:jc w:val="center"/>
              <w:textAlignment w:val="center"/>
              <w:rPr>
                <w:rFonts w:hint="eastAsia" w:eastAsia="宋体"/>
                <w:snapToGrid w:val="0"/>
                <w:kern w:val="0"/>
                <w:sz w:val="22"/>
                <w:szCs w:val="22"/>
                <w:lang w:val="en-US" w:eastAsia="zh-CN" w:bidi="ar"/>
              </w:rPr>
            </w:pPr>
            <w:r>
              <w:rPr>
                <w:rFonts w:hint="eastAsia"/>
                <w:snapToGrid w:val="0"/>
                <w:kern w:val="0"/>
                <w:sz w:val="22"/>
                <w:szCs w:val="22"/>
                <w:lang w:val="en-US" w:eastAsia="zh-CN" w:bidi="ar"/>
              </w:rPr>
              <w:t>符合</w:t>
            </w:r>
          </w:p>
        </w:tc>
      </w:tr>
      <w:tr w14:paraId="0E96B91B">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36F50BF9">
            <w:pPr>
              <w:jc w:val="center"/>
              <w:rPr>
                <w:sz w:val="22"/>
                <w:szCs w:val="22"/>
              </w:rPr>
            </w:pPr>
          </w:p>
        </w:tc>
        <w:tc>
          <w:tcPr>
            <w:tcW w:w="1425" w:type="dxa"/>
            <w:vMerge w:val="restart"/>
            <w:tcBorders>
              <w:top w:val="single" w:color="000000" w:sz="4" w:space="0"/>
              <w:left w:val="single" w:color="000000" w:sz="4" w:space="0"/>
              <w:right w:val="single" w:color="000000" w:sz="4" w:space="0"/>
            </w:tcBorders>
            <w:vAlign w:val="center"/>
          </w:tcPr>
          <w:p w14:paraId="0F2C1200">
            <w:pPr>
              <w:jc w:val="center"/>
              <w:textAlignment w:val="center"/>
              <w:rPr>
                <w:sz w:val="22"/>
                <w:szCs w:val="22"/>
              </w:rPr>
            </w:pPr>
            <w:r>
              <w:rPr>
                <w:snapToGrid w:val="0"/>
                <w:kern w:val="0"/>
                <w:sz w:val="22"/>
                <w:szCs w:val="22"/>
                <w:lang w:bidi="ar"/>
              </w:rPr>
              <w:t>资源开发</w:t>
            </w:r>
            <w:r>
              <w:rPr>
                <w:rStyle w:val="91"/>
                <w:rFonts w:hint="default" w:ascii="Times New Roman" w:hAnsi="Times New Roman" w:cs="Times New Roman"/>
                <w:snapToGrid w:val="0"/>
                <w:color w:val="auto"/>
                <w:sz w:val="22"/>
                <w:szCs w:val="22"/>
                <w:lang w:bidi="ar"/>
              </w:rPr>
              <w:t>效率要求</w:t>
            </w:r>
          </w:p>
        </w:tc>
        <w:tc>
          <w:tcPr>
            <w:tcW w:w="6578" w:type="dxa"/>
            <w:tcBorders>
              <w:top w:val="single" w:color="000000" w:sz="4" w:space="0"/>
              <w:left w:val="single" w:color="000000" w:sz="4" w:space="0"/>
              <w:bottom w:val="single" w:color="000000" w:sz="4" w:space="0"/>
              <w:right w:val="single" w:color="000000" w:sz="4" w:space="0"/>
            </w:tcBorders>
            <w:vAlign w:val="center"/>
          </w:tcPr>
          <w:p w14:paraId="503801FB">
            <w:pPr>
              <w:jc w:val="center"/>
              <w:textAlignment w:val="center"/>
              <w:rPr>
                <w:rFonts w:hint="eastAsia"/>
                <w:sz w:val="22"/>
                <w:szCs w:val="22"/>
              </w:rPr>
            </w:pPr>
            <w:r>
              <w:rPr>
                <w:rFonts w:hint="eastAsia"/>
                <w:sz w:val="22"/>
                <w:szCs w:val="22"/>
              </w:rPr>
              <w:t>1.新建和改、扩建的工业项目清洁生产水平应达到国内先进水平；</w:t>
            </w:r>
          </w:p>
        </w:tc>
        <w:tc>
          <w:tcPr>
            <w:tcW w:w="3302" w:type="dxa"/>
            <w:tcBorders>
              <w:top w:val="single" w:color="000000" w:sz="4" w:space="0"/>
              <w:left w:val="single" w:color="000000" w:sz="4" w:space="0"/>
              <w:bottom w:val="single" w:color="000000" w:sz="4" w:space="0"/>
              <w:right w:val="single" w:color="000000" w:sz="4" w:space="0"/>
            </w:tcBorders>
            <w:vAlign w:val="center"/>
          </w:tcPr>
          <w:p w14:paraId="38F044C1">
            <w:pPr>
              <w:jc w:val="center"/>
              <w:textAlignment w:val="center"/>
              <w:rPr>
                <w:rFonts w:hint="default" w:eastAsia="宋体"/>
                <w:snapToGrid w:val="0"/>
                <w:kern w:val="0"/>
                <w:sz w:val="22"/>
                <w:szCs w:val="22"/>
                <w:lang w:val="en-US" w:eastAsia="zh-CN" w:bidi="ar"/>
              </w:rPr>
            </w:pPr>
            <w:r>
              <w:rPr>
                <w:rFonts w:hint="default" w:eastAsia="宋体"/>
                <w:snapToGrid w:val="0"/>
                <w:kern w:val="0"/>
                <w:sz w:val="22"/>
                <w:szCs w:val="22"/>
                <w:lang w:val="en-US" w:eastAsia="zh-CN" w:bidi="ar"/>
              </w:rPr>
              <w:t>本项目将严格执行节水、节能、资源化利用要求。</w:t>
            </w:r>
          </w:p>
        </w:tc>
        <w:tc>
          <w:tcPr>
            <w:tcW w:w="1146" w:type="dxa"/>
            <w:tcBorders>
              <w:top w:val="single" w:color="000000" w:sz="4" w:space="0"/>
              <w:left w:val="single" w:color="000000" w:sz="4" w:space="0"/>
              <w:bottom w:val="single" w:color="000000" w:sz="4" w:space="0"/>
              <w:right w:val="single" w:color="000000" w:sz="4" w:space="0"/>
            </w:tcBorders>
            <w:vAlign w:val="center"/>
          </w:tcPr>
          <w:p w14:paraId="0CB6681B">
            <w:pPr>
              <w:jc w:val="center"/>
              <w:textAlignment w:val="center"/>
              <w:rPr>
                <w:rFonts w:hint="eastAsia" w:eastAsia="宋体"/>
                <w:snapToGrid w:val="0"/>
                <w:kern w:val="0"/>
                <w:sz w:val="22"/>
                <w:szCs w:val="22"/>
                <w:lang w:val="en-US" w:eastAsia="zh-CN" w:bidi="ar"/>
              </w:rPr>
            </w:pPr>
            <w:r>
              <w:rPr>
                <w:rFonts w:hint="eastAsia"/>
                <w:snapToGrid w:val="0"/>
                <w:kern w:val="0"/>
                <w:sz w:val="22"/>
                <w:szCs w:val="22"/>
                <w:lang w:val="en-US" w:eastAsia="zh-CN" w:bidi="ar"/>
              </w:rPr>
              <w:t>符合</w:t>
            </w:r>
          </w:p>
        </w:tc>
      </w:tr>
      <w:tr w14:paraId="6AFB4B88">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4AC22F8A">
            <w:pPr>
              <w:jc w:val="center"/>
              <w:rPr>
                <w:sz w:val="22"/>
                <w:szCs w:val="22"/>
              </w:rPr>
            </w:pPr>
          </w:p>
        </w:tc>
        <w:tc>
          <w:tcPr>
            <w:tcW w:w="1425" w:type="dxa"/>
            <w:vMerge w:val="continue"/>
            <w:tcBorders>
              <w:left w:val="single" w:color="000000" w:sz="4" w:space="0"/>
              <w:right w:val="single" w:color="000000" w:sz="4" w:space="0"/>
            </w:tcBorders>
            <w:vAlign w:val="center"/>
          </w:tcPr>
          <w:p w14:paraId="7FBEEB25">
            <w:pPr>
              <w:jc w:val="center"/>
              <w:textAlignment w:val="center"/>
              <w:rPr>
                <w:snapToGrid w:val="0"/>
                <w:kern w:val="0"/>
                <w:sz w:val="22"/>
                <w:szCs w:val="22"/>
                <w:lang w:bidi="ar"/>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55FC679D">
            <w:pPr>
              <w:jc w:val="center"/>
              <w:textAlignment w:val="center"/>
              <w:rPr>
                <w:rFonts w:hint="eastAsia"/>
                <w:sz w:val="22"/>
                <w:szCs w:val="22"/>
              </w:rPr>
            </w:pPr>
            <w:r>
              <w:rPr>
                <w:rFonts w:hint="eastAsia"/>
                <w:sz w:val="22"/>
                <w:szCs w:val="22"/>
              </w:rPr>
              <w:t>2.加强工业节水改造，限制高耗水行业发展，加强重点监控用水单位监管。</w:t>
            </w:r>
          </w:p>
        </w:tc>
        <w:tc>
          <w:tcPr>
            <w:tcW w:w="3302" w:type="dxa"/>
            <w:tcBorders>
              <w:top w:val="single" w:color="000000" w:sz="4" w:space="0"/>
              <w:left w:val="single" w:color="000000" w:sz="4" w:space="0"/>
              <w:bottom w:val="single" w:color="000000" w:sz="4" w:space="0"/>
              <w:right w:val="single" w:color="000000" w:sz="4" w:space="0"/>
            </w:tcBorders>
            <w:vAlign w:val="center"/>
          </w:tcPr>
          <w:p w14:paraId="6C0E6CF0">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项目涉水环节主要为生活用水，生产过程几乎不涉水，不属于</w:t>
            </w:r>
            <w:r>
              <w:rPr>
                <w:rFonts w:hint="eastAsia"/>
                <w:sz w:val="22"/>
                <w:szCs w:val="22"/>
              </w:rPr>
              <w:t>重点监控用水单位</w:t>
            </w:r>
          </w:p>
        </w:tc>
        <w:tc>
          <w:tcPr>
            <w:tcW w:w="1146" w:type="dxa"/>
            <w:tcBorders>
              <w:top w:val="single" w:color="000000" w:sz="4" w:space="0"/>
              <w:left w:val="single" w:color="000000" w:sz="4" w:space="0"/>
              <w:bottom w:val="single" w:color="000000" w:sz="4" w:space="0"/>
              <w:right w:val="single" w:color="000000" w:sz="4" w:space="0"/>
            </w:tcBorders>
            <w:vAlign w:val="center"/>
          </w:tcPr>
          <w:p w14:paraId="1F44BCF6">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符合</w:t>
            </w:r>
          </w:p>
        </w:tc>
      </w:tr>
      <w:tr w14:paraId="2B5918F4">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38BDCEE5">
            <w:pPr>
              <w:jc w:val="center"/>
              <w:rPr>
                <w:sz w:val="22"/>
                <w:szCs w:val="22"/>
              </w:rPr>
            </w:pPr>
          </w:p>
        </w:tc>
        <w:tc>
          <w:tcPr>
            <w:tcW w:w="1425" w:type="dxa"/>
            <w:vMerge w:val="continue"/>
            <w:tcBorders>
              <w:left w:val="single" w:color="000000" w:sz="4" w:space="0"/>
              <w:right w:val="single" w:color="000000" w:sz="4" w:space="0"/>
            </w:tcBorders>
            <w:vAlign w:val="center"/>
          </w:tcPr>
          <w:p w14:paraId="32BD7A56">
            <w:pPr>
              <w:jc w:val="center"/>
              <w:textAlignment w:val="center"/>
              <w:rPr>
                <w:snapToGrid w:val="0"/>
                <w:kern w:val="0"/>
                <w:sz w:val="22"/>
                <w:szCs w:val="22"/>
                <w:lang w:bidi="ar"/>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644A9389">
            <w:pPr>
              <w:jc w:val="center"/>
              <w:textAlignment w:val="center"/>
              <w:rPr>
                <w:rFonts w:hint="eastAsia"/>
                <w:sz w:val="22"/>
                <w:szCs w:val="22"/>
              </w:rPr>
            </w:pPr>
            <w:r>
              <w:rPr>
                <w:rFonts w:hint="eastAsia"/>
                <w:sz w:val="22"/>
                <w:szCs w:val="22"/>
              </w:rPr>
              <w:t xml:space="preserve"> 3.推进桃花溪流域中水回用工程建设，加快扬声桥污水处理厂尾水再生利用设施和管网建设。 </w:t>
            </w:r>
          </w:p>
        </w:tc>
        <w:tc>
          <w:tcPr>
            <w:tcW w:w="3302" w:type="dxa"/>
            <w:tcBorders>
              <w:top w:val="single" w:color="000000" w:sz="4" w:space="0"/>
              <w:left w:val="single" w:color="000000" w:sz="4" w:space="0"/>
              <w:bottom w:val="single" w:color="000000" w:sz="4" w:space="0"/>
              <w:right w:val="single" w:color="000000" w:sz="4" w:space="0"/>
            </w:tcBorders>
            <w:vAlign w:val="center"/>
          </w:tcPr>
          <w:p w14:paraId="17E3161A">
            <w:pPr>
              <w:jc w:val="center"/>
              <w:textAlignment w:val="center"/>
              <w:rPr>
                <w:rFonts w:hint="default" w:eastAsia="宋体"/>
                <w:snapToGrid w:val="0"/>
                <w:kern w:val="0"/>
                <w:sz w:val="22"/>
                <w:szCs w:val="22"/>
                <w:lang w:val="en-US" w:eastAsia="zh-CN" w:bidi="ar"/>
              </w:rPr>
            </w:pPr>
            <w:r>
              <w:rPr>
                <w:rFonts w:hint="eastAsia"/>
                <w:snapToGrid w:val="0"/>
                <w:kern w:val="0"/>
                <w:sz w:val="22"/>
                <w:szCs w:val="22"/>
                <w:lang w:val="en-US" w:eastAsia="zh-CN" w:bidi="ar"/>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73251771">
            <w:pPr>
              <w:jc w:val="center"/>
              <w:textAlignment w:val="center"/>
              <w:rPr>
                <w:rFonts w:hint="eastAsia" w:eastAsia="宋体"/>
                <w:snapToGrid w:val="0"/>
                <w:kern w:val="0"/>
                <w:sz w:val="22"/>
                <w:szCs w:val="22"/>
                <w:lang w:val="en-US" w:eastAsia="zh-CN" w:bidi="ar"/>
              </w:rPr>
            </w:pPr>
            <w:r>
              <w:rPr>
                <w:rFonts w:hint="eastAsia"/>
                <w:snapToGrid w:val="0"/>
                <w:kern w:val="0"/>
                <w:sz w:val="22"/>
                <w:szCs w:val="22"/>
                <w:lang w:val="en-US" w:eastAsia="zh-CN" w:bidi="ar"/>
              </w:rPr>
              <w:t>符合</w:t>
            </w:r>
          </w:p>
        </w:tc>
      </w:tr>
      <w:tr w14:paraId="399D1302">
        <w:tblPrEx>
          <w:tblCellMar>
            <w:top w:w="0" w:type="dxa"/>
            <w:left w:w="108" w:type="dxa"/>
            <w:bottom w:w="0" w:type="dxa"/>
            <w:right w:w="108" w:type="dxa"/>
          </w:tblCellMar>
        </w:tblPrEx>
        <w:trPr>
          <w:trHeight w:val="23" w:hRule="atLeast"/>
          <w:jc w:val="center"/>
        </w:trPr>
        <w:tc>
          <w:tcPr>
            <w:tcW w:w="1201" w:type="dxa"/>
            <w:vMerge w:val="continue"/>
            <w:tcBorders>
              <w:top w:val="single" w:color="000000" w:sz="4" w:space="0"/>
              <w:left w:val="single" w:color="000000" w:sz="4" w:space="0"/>
              <w:bottom w:val="single" w:color="000000" w:sz="4" w:space="0"/>
              <w:right w:val="single" w:color="000000" w:sz="4" w:space="0"/>
            </w:tcBorders>
            <w:vAlign w:val="center"/>
          </w:tcPr>
          <w:p w14:paraId="093711BD">
            <w:pPr>
              <w:jc w:val="center"/>
              <w:rPr>
                <w:sz w:val="22"/>
                <w:szCs w:val="22"/>
              </w:rPr>
            </w:pPr>
          </w:p>
        </w:tc>
        <w:tc>
          <w:tcPr>
            <w:tcW w:w="1425" w:type="dxa"/>
            <w:vMerge w:val="continue"/>
            <w:tcBorders>
              <w:left w:val="single" w:color="000000" w:sz="4" w:space="0"/>
              <w:bottom w:val="single" w:color="000000" w:sz="4" w:space="0"/>
              <w:right w:val="single" w:color="000000" w:sz="4" w:space="0"/>
            </w:tcBorders>
            <w:vAlign w:val="center"/>
          </w:tcPr>
          <w:p w14:paraId="4AC1764F">
            <w:pPr>
              <w:jc w:val="center"/>
              <w:textAlignment w:val="center"/>
              <w:rPr>
                <w:sz w:val="22"/>
                <w:szCs w:val="22"/>
              </w:rPr>
            </w:pPr>
          </w:p>
        </w:tc>
        <w:tc>
          <w:tcPr>
            <w:tcW w:w="6578" w:type="dxa"/>
            <w:tcBorders>
              <w:top w:val="single" w:color="000000" w:sz="4" w:space="0"/>
              <w:left w:val="single" w:color="000000" w:sz="4" w:space="0"/>
              <w:bottom w:val="single" w:color="000000" w:sz="4" w:space="0"/>
              <w:right w:val="single" w:color="000000" w:sz="4" w:space="0"/>
            </w:tcBorders>
            <w:vAlign w:val="center"/>
          </w:tcPr>
          <w:p w14:paraId="7AE49FD8">
            <w:pPr>
              <w:jc w:val="center"/>
              <w:textAlignment w:val="center"/>
              <w:rPr>
                <w:sz w:val="22"/>
                <w:szCs w:val="22"/>
              </w:rPr>
            </w:pPr>
            <w:r>
              <w:rPr>
                <w:rFonts w:hint="eastAsia"/>
                <w:sz w:val="22"/>
                <w:szCs w:val="22"/>
              </w:rPr>
              <w:t xml:space="preserve"> 4.加强城镇节水，开展公共建筑节水改造、城镇供水管网漏损治理工程。</w:t>
            </w:r>
          </w:p>
        </w:tc>
        <w:tc>
          <w:tcPr>
            <w:tcW w:w="3302" w:type="dxa"/>
            <w:tcBorders>
              <w:top w:val="single" w:color="000000" w:sz="4" w:space="0"/>
              <w:left w:val="single" w:color="000000" w:sz="4" w:space="0"/>
              <w:bottom w:val="single" w:color="000000" w:sz="4" w:space="0"/>
              <w:right w:val="single" w:color="000000" w:sz="4" w:space="0"/>
            </w:tcBorders>
            <w:vAlign w:val="center"/>
          </w:tcPr>
          <w:p w14:paraId="2FD517EF">
            <w:pPr>
              <w:jc w:val="center"/>
              <w:textAlignment w:val="center"/>
              <w:rPr>
                <w:rFonts w:hint="default" w:eastAsia="宋体"/>
                <w:sz w:val="22"/>
                <w:szCs w:val="22"/>
                <w:lang w:val="en-US" w:eastAsia="zh-CN"/>
              </w:rPr>
            </w:pPr>
            <w:r>
              <w:rPr>
                <w:rFonts w:hint="eastAsia"/>
                <w:sz w:val="22"/>
                <w:szCs w:val="22"/>
                <w:lang w:val="en-US" w:eastAsia="zh-CN"/>
              </w:rPr>
              <w:t>项目不涉及</w:t>
            </w:r>
          </w:p>
        </w:tc>
        <w:tc>
          <w:tcPr>
            <w:tcW w:w="1146" w:type="dxa"/>
            <w:tcBorders>
              <w:top w:val="single" w:color="000000" w:sz="4" w:space="0"/>
              <w:left w:val="single" w:color="000000" w:sz="4" w:space="0"/>
              <w:bottom w:val="single" w:color="000000" w:sz="4" w:space="0"/>
              <w:right w:val="single" w:color="000000" w:sz="4" w:space="0"/>
            </w:tcBorders>
            <w:vAlign w:val="center"/>
          </w:tcPr>
          <w:p w14:paraId="1D03E60C">
            <w:pPr>
              <w:jc w:val="center"/>
              <w:textAlignment w:val="center"/>
              <w:rPr>
                <w:sz w:val="22"/>
                <w:szCs w:val="22"/>
              </w:rPr>
            </w:pPr>
            <w:r>
              <w:rPr>
                <w:snapToGrid w:val="0"/>
                <w:kern w:val="0"/>
                <w:sz w:val="22"/>
                <w:szCs w:val="22"/>
                <w:lang w:bidi="ar"/>
              </w:rPr>
              <w:t>符合</w:t>
            </w:r>
          </w:p>
        </w:tc>
      </w:tr>
    </w:tbl>
    <w:p w14:paraId="58152B39">
      <w:pPr>
        <w:jc w:val="center"/>
        <w:outlineLvl w:val="0"/>
        <w:rPr>
          <w:sz w:val="26"/>
          <w:szCs w:val="26"/>
        </w:rPr>
      </w:pPr>
    </w:p>
    <w:p w14:paraId="659E7D24">
      <w:pPr>
        <w:jc w:val="center"/>
        <w:outlineLvl w:val="0"/>
        <w:rPr>
          <w:sz w:val="26"/>
          <w:szCs w:val="26"/>
        </w:rPr>
        <w:sectPr>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8"/>
        <w:gridCol w:w="8102"/>
      </w:tblGrid>
      <w:tr w14:paraId="76240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6" w:hRule="atLeast"/>
          <w:jc w:val="center"/>
        </w:trPr>
        <w:tc>
          <w:tcPr>
            <w:tcW w:w="768" w:type="dxa"/>
            <w:vAlign w:val="center"/>
          </w:tcPr>
          <w:p w14:paraId="0C33C0DF">
            <w:pPr>
              <w:autoSpaceDE w:val="0"/>
              <w:autoSpaceDN w:val="0"/>
              <w:adjustRightInd w:val="0"/>
              <w:snapToGrid w:val="0"/>
              <w:jc w:val="center"/>
              <w:rPr>
                <w:kern w:val="0"/>
                <w:sz w:val="26"/>
                <w:szCs w:val="26"/>
              </w:rPr>
            </w:pPr>
            <w:r>
              <w:rPr>
                <w:kern w:val="0"/>
                <w:sz w:val="26"/>
                <w:szCs w:val="26"/>
              </w:rPr>
              <w:t>其他符合性分析</w:t>
            </w:r>
          </w:p>
        </w:tc>
        <w:tc>
          <w:tcPr>
            <w:tcW w:w="8102" w:type="dxa"/>
            <w:vAlign w:val="center"/>
          </w:tcPr>
          <w:p w14:paraId="387AE8FA">
            <w:pPr>
              <w:autoSpaceDE w:val="0"/>
              <w:autoSpaceDN w:val="0"/>
              <w:adjustRightInd w:val="0"/>
              <w:snapToGrid w:val="0"/>
              <w:spacing w:line="460" w:lineRule="exact"/>
              <w:rPr>
                <w:b/>
                <w:bCs/>
                <w:kern w:val="0"/>
                <w:sz w:val="26"/>
                <w:szCs w:val="26"/>
              </w:rPr>
            </w:pPr>
            <w:r>
              <w:rPr>
                <w:rFonts w:hint="eastAsia"/>
                <w:b/>
                <w:bCs/>
                <w:kern w:val="0"/>
                <w:sz w:val="26"/>
                <w:szCs w:val="26"/>
              </w:rPr>
              <w:t>1.</w:t>
            </w:r>
            <w:r>
              <w:rPr>
                <w:rFonts w:hint="eastAsia"/>
                <w:b/>
                <w:bCs/>
                <w:kern w:val="0"/>
                <w:sz w:val="26"/>
                <w:szCs w:val="26"/>
                <w:lang w:val="en-US" w:eastAsia="zh-CN"/>
              </w:rPr>
              <w:t>11</w:t>
            </w:r>
            <w:r>
              <w:rPr>
                <w:rFonts w:hint="eastAsia"/>
                <w:b/>
                <w:bCs/>
                <w:kern w:val="0"/>
                <w:sz w:val="26"/>
                <w:szCs w:val="26"/>
              </w:rPr>
              <w:t>选址及平面布置合理性分析</w:t>
            </w:r>
          </w:p>
          <w:p w14:paraId="562B8176">
            <w:pPr>
              <w:autoSpaceDE w:val="0"/>
              <w:autoSpaceDN w:val="0"/>
              <w:adjustRightInd w:val="0"/>
              <w:snapToGrid w:val="0"/>
              <w:spacing w:line="460" w:lineRule="exact"/>
              <w:ind w:firstLine="520" w:firstLineChars="200"/>
              <w:rPr>
                <w:kern w:val="0"/>
                <w:sz w:val="26"/>
                <w:szCs w:val="26"/>
              </w:rPr>
            </w:pPr>
            <w:r>
              <w:rPr>
                <w:rFonts w:hint="eastAsia"/>
                <w:kern w:val="0"/>
                <w:sz w:val="26"/>
                <w:szCs w:val="26"/>
              </w:rPr>
              <w:t>（1）行业主管批复</w:t>
            </w:r>
          </w:p>
          <w:p w14:paraId="0C0D3140">
            <w:pPr>
              <w:autoSpaceDE w:val="0"/>
              <w:autoSpaceDN w:val="0"/>
              <w:adjustRightInd w:val="0"/>
              <w:snapToGrid w:val="0"/>
              <w:spacing w:line="460" w:lineRule="exact"/>
              <w:ind w:firstLine="520" w:firstLineChars="200"/>
              <w:rPr>
                <w:kern w:val="0"/>
                <w:sz w:val="26"/>
                <w:szCs w:val="26"/>
              </w:rPr>
            </w:pPr>
            <w:r>
              <w:rPr>
                <w:rFonts w:hint="eastAsia"/>
                <w:kern w:val="0"/>
                <w:sz w:val="26"/>
                <w:szCs w:val="26"/>
              </w:rPr>
              <w:t>本项目为加油站原址改扩建项目，不新增占地，在原有地块将单层油品储罐淘汰，</w:t>
            </w:r>
            <w:r>
              <w:rPr>
                <w:rFonts w:hint="eastAsia"/>
                <w:kern w:val="0"/>
                <w:sz w:val="26"/>
                <w:szCs w:val="26"/>
                <w:lang w:val="en-US" w:eastAsia="zh-CN"/>
              </w:rPr>
              <w:t>改造</w:t>
            </w:r>
            <w:r>
              <w:rPr>
                <w:rFonts w:hint="eastAsia"/>
                <w:kern w:val="0"/>
                <w:sz w:val="26"/>
                <w:szCs w:val="26"/>
              </w:rPr>
              <w:t>为双层防渗储罐，现有工程环保手续已履行，近三年无环保投诉。</w:t>
            </w:r>
          </w:p>
          <w:p w14:paraId="5354C5C4">
            <w:pPr>
              <w:autoSpaceDE w:val="0"/>
              <w:autoSpaceDN w:val="0"/>
              <w:adjustRightInd w:val="0"/>
              <w:snapToGrid w:val="0"/>
              <w:spacing w:line="460" w:lineRule="exact"/>
              <w:ind w:firstLine="520" w:firstLineChars="200"/>
              <w:rPr>
                <w:kern w:val="0"/>
                <w:sz w:val="26"/>
                <w:szCs w:val="26"/>
              </w:rPr>
            </w:pPr>
            <w:r>
              <w:rPr>
                <w:color w:val="auto"/>
                <w:kern w:val="0"/>
                <w:sz w:val="26"/>
                <w:szCs w:val="26"/>
              </w:rPr>
              <w:t>重庆市</w:t>
            </w:r>
            <w:r>
              <w:rPr>
                <w:rFonts w:hint="eastAsia"/>
                <w:color w:val="auto"/>
                <w:kern w:val="0"/>
                <w:sz w:val="26"/>
                <w:szCs w:val="26"/>
                <w:lang w:val="en-US" w:eastAsia="zh-CN"/>
              </w:rPr>
              <w:t>九龙坡区</w:t>
            </w:r>
            <w:r>
              <w:rPr>
                <w:color w:val="auto"/>
                <w:kern w:val="0"/>
                <w:sz w:val="26"/>
                <w:szCs w:val="26"/>
              </w:rPr>
              <w:t>商务委员会</w:t>
            </w:r>
            <w:r>
              <w:rPr>
                <w:rFonts w:hint="eastAsia"/>
                <w:color w:val="auto"/>
                <w:kern w:val="0"/>
                <w:sz w:val="26"/>
                <w:szCs w:val="26"/>
              </w:rPr>
              <w:t>前期针对本项目</w:t>
            </w:r>
            <w:r>
              <w:rPr>
                <w:rFonts w:hint="eastAsia"/>
                <w:color w:val="auto"/>
                <w:kern w:val="0"/>
                <w:sz w:val="26"/>
                <w:szCs w:val="26"/>
                <w:lang w:val="en-US" w:eastAsia="zh-CN"/>
              </w:rPr>
              <w:t>改造</w:t>
            </w:r>
            <w:r>
              <w:rPr>
                <w:rFonts w:hint="eastAsia"/>
                <w:color w:val="auto"/>
                <w:kern w:val="0"/>
                <w:sz w:val="26"/>
                <w:szCs w:val="26"/>
              </w:rPr>
              <w:t>出具</w:t>
            </w:r>
            <w:r>
              <w:rPr>
                <w:rFonts w:hint="eastAsia"/>
                <w:color w:val="auto"/>
                <w:kern w:val="0"/>
                <w:sz w:val="26"/>
                <w:szCs w:val="26"/>
                <w:lang w:val="en-US" w:eastAsia="zh-CN"/>
              </w:rPr>
              <w:t>了</w:t>
            </w:r>
            <w:r>
              <w:rPr>
                <w:rFonts w:hint="eastAsia"/>
                <w:color w:val="auto"/>
                <w:kern w:val="0"/>
                <w:sz w:val="26"/>
                <w:szCs w:val="26"/>
              </w:rPr>
              <w:t>“关于中国石化销售股份有限公司重庆石油分公司</w:t>
            </w:r>
            <w:r>
              <w:rPr>
                <w:rFonts w:hint="eastAsia"/>
                <w:color w:val="auto"/>
                <w:kern w:val="0"/>
                <w:sz w:val="26"/>
                <w:szCs w:val="26"/>
                <w:lang w:val="en-US" w:eastAsia="zh-CN"/>
              </w:rPr>
              <w:t>华福路</w:t>
            </w:r>
            <w:r>
              <w:rPr>
                <w:rFonts w:hint="eastAsia"/>
                <w:color w:val="auto"/>
                <w:kern w:val="0"/>
                <w:sz w:val="26"/>
                <w:szCs w:val="26"/>
              </w:rPr>
              <w:t>加油站改造的批复</w:t>
            </w:r>
            <w:r>
              <w:rPr>
                <w:rFonts w:hint="default" w:ascii="Times New Roman" w:hAnsi="Times New Roman" w:cs="Times New Roman"/>
                <w:color w:val="auto"/>
                <w:kern w:val="0"/>
                <w:sz w:val="26"/>
                <w:szCs w:val="26"/>
              </w:rPr>
              <w:t>（</w:t>
            </w:r>
            <w:r>
              <w:rPr>
                <w:rFonts w:hint="default" w:ascii="Times New Roman" w:hAnsi="Times New Roman" w:cs="Times New Roman"/>
                <w:color w:val="auto"/>
                <w:kern w:val="0"/>
                <w:sz w:val="26"/>
                <w:szCs w:val="26"/>
                <w:lang w:val="en-US" w:eastAsia="zh-CN"/>
              </w:rPr>
              <w:t>九</w:t>
            </w:r>
            <w:r>
              <w:rPr>
                <w:rFonts w:hint="default" w:ascii="Times New Roman" w:hAnsi="Times New Roman" w:cs="Times New Roman"/>
                <w:color w:val="auto"/>
                <w:kern w:val="0"/>
                <w:sz w:val="26"/>
                <w:szCs w:val="26"/>
              </w:rPr>
              <w:t>商</w:t>
            </w:r>
            <w:r>
              <w:rPr>
                <w:rFonts w:hint="default" w:ascii="Times New Roman" w:hAnsi="Times New Roman" w:cs="Times New Roman"/>
                <w:color w:val="auto"/>
                <w:kern w:val="0"/>
                <w:sz w:val="26"/>
                <w:szCs w:val="26"/>
                <w:lang w:val="en-US" w:eastAsia="zh-CN"/>
              </w:rPr>
              <w:t>务</w:t>
            </w:r>
            <w:r>
              <w:rPr>
                <w:rFonts w:hint="default" w:ascii="Times New Roman" w:hAnsi="Times New Roman" w:cs="Times New Roman"/>
                <w:color w:val="auto"/>
                <w:kern w:val="0"/>
                <w:sz w:val="26"/>
                <w:szCs w:val="26"/>
              </w:rPr>
              <w:t>发</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rPr>
              <w:t>2025</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lang w:val="en-US" w:eastAsia="zh-CN"/>
              </w:rPr>
              <w:t>43</w:t>
            </w:r>
            <w:r>
              <w:rPr>
                <w:rFonts w:hint="default" w:ascii="Times New Roman" w:hAnsi="Times New Roman" w:cs="Times New Roman"/>
                <w:color w:val="auto"/>
                <w:sz w:val="26"/>
                <w:szCs w:val="26"/>
              </w:rPr>
              <w:t>号</w:t>
            </w:r>
            <w:r>
              <w:rPr>
                <w:rFonts w:hint="default" w:ascii="Times New Roman" w:hAnsi="Times New Roman" w:cs="Times New Roman"/>
                <w:color w:val="auto"/>
                <w:kern w:val="0"/>
                <w:sz w:val="26"/>
                <w:szCs w:val="26"/>
              </w:rPr>
              <w:t>）</w:t>
            </w:r>
            <w:r>
              <w:rPr>
                <w:rFonts w:hint="eastAsia"/>
                <w:color w:val="auto"/>
                <w:kern w:val="0"/>
                <w:sz w:val="26"/>
                <w:szCs w:val="26"/>
              </w:rPr>
              <w:t>”文件，同意本项目进行改造，详见</w:t>
            </w:r>
            <w:r>
              <w:rPr>
                <w:rFonts w:hint="eastAsia"/>
                <w:b/>
                <w:bCs/>
                <w:color w:val="auto"/>
                <w:kern w:val="0"/>
                <w:sz w:val="26"/>
                <w:szCs w:val="26"/>
                <w:u w:val="single"/>
              </w:rPr>
              <w:t>附件</w:t>
            </w:r>
            <w:r>
              <w:rPr>
                <w:rFonts w:hint="eastAsia"/>
                <w:color w:val="auto"/>
                <w:kern w:val="0"/>
                <w:sz w:val="26"/>
                <w:szCs w:val="26"/>
              </w:rPr>
              <w:t>。</w:t>
            </w:r>
          </w:p>
          <w:p w14:paraId="52DCC8D3">
            <w:pPr>
              <w:autoSpaceDE w:val="0"/>
              <w:autoSpaceDN w:val="0"/>
              <w:adjustRightInd w:val="0"/>
              <w:snapToGrid w:val="0"/>
              <w:spacing w:line="460" w:lineRule="exact"/>
              <w:ind w:firstLine="520" w:firstLineChars="200"/>
              <w:rPr>
                <w:kern w:val="0"/>
                <w:sz w:val="26"/>
                <w:szCs w:val="26"/>
              </w:rPr>
            </w:pPr>
            <w:r>
              <w:rPr>
                <w:rFonts w:hint="eastAsia"/>
                <w:kern w:val="0"/>
                <w:sz w:val="26"/>
                <w:szCs w:val="26"/>
              </w:rPr>
              <w:t>（2）区域环境质量</w:t>
            </w:r>
          </w:p>
          <w:p w14:paraId="5D90B6FE">
            <w:pPr>
              <w:spacing w:line="460" w:lineRule="exact"/>
              <w:ind w:firstLine="520" w:firstLineChars="200"/>
              <w:outlineLvl w:val="1"/>
              <w:rPr>
                <w:kern w:val="0"/>
                <w:sz w:val="26"/>
                <w:szCs w:val="26"/>
              </w:rPr>
            </w:pPr>
            <w:r>
              <w:rPr>
                <w:rFonts w:hint="eastAsia"/>
                <w:kern w:val="0"/>
                <w:sz w:val="26"/>
                <w:szCs w:val="26"/>
              </w:rPr>
              <w:t>根据环境质量现状评价，项目所在区域</w:t>
            </w:r>
            <w:r>
              <w:rPr>
                <w:rFonts w:hint="eastAsia"/>
                <w:kern w:val="0"/>
                <w:sz w:val="26"/>
                <w:szCs w:val="26"/>
                <w:lang w:val="en-US" w:eastAsia="zh-CN"/>
              </w:rPr>
              <w:t>九龙坡</w:t>
            </w:r>
            <w:r>
              <w:rPr>
                <w:rFonts w:hint="eastAsia"/>
                <w:kern w:val="0"/>
                <w:sz w:val="26"/>
                <w:szCs w:val="26"/>
              </w:rPr>
              <w:t>区属于大气环境质量达标区；现状监测</w:t>
            </w:r>
            <w:r>
              <w:rPr>
                <w:kern w:val="0"/>
                <w:sz w:val="26"/>
                <w:szCs w:val="26"/>
              </w:rPr>
              <w:t>非甲烷总烃满足河北省地方标准《环境空气质量非甲烷总烃限值》（DB13/1577-2012）标准限值；</w:t>
            </w:r>
            <w:r>
              <w:rPr>
                <w:rFonts w:hint="eastAsia"/>
                <w:kern w:val="0"/>
                <w:sz w:val="26"/>
                <w:szCs w:val="26"/>
                <w:lang w:val="en-US" w:eastAsia="zh-CN"/>
              </w:rPr>
              <w:t>跳蹬河</w:t>
            </w:r>
            <w:r>
              <w:rPr>
                <w:kern w:val="0"/>
                <w:sz w:val="26"/>
                <w:szCs w:val="26"/>
              </w:rPr>
              <w:t>断面的各监测因子均满足《地表水环境质量标准》（GB3838-2002）中的</w:t>
            </w:r>
            <w:r>
              <w:rPr>
                <w:rFonts w:hint="eastAsia"/>
                <w:kern w:val="0"/>
                <w:sz w:val="26"/>
                <w:szCs w:val="26"/>
                <w:lang w:val="en-US" w:eastAsia="zh-CN"/>
              </w:rPr>
              <w:t>Ⅴ</w:t>
            </w:r>
            <w:r>
              <w:rPr>
                <w:kern w:val="0"/>
                <w:sz w:val="26"/>
                <w:szCs w:val="26"/>
              </w:rPr>
              <w:t>类水域标准；项目所在区域地下水符合《地下水质量标准》（GB/T14848-2017）Ⅲ类水质标准的要求；项目</w:t>
            </w:r>
            <w:r>
              <w:rPr>
                <w:rFonts w:hint="eastAsia"/>
                <w:kern w:val="0"/>
                <w:sz w:val="26"/>
                <w:szCs w:val="26"/>
                <w:lang w:val="en-US" w:eastAsia="zh-CN"/>
              </w:rPr>
              <w:t>厂界外代表性声环境点位</w:t>
            </w:r>
            <w:r>
              <w:rPr>
                <w:kern w:val="0"/>
                <w:sz w:val="26"/>
                <w:szCs w:val="26"/>
              </w:rPr>
              <w:t>监测值均满足《声环境质量标准》（GB3096-2008）中的</w:t>
            </w:r>
            <w:r>
              <w:rPr>
                <w:rFonts w:hint="eastAsia"/>
                <w:kern w:val="0"/>
                <w:sz w:val="26"/>
                <w:szCs w:val="26"/>
              </w:rPr>
              <w:t>3</w:t>
            </w:r>
            <w:r>
              <w:rPr>
                <w:kern w:val="0"/>
                <w:sz w:val="26"/>
                <w:szCs w:val="26"/>
              </w:rPr>
              <w:t>类</w:t>
            </w:r>
            <w:r>
              <w:rPr>
                <w:rFonts w:hint="eastAsia"/>
                <w:kern w:val="0"/>
                <w:sz w:val="26"/>
                <w:szCs w:val="26"/>
              </w:rPr>
              <w:t>、4</w:t>
            </w:r>
            <w:r>
              <w:rPr>
                <w:rFonts w:hint="eastAsia"/>
                <w:kern w:val="0"/>
                <w:sz w:val="26"/>
                <w:szCs w:val="26"/>
                <w:lang w:val="en-US" w:eastAsia="zh-CN"/>
              </w:rPr>
              <w:t>a</w:t>
            </w:r>
            <w:r>
              <w:rPr>
                <w:rFonts w:hint="eastAsia"/>
                <w:kern w:val="0"/>
                <w:sz w:val="26"/>
                <w:szCs w:val="26"/>
              </w:rPr>
              <w:t>类</w:t>
            </w:r>
            <w:r>
              <w:rPr>
                <w:kern w:val="0"/>
                <w:sz w:val="26"/>
                <w:szCs w:val="26"/>
              </w:rPr>
              <w:t>标准要求；项目场区内土壤环境质量监测点位中基本因子</w:t>
            </w:r>
            <w:r>
              <w:rPr>
                <w:rFonts w:hint="eastAsia"/>
                <w:kern w:val="0"/>
                <w:sz w:val="26"/>
                <w:szCs w:val="26"/>
              </w:rPr>
              <w:t>、</w:t>
            </w:r>
            <w:r>
              <w:rPr>
                <w:kern w:val="0"/>
                <w:sz w:val="26"/>
                <w:szCs w:val="26"/>
              </w:rPr>
              <w:t>石油烃满足《土壤环境质量建设用地土壤污染风险管控标准（试行）》（GB36600</w:t>
            </w:r>
            <w:r>
              <w:rPr>
                <w:rFonts w:hint="eastAsia"/>
                <w:kern w:val="0"/>
                <w:sz w:val="26"/>
                <w:szCs w:val="26"/>
                <w:lang w:val="en-US" w:eastAsia="zh-CN"/>
              </w:rPr>
              <w:t>-</w:t>
            </w:r>
            <w:r>
              <w:rPr>
                <w:kern w:val="0"/>
                <w:sz w:val="26"/>
                <w:szCs w:val="26"/>
              </w:rPr>
              <w:t>2018）中筛选值标准。因此，项目选址区域环境质量总体较好，无</w:t>
            </w:r>
            <w:r>
              <w:rPr>
                <w:rFonts w:hint="eastAsia"/>
                <w:kern w:val="0"/>
                <w:sz w:val="26"/>
                <w:szCs w:val="26"/>
              </w:rPr>
              <w:t>较大</w:t>
            </w:r>
            <w:r>
              <w:rPr>
                <w:kern w:val="0"/>
                <w:sz w:val="26"/>
                <w:szCs w:val="26"/>
              </w:rPr>
              <w:t>制约项目建设因子存在。</w:t>
            </w:r>
          </w:p>
          <w:p w14:paraId="2459FA6A">
            <w:pPr>
              <w:autoSpaceDE w:val="0"/>
              <w:autoSpaceDN w:val="0"/>
              <w:adjustRightInd w:val="0"/>
              <w:snapToGrid w:val="0"/>
              <w:spacing w:line="460" w:lineRule="exact"/>
              <w:ind w:firstLine="520" w:firstLineChars="200"/>
              <w:rPr>
                <w:kern w:val="0"/>
                <w:sz w:val="26"/>
                <w:szCs w:val="26"/>
              </w:rPr>
            </w:pPr>
            <w:r>
              <w:rPr>
                <w:rFonts w:hint="eastAsia"/>
                <w:kern w:val="0"/>
                <w:sz w:val="26"/>
                <w:szCs w:val="26"/>
              </w:rPr>
              <w:t>（3）外环境关系</w:t>
            </w:r>
          </w:p>
          <w:p w14:paraId="3231B17A">
            <w:pPr>
              <w:autoSpaceDE w:val="0"/>
              <w:autoSpaceDN w:val="0"/>
              <w:adjustRightInd w:val="0"/>
              <w:snapToGrid w:val="0"/>
              <w:spacing w:line="460" w:lineRule="exact"/>
              <w:ind w:firstLine="520" w:firstLineChars="200"/>
              <w:rPr>
                <w:kern w:val="0"/>
                <w:sz w:val="26"/>
                <w:szCs w:val="26"/>
              </w:rPr>
            </w:pPr>
            <w:r>
              <w:rPr>
                <w:kern w:val="0"/>
                <w:sz w:val="26"/>
                <w:szCs w:val="26"/>
              </w:rPr>
              <w:t>项目选址不涉及自然保护区、风景名胜区、森林公园、文物古迹和饮用水源保护区等敏感保护目标。</w:t>
            </w:r>
          </w:p>
          <w:p w14:paraId="61CCF5BF">
            <w:pPr>
              <w:autoSpaceDE w:val="0"/>
              <w:autoSpaceDN w:val="0"/>
              <w:adjustRightInd w:val="0"/>
              <w:snapToGrid w:val="0"/>
              <w:spacing w:line="460" w:lineRule="exact"/>
              <w:ind w:firstLine="520" w:firstLineChars="200"/>
              <w:rPr>
                <w:rFonts w:hint="eastAsia" w:ascii="Times New Roman" w:hAnsi="Times New Roman" w:eastAsia="宋体" w:cs="Times New Roman"/>
                <w:kern w:val="0"/>
                <w:sz w:val="26"/>
                <w:szCs w:val="26"/>
              </w:rPr>
            </w:pPr>
            <w:r>
              <w:rPr>
                <w:rFonts w:hint="eastAsia" w:ascii="Times New Roman" w:hAnsi="Times New Roman" w:eastAsia="宋体" w:cs="Times New Roman"/>
                <w:kern w:val="0"/>
                <w:sz w:val="26"/>
                <w:szCs w:val="26"/>
              </w:rPr>
              <w:t>（4）从《汽车加油加气加氢站技术标准》（GB50156-2021）站址选择符合性分析</w:t>
            </w:r>
          </w:p>
          <w:p w14:paraId="4B79DDCD">
            <w:pPr>
              <w:autoSpaceDE w:val="0"/>
              <w:autoSpaceDN w:val="0"/>
              <w:adjustRightInd w:val="0"/>
              <w:snapToGrid w:val="0"/>
              <w:spacing w:line="460" w:lineRule="exact"/>
              <w:ind w:firstLine="520" w:firstLineChars="200"/>
              <w:rPr>
                <w:rFonts w:hint="eastAsia" w:ascii="Times New Roman" w:hAnsi="Times New Roman" w:eastAsia="宋体" w:cs="Times New Roman"/>
                <w:kern w:val="0"/>
                <w:sz w:val="26"/>
                <w:szCs w:val="26"/>
              </w:rPr>
            </w:pPr>
            <w:r>
              <w:rPr>
                <w:rFonts w:hint="eastAsia" w:ascii="Times New Roman" w:hAnsi="Times New Roman" w:eastAsia="宋体" w:cs="Times New Roman"/>
                <w:kern w:val="0"/>
                <w:sz w:val="26"/>
                <w:szCs w:val="26"/>
              </w:rPr>
              <w:t>项目平面布置无外部制约因素，加油站总平面建、构筑物布置紧凑，卸油</w:t>
            </w:r>
            <w:r>
              <w:rPr>
                <w:rFonts w:hint="eastAsia" w:ascii="Times New Roman" w:hAnsi="Times New Roman" w:eastAsia="宋体" w:cs="Times New Roman"/>
                <w:kern w:val="0"/>
                <w:sz w:val="26"/>
                <w:szCs w:val="26"/>
                <w:lang w:val="en-US" w:eastAsia="zh-CN"/>
              </w:rPr>
              <w:t>区</w:t>
            </w:r>
            <w:r>
              <w:rPr>
                <w:rFonts w:hint="eastAsia" w:ascii="Times New Roman" w:hAnsi="Times New Roman" w:eastAsia="宋体" w:cs="Times New Roman"/>
                <w:kern w:val="0"/>
                <w:sz w:val="26"/>
                <w:szCs w:val="26"/>
              </w:rPr>
              <w:t>、油罐区、与汽车加油区等分区较为明确，加油区场地宽敞，有利于各类车辆进出。项目属于</w:t>
            </w:r>
            <w:r>
              <w:rPr>
                <w:rFonts w:hint="eastAsia" w:ascii="Times New Roman" w:hAnsi="Times New Roman" w:eastAsia="宋体" w:cs="Times New Roman"/>
                <w:kern w:val="0"/>
                <w:sz w:val="26"/>
                <w:szCs w:val="26"/>
                <w:lang w:val="en-US" w:eastAsia="zh-CN"/>
              </w:rPr>
              <w:t>三</w:t>
            </w:r>
            <w:r>
              <w:rPr>
                <w:rFonts w:hint="eastAsia" w:ascii="Times New Roman" w:hAnsi="Times New Roman" w:eastAsia="宋体" w:cs="Times New Roman"/>
                <w:kern w:val="0"/>
                <w:sz w:val="26"/>
                <w:szCs w:val="26"/>
              </w:rPr>
              <w:t>级加油站，靠近城市道路，且未建设在城市干道的交叉路口。</w:t>
            </w:r>
          </w:p>
          <w:p w14:paraId="19DC97EA">
            <w:pPr>
              <w:autoSpaceDE w:val="0"/>
              <w:autoSpaceDN w:val="0"/>
              <w:adjustRightInd w:val="0"/>
              <w:snapToGrid w:val="0"/>
              <w:spacing w:line="460" w:lineRule="exact"/>
              <w:ind w:firstLine="520" w:firstLineChars="200"/>
              <w:rPr>
                <w:rFonts w:hint="eastAsia" w:ascii="Times New Roman" w:hAnsi="Times New Roman" w:eastAsia="宋体" w:cs="Times New Roman"/>
                <w:kern w:val="0"/>
                <w:sz w:val="26"/>
                <w:szCs w:val="26"/>
              </w:rPr>
            </w:pPr>
            <w:r>
              <w:rPr>
                <w:rFonts w:hint="eastAsia" w:ascii="Times New Roman" w:hAnsi="Times New Roman" w:eastAsia="宋体" w:cs="Times New Roman"/>
                <w:kern w:val="0"/>
                <w:sz w:val="26"/>
                <w:szCs w:val="26"/>
              </w:rPr>
              <w:t>根据方案设计，汽油油罐、加油机和通气管管口与站内外建、构筑物的安全间距标准见表1.1</w:t>
            </w:r>
            <w:r>
              <w:rPr>
                <w:rFonts w:hint="eastAsia" w:cs="Times New Roman"/>
                <w:kern w:val="0"/>
                <w:sz w:val="26"/>
                <w:szCs w:val="26"/>
                <w:lang w:val="en-US" w:eastAsia="zh-CN"/>
              </w:rPr>
              <w:t>1</w:t>
            </w:r>
            <w:r>
              <w:rPr>
                <w:rFonts w:hint="eastAsia" w:ascii="Times New Roman" w:hAnsi="Times New Roman" w:eastAsia="宋体" w:cs="Times New Roman"/>
                <w:kern w:val="0"/>
                <w:sz w:val="26"/>
                <w:szCs w:val="26"/>
              </w:rPr>
              <w:t>-</w:t>
            </w:r>
            <w:r>
              <w:rPr>
                <w:rFonts w:hint="eastAsia" w:cs="Times New Roman"/>
                <w:kern w:val="0"/>
                <w:sz w:val="26"/>
                <w:szCs w:val="26"/>
                <w:lang w:val="en-US" w:eastAsia="zh-CN"/>
              </w:rPr>
              <w:t>1和表1.11-2</w:t>
            </w:r>
            <w:r>
              <w:rPr>
                <w:rFonts w:hint="eastAsia" w:ascii="Times New Roman" w:hAnsi="Times New Roman" w:eastAsia="宋体" w:cs="Times New Roman"/>
                <w:kern w:val="0"/>
                <w:sz w:val="26"/>
                <w:szCs w:val="26"/>
              </w:rPr>
              <w:t>。</w:t>
            </w:r>
          </w:p>
          <w:p w14:paraId="39B354F5">
            <w:pPr>
              <w:autoSpaceDE w:val="0"/>
              <w:autoSpaceDN w:val="0"/>
              <w:adjustRightInd w:val="0"/>
              <w:snapToGrid w:val="0"/>
              <w:spacing w:line="240" w:lineRule="auto"/>
              <w:jc w:val="center"/>
              <w:rPr>
                <w:rFonts w:hint="default" w:ascii="Times New Roman" w:hAnsi="Times New Roman" w:eastAsia="宋体" w:cs="Times New Roman"/>
                <w:color w:val="auto"/>
                <w:kern w:val="0"/>
                <w:sz w:val="26"/>
                <w:szCs w:val="26"/>
                <w:lang w:val="en-US" w:eastAsia="zh-CN"/>
              </w:rPr>
            </w:pPr>
            <w:bookmarkStart w:id="2" w:name="_Toc239841736"/>
            <w:r>
              <w:rPr>
                <w:rFonts w:hint="eastAsia" w:ascii="Times New Roman" w:hAnsi="Times New Roman" w:eastAsia="宋体" w:cs="Times New Roman"/>
                <w:color w:val="auto"/>
                <w:kern w:val="0"/>
                <w:sz w:val="22"/>
                <w:szCs w:val="22"/>
              </w:rPr>
              <w:t>表1.1</w:t>
            </w:r>
            <w:r>
              <w:rPr>
                <w:rFonts w:hint="eastAsia" w:cs="Times New Roman"/>
                <w:color w:val="auto"/>
                <w:kern w:val="0"/>
                <w:sz w:val="22"/>
                <w:szCs w:val="22"/>
                <w:lang w:val="en-US" w:eastAsia="zh-CN"/>
              </w:rPr>
              <w:t>1</w:t>
            </w:r>
            <w:r>
              <w:rPr>
                <w:rFonts w:hint="eastAsia" w:ascii="Times New Roman" w:hAnsi="Times New Roman" w:eastAsia="宋体" w:cs="Times New Roman"/>
                <w:color w:val="auto"/>
                <w:kern w:val="0"/>
                <w:sz w:val="22"/>
                <w:szCs w:val="22"/>
              </w:rPr>
              <w:t>-</w:t>
            </w:r>
            <w:r>
              <w:rPr>
                <w:rFonts w:hint="eastAsia" w:cs="Times New Roman"/>
                <w:color w:val="auto"/>
                <w:kern w:val="0"/>
                <w:sz w:val="22"/>
                <w:szCs w:val="22"/>
                <w:lang w:val="en-US" w:eastAsia="zh-CN"/>
              </w:rPr>
              <w:t xml:space="preserve">1  </w:t>
            </w:r>
            <w:r>
              <w:rPr>
                <w:rFonts w:hint="eastAsia" w:ascii="Times New Roman" w:hAnsi="Times New Roman" w:eastAsia="宋体" w:cs="Times New Roman"/>
                <w:color w:val="auto"/>
                <w:kern w:val="0"/>
                <w:sz w:val="22"/>
                <w:szCs w:val="22"/>
              </w:rPr>
              <w:t>加油站工艺设施与站</w:t>
            </w:r>
            <w:r>
              <w:rPr>
                <w:rFonts w:hint="eastAsia" w:cs="Times New Roman"/>
                <w:color w:val="auto"/>
                <w:kern w:val="0"/>
                <w:sz w:val="22"/>
                <w:szCs w:val="22"/>
                <w:lang w:val="en-US" w:eastAsia="zh-CN"/>
              </w:rPr>
              <w:t>内设施</w:t>
            </w:r>
            <w:r>
              <w:rPr>
                <w:rFonts w:hint="eastAsia" w:ascii="Times New Roman" w:hAnsi="Times New Roman" w:eastAsia="宋体" w:cs="Times New Roman"/>
                <w:color w:val="auto"/>
                <w:kern w:val="0"/>
                <w:sz w:val="22"/>
                <w:szCs w:val="22"/>
              </w:rPr>
              <w:t>的安全间距一览表</w:t>
            </w:r>
            <w:r>
              <w:rPr>
                <w:rFonts w:hint="eastAsia" w:cs="Times New Roman"/>
                <w:color w:val="auto"/>
                <w:kern w:val="0"/>
                <w:sz w:val="22"/>
                <w:szCs w:val="22"/>
                <w:lang w:val="en-US" w:eastAsia="zh-CN"/>
              </w:rPr>
              <w:t xml:space="preserve">  单位：m</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789"/>
              <w:gridCol w:w="794"/>
              <w:gridCol w:w="791"/>
              <w:gridCol w:w="791"/>
              <w:gridCol w:w="793"/>
              <w:gridCol w:w="791"/>
              <w:gridCol w:w="791"/>
              <w:gridCol w:w="810"/>
            </w:tblGrid>
            <w:tr w14:paraId="20AB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restart"/>
                  <w:noWrap w:val="0"/>
                  <w:vAlign w:val="center"/>
                </w:tcPr>
                <w:p w14:paraId="33A138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eastAsia="zh-CN"/>
                    </w:rPr>
                  </w:pPr>
                  <w:r>
                    <w:rPr>
                      <w:rFonts w:hint="eastAsia" w:ascii="Times New Roman" w:hAnsi="Times New Roman" w:eastAsia="宋体" w:cs="Times New Roman"/>
                      <w:color w:val="auto"/>
                      <w:kern w:val="0"/>
                      <w:sz w:val="22"/>
                      <w:szCs w:val="22"/>
                    </w:rPr>
                    <w:t>站内</w:t>
                  </w:r>
                  <w:r>
                    <w:rPr>
                      <w:rFonts w:hint="eastAsia" w:cs="Times New Roman"/>
                      <w:color w:val="auto"/>
                      <w:kern w:val="0"/>
                      <w:sz w:val="22"/>
                      <w:szCs w:val="22"/>
                      <w:lang w:val="en-US" w:eastAsia="zh-CN"/>
                    </w:rPr>
                    <w:t>设施</w:t>
                  </w:r>
                </w:p>
              </w:tc>
              <w:tc>
                <w:tcPr>
                  <w:tcW w:w="1005" w:type="pct"/>
                  <w:gridSpan w:val="2"/>
                  <w:noWrap w:val="0"/>
                  <w:vAlign w:val="center"/>
                </w:tcPr>
                <w:p w14:paraId="36AE88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埋地油罐</w:t>
                  </w:r>
                </w:p>
              </w:tc>
              <w:tc>
                <w:tcPr>
                  <w:tcW w:w="1004" w:type="pct"/>
                  <w:gridSpan w:val="2"/>
                  <w:noWrap w:val="0"/>
                  <w:vAlign w:val="center"/>
                </w:tcPr>
                <w:p w14:paraId="260876F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通气管管口</w:t>
                  </w:r>
                </w:p>
              </w:tc>
              <w:tc>
                <w:tcPr>
                  <w:tcW w:w="1005" w:type="pct"/>
                  <w:gridSpan w:val="2"/>
                  <w:noWrap w:val="0"/>
                  <w:vAlign w:val="center"/>
                </w:tcPr>
                <w:p w14:paraId="320D78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加油机</w:t>
                  </w:r>
                </w:p>
              </w:tc>
              <w:tc>
                <w:tcPr>
                  <w:tcW w:w="1016" w:type="pct"/>
                  <w:gridSpan w:val="2"/>
                  <w:noWrap w:val="0"/>
                  <w:vAlign w:val="center"/>
                </w:tcPr>
                <w:p w14:paraId="5B252B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卸油口</w:t>
                  </w:r>
                </w:p>
              </w:tc>
            </w:tr>
            <w:tr w14:paraId="21BB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Merge w:val="continue"/>
                  <w:noWrap w:val="0"/>
                  <w:vAlign w:val="center"/>
                </w:tcPr>
                <w:p w14:paraId="27C1191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p>
              </w:tc>
              <w:tc>
                <w:tcPr>
                  <w:tcW w:w="501" w:type="pct"/>
                  <w:noWrap w:val="0"/>
                  <w:vAlign w:val="center"/>
                </w:tcPr>
                <w:p w14:paraId="7E60DB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标准值</w:t>
                  </w:r>
                </w:p>
              </w:tc>
              <w:tc>
                <w:tcPr>
                  <w:tcW w:w="504" w:type="pct"/>
                  <w:noWrap w:val="0"/>
                  <w:vAlign w:val="center"/>
                </w:tcPr>
                <w:p w14:paraId="4564104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设计值</w:t>
                  </w:r>
                </w:p>
              </w:tc>
              <w:tc>
                <w:tcPr>
                  <w:tcW w:w="502" w:type="pct"/>
                  <w:noWrap w:val="0"/>
                  <w:vAlign w:val="center"/>
                </w:tcPr>
                <w:p w14:paraId="18E99E7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标准值</w:t>
                  </w:r>
                </w:p>
              </w:tc>
              <w:tc>
                <w:tcPr>
                  <w:tcW w:w="502" w:type="pct"/>
                  <w:noWrap w:val="0"/>
                  <w:vAlign w:val="center"/>
                </w:tcPr>
                <w:p w14:paraId="3A5308F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设计值</w:t>
                  </w:r>
                </w:p>
              </w:tc>
              <w:tc>
                <w:tcPr>
                  <w:tcW w:w="503" w:type="pct"/>
                  <w:noWrap w:val="0"/>
                  <w:vAlign w:val="center"/>
                </w:tcPr>
                <w:p w14:paraId="515C61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标准值</w:t>
                  </w:r>
                </w:p>
              </w:tc>
              <w:tc>
                <w:tcPr>
                  <w:tcW w:w="502" w:type="pct"/>
                  <w:noWrap w:val="0"/>
                  <w:vAlign w:val="center"/>
                </w:tcPr>
                <w:p w14:paraId="4098C5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设计值</w:t>
                  </w:r>
                </w:p>
              </w:tc>
              <w:tc>
                <w:tcPr>
                  <w:tcW w:w="502" w:type="pct"/>
                  <w:noWrap w:val="0"/>
                  <w:vAlign w:val="center"/>
                </w:tcPr>
                <w:p w14:paraId="17E0C4C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标准值</w:t>
                  </w:r>
                </w:p>
              </w:tc>
              <w:tc>
                <w:tcPr>
                  <w:tcW w:w="514" w:type="pct"/>
                  <w:noWrap w:val="0"/>
                  <w:vAlign w:val="center"/>
                </w:tcPr>
                <w:p w14:paraId="33D7CD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设计值</w:t>
                  </w:r>
                </w:p>
              </w:tc>
            </w:tr>
            <w:tr w14:paraId="12F2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14:paraId="61E1E1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olor w:val="auto"/>
                      <w:kern w:val="0"/>
                      <w:sz w:val="22"/>
                      <w:szCs w:val="22"/>
                      <w:lang w:val="en-US" w:eastAsia="zh-CN"/>
                    </w:rPr>
                  </w:pPr>
                  <w:r>
                    <w:rPr>
                      <w:rFonts w:hint="eastAsia" w:cs="Times New Roman"/>
                      <w:color w:val="auto"/>
                      <w:kern w:val="0"/>
                      <w:sz w:val="22"/>
                      <w:szCs w:val="22"/>
                      <w:lang w:val="en-US" w:eastAsia="zh-CN"/>
                    </w:rPr>
                    <w:t>站房</w:t>
                  </w:r>
                </w:p>
              </w:tc>
              <w:tc>
                <w:tcPr>
                  <w:tcW w:w="501" w:type="pct"/>
                  <w:noWrap w:val="0"/>
                  <w:vAlign w:val="center"/>
                </w:tcPr>
                <w:p w14:paraId="656DD55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4</w:t>
                  </w:r>
                </w:p>
              </w:tc>
              <w:tc>
                <w:tcPr>
                  <w:tcW w:w="504" w:type="pct"/>
                  <w:noWrap w:val="0"/>
                  <w:vAlign w:val="center"/>
                </w:tcPr>
                <w:p w14:paraId="7E22E0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8.93</w:t>
                  </w:r>
                </w:p>
              </w:tc>
              <w:tc>
                <w:tcPr>
                  <w:tcW w:w="502" w:type="pct"/>
                  <w:noWrap w:val="0"/>
                  <w:vAlign w:val="center"/>
                </w:tcPr>
                <w:p w14:paraId="0148918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5</w:t>
                  </w:r>
                </w:p>
              </w:tc>
              <w:tc>
                <w:tcPr>
                  <w:tcW w:w="502" w:type="pct"/>
                  <w:noWrap w:val="0"/>
                  <w:vAlign w:val="center"/>
                </w:tcPr>
                <w:p w14:paraId="55B1A27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5.58</w:t>
                  </w:r>
                </w:p>
              </w:tc>
              <w:tc>
                <w:tcPr>
                  <w:tcW w:w="503" w:type="pct"/>
                  <w:noWrap w:val="0"/>
                  <w:vAlign w:val="center"/>
                </w:tcPr>
                <w:p w14:paraId="4A32CB3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4</w:t>
                  </w:r>
                </w:p>
              </w:tc>
              <w:tc>
                <w:tcPr>
                  <w:tcW w:w="502" w:type="pct"/>
                  <w:noWrap w:val="0"/>
                  <w:vAlign w:val="center"/>
                </w:tcPr>
                <w:p w14:paraId="0C34DE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4.56</w:t>
                  </w:r>
                </w:p>
              </w:tc>
              <w:tc>
                <w:tcPr>
                  <w:tcW w:w="502" w:type="pct"/>
                  <w:noWrap w:val="0"/>
                  <w:vAlign w:val="center"/>
                </w:tcPr>
                <w:p w14:paraId="1A0ECDE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5</w:t>
                  </w:r>
                </w:p>
              </w:tc>
              <w:tc>
                <w:tcPr>
                  <w:tcW w:w="514" w:type="pct"/>
                  <w:noWrap w:val="0"/>
                  <w:vAlign w:val="center"/>
                </w:tcPr>
                <w:p w14:paraId="622C833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14.81</w:t>
                  </w:r>
                </w:p>
              </w:tc>
            </w:tr>
            <w:tr w14:paraId="2E28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14:paraId="144C655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埋地油罐</w:t>
                  </w:r>
                </w:p>
              </w:tc>
              <w:tc>
                <w:tcPr>
                  <w:tcW w:w="501" w:type="pct"/>
                  <w:noWrap w:val="0"/>
                  <w:vAlign w:val="center"/>
                </w:tcPr>
                <w:p w14:paraId="4BC4EE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0.5</w:t>
                  </w:r>
                </w:p>
              </w:tc>
              <w:tc>
                <w:tcPr>
                  <w:tcW w:w="504" w:type="pct"/>
                  <w:noWrap w:val="0"/>
                  <w:vAlign w:val="center"/>
                </w:tcPr>
                <w:p w14:paraId="52EC0D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0.5</w:t>
                  </w:r>
                </w:p>
              </w:tc>
              <w:tc>
                <w:tcPr>
                  <w:tcW w:w="502" w:type="pct"/>
                  <w:noWrap w:val="0"/>
                  <w:vAlign w:val="center"/>
                </w:tcPr>
                <w:p w14:paraId="2D088F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668C1BC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3" w:type="pct"/>
                  <w:noWrap w:val="0"/>
                  <w:vAlign w:val="center"/>
                </w:tcPr>
                <w:p w14:paraId="4A955B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45031F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38420E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14" w:type="pct"/>
                  <w:noWrap w:val="0"/>
                  <w:vAlign w:val="center"/>
                </w:tcPr>
                <w:p w14:paraId="0D1C51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r>
            <w:tr w14:paraId="3734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14:paraId="2DBD6B2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通气管口</w:t>
                  </w:r>
                </w:p>
              </w:tc>
              <w:tc>
                <w:tcPr>
                  <w:tcW w:w="501" w:type="pct"/>
                  <w:noWrap w:val="0"/>
                  <w:vAlign w:val="center"/>
                </w:tcPr>
                <w:p w14:paraId="226ECF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4" w:type="pct"/>
                  <w:noWrap w:val="0"/>
                  <w:vAlign w:val="center"/>
                </w:tcPr>
                <w:p w14:paraId="646D5A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6B3DF9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1FE18A0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3" w:type="pct"/>
                  <w:noWrap w:val="0"/>
                  <w:vAlign w:val="center"/>
                </w:tcPr>
                <w:p w14:paraId="038448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74609A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66352D8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3</w:t>
                  </w:r>
                </w:p>
              </w:tc>
              <w:tc>
                <w:tcPr>
                  <w:tcW w:w="514" w:type="pct"/>
                  <w:noWrap w:val="0"/>
                  <w:vAlign w:val="center"/>
                </w:tcPr>
                <w:p w14:paraId="237103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12.17</w:t>
                  </w:r>
                </w:p>
              </w:tc>
            </w:tr>
            <w:tr w14:paraId="7B5D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14:paraId="63BB1F7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围墙</w:t>
                  </w:r>
                </w:p>
              </w:tc>
              <w:tc>
                <w:tcPr>
                  <w:tcW w:w="501" w:type="pct"/>
                  <w:noWrap w:val="0"/>
                  <w:vAlign w:val="center"/>
                </w:tcPr>
                <w:p w14:paraId="31EA8AD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2</w:t>
                  </w:r>
                </w:p>
              </w:tc>
              <w:tc>
                <w:tcPr>
                  <w:tcW w:w="504" w:type="pct"/>
                  <w:noWrap w:val="0"/>
                  <w:vAlign w:val="center"/>
                </w:tcPr>
                <w:p w14:paraId="2C858A4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22.09</w:t>
                  </w:r>
                </w:p>
              </w:tc>
              <w:tc>
                <w:tcPr>
                  <w:tcW w:w="502" w:type="pct"/>
                  <w:noWrap w:val="0"/>
                  <w:vAlign w:val="center"/>
                </w:tcPr>
                <w:p w14:paraId="1D14EB9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2" w:type="pct"/>
                  <w:noWrap w:val="0"/>
                  <w:vAlign w:val="center"/>
                </w:tcPr>
                <w:p w14:paraId="0879565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03" w:type="pct"/>
                  <w:noWrap w:val="0"/>
                  <w:vAlign w:val="center"/>
                </w:tcPr>
                <w:p w14:paraId="748101E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2</w:t>
                  </w:r>
                </w:p>
              </w:tc>
              <w:tc>
                <w:tcPr>
                  <w:tcW w:w="502" w:type="pct"/>
                  <w:noWrap w:val="0"/>
                  <w:vAlign w:val="center"/>
                </w:tcPr>
                <w:p w14:paraId="155F68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2.42</w:t>
                  </w:r>
                </w:p>
              </w:tc>
              <w:tc>
                <w:tcPr>
                  <w:tcW w:w="502" w:type="pct"/>
                  <w:noWrap w:val="0"/>
                  <w:vAlign w:val="center"/>
                </w:tcPr>
                <w:p w14:paraId="0B969E7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14" w:type="pct"/>
                  <w:noWrap w:val="0"/>
                  <w:vAlign w:val="center"/>
                </w:tcPr>
                <w:p w14:paraId="137E8F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r>
            <w:tr w14:paraId="29EF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14:paraId="63C2DE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充电设备</w:t>
                  </w:r>
                </w:p>
              </w:tc>
              <w:tc>
                <w:tcPr>
                  <w:tcW w:w="501" w:type="pct"/>
                  <w:noWrap w:val="0"/>
                  <w:vAlign w:val="center"/>
                </w:tcPr>
                <w:p w14:paraId="0544AB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6</w:t>
                  </w:r>
                </w:p>
              </w:tc>
              <w:tc>
                <w:tcPr>
                  <w:tcW w:w="504" w:type="pct"/>
                  <w:noWrap w:val="0"/>
                  <w:vAlign w:val="center"/>
                </w:tcPr>
                <w:p w14:paraId="5044BB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14.72</w:t>
                  </w:r>
                </w:p>
              </w:tc>
              <w:tc>
                <w:tcPr>
                  <w:tcW w:w="502" w:type="pct"/>
                  <w:noWrap w:val="0"/>
                  <w:vAlign w:val="center"/>
                </w:tcPr>
                <w:p w14:paraId="65595FB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10.5</w:t>
                  </w:r>
                </w:p>
              </w:tc>
              <w:tc>
                <w:tcPr>
                  <w:tcW w:w="502" w:type="pct"/>
                  <w:noWrap w:val="0"/>
                  <w:vAlign w:val="center"/>
                </w:tcPr>
                <w:p w14:paraId="4C39FC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18.10</w:t>
                  </w:r>
                </w:p>
              </w:tc>
              <w:tc>
                <w:tcPr>
                  <w:tcW w:w="503" w:type="pct"/>
                  <w:noWrap w:val="0"/>
                  <w:vAlign w:val="center"/>
                </w:tcPr>
                <w:p w14:paraId="0491FB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10.5</w:t>
                  </w:r>
                </w:p>
              </w:tc>
              <w:tc>
                <w:tcPr>
                  <w:tcW w:w="502" w:type="pct"/>
                  <w:noWrap w:val="0"/>
                  <w:vAlign w:val="center"/>
                </w:tcPr>
                <w:p w14:paraId="021608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50.12</w:t>
                  </w:r>
                </w:p>
              </w:tc>
              <w:tc>
                <w:tcPr>
                  <w:tcW w:w="502" w:type="pct"/>
                  <w:noWrap w:val="0"/>
                  <w:vAlign w:val="center"/>
                </w:tcPr>
                <w:p w14:paraId="37F687F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14" w:type="pct"/>
                  <w:noWrap w:val="0"/>
                  <w:vAlign w:val="center"/>
                </w:tcPr>
                <w:p w14:paraId="347308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r>
            <w:tr w14:paraId="4463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14:paraId="429DDA5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洗车设备（三类保护物）</w:t>
                  </w:r>
                </w:p>
              </w:tc>
              <w:tc>
                <w:tcPr>
                  <w:tcW w:w="501" w:type="pct"/>
                  <w:noWrap w:val="0"/>
                  <w:vAlign w:val="center"/>
                </w:tcPr>
                <w:p w14:paraId="5ABF578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7</w:t>
                  </w:r>
                </w:p>
              </w:tc>
              <w:tc>
                <w:tcPr>
                  <w:tcW w:w="504" w:type="pct"/>
                  <w:noWrap w:val="0"/>
                  <w:vAlign w:val="center"/>
                </w:tcPr>
                <w:p w14:paraId="7D2AFE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30.81</w:t>
                  </w:r>
                </w:p>
              </w:tc>
              <w:tc>
                <w:tcPr>
                  <w:tcW w:w="502" w:type="pct"/>
                  <w:noWrap w:val="0"/>
                  <w:vAlign w:val="center"/>
                </w:tcPr>
                <w:p w14:paraId="0AF4F10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7</w:t>
                  </w:r>
                </w:p>
              </w:tc>
              <w:tc>
                <w:tcPr>
                  <w:tcW w:w="502" w:type="pct"/>
                  <w:noWrap w:val="0"/>
                  <w:vAlign w:val="center"/>
                </w:tcPr>
                <w:p w14:paraId="597AE10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27.84</w:t>
                  </w:r>
                </w:p>
              </w:tc>
              <w:tc>
                <w:tcPr>
                  <w:tcW w:w="503" w:type="pct"/>
                  <w:noWrap w:val="0"/>
                  <w:vAlign w:val="center"/>
                </w:tcPr>
                <w:p w14:paraId="2E7215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7</w:t>
                  </w:r>
                </w:p>
              </w:tc>
              <w:tc>
                <w:tcPr>
                  <w:tcW w:w="502" w:type="pct"/>
                  <w:noWrap w:val="0"/>
                  <w:vAlign w:val="center"/>
                </w:tcPr>
                <w:p w14:paraId="495518E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24.08</w:t>
                  </w:r>
                </w:p>
              </w:tc>
              <w:tc>
                <w:tcPr>
                  <w:tcW w:w="502" w:type="pct"/>
                  <w:noWrap w:val="0"/>
                  <w:vAlign w:val="center"/>
                </w:tcPr>
                <w:p w14:paraId="0B0E82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c>
                <w:tcPr>
                  <w:tcW w:w="514" w:type="pct"/>
                  <w:noWrap w:val="0"/>
                  <w:vAlign w:val="center"/>
                </w:tcPr>
                <w:p w14:paraId="551B3C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w:t>
                  </w:r>
                </w:p>
              </w:tc>
            </w:tr>
            <w:bookmarkEnd w:id="2"/>
          </w:tbl>
          <w:p w14:paraId="644A91F8">
            <w:pPr>
              <w:autoSpaceDE w:val="0"/>
              <w:autoSpaceDN w:val="0"/>
              <w:adjustRightInd w:val="0"/>
              <w:snapToGrid w:val="0"/>
              <w:spacing w:line="240" w:lineRule="auto"/>
              <w:jc w:val="center"/>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2"/>
                <w:szCs w:val="22"/>
              </w:rPr>
              <w:t>表1.1</w:t>
            </w:r>
            <w:r>
              <w:rPr>
                <w:rFonts w:hint="eastAsia" w:cs="Times New Roman"/>
                <w:color w:val="auto"/>
                <w:kern w:val="0"/>
                <w:sz w:val="22"/>
                <w:szCs w:val="22"/>
                <w:lang w:val="en-US" w:eastAsia="zh-CN"/>
              </w:rPr>
              <w:t>1</w:t>
            </w:r>
            <w:r>
              <w:rPr>
                <w:rFonts w:hint="eastAsia" w:ascii="Times New Roman" w:hAnsi="Times New Roman" w:eastAsia="宋体" w:cs="Times New Roman"/>
                <w:color w:val="auto"/>
                <w:kern w:val="0"/>
                <w:sz w:val="22"/>
                <w:szCs w:val="22"/>
                <w:lang w:val="en-US" w:eastAsia="zh-CN"/>
              </w:rPr>
              <w:t>-2</w:t>
            </w:r>
            <w:r>
              <w:rPr>
                <w:rFonts w:hint="eastAsia" w:cs="Times New Roman"/>
                <w:color w:val="auto"/>
                <w:kern w:val="0"/>
                <w:sz w:val="22"/>
                <w:szCs w:val="22"/>
                <w:lang w:val="en-US" w:eastAsia="zh-CN"/>
              </w:rPr>
              <w:t xml:space="preserve">  </w:t>
            </w:r>
            <w:r>
              <w:rPr>
                <w:rFonts w:hint="eastAsia" w:ascii="Times New Roman" w:hAnsi="Times New Roman" w:eastAsia="宋体" w:cs="Times New Roman"/>
                <w:color w:val="auto"/>
                <w:kern w:val="0"/>
                <w:sz w:val="22"/>
                <w:szCs w:val="22"/>
              </w:rPr>
              <w:t>加油站工艺设施与站</w:t>
            </w:r>
            <w:r>
              <w:rPr>
                <w:rFonts w:hint="eastAsia" w:cs="Times New Roman"/>
                <w:color w:val="auto"/>
                <w:kern w:val="0"/>
                <w:sz w:val="22"/>
                <w:szCs w:val="22"/>
                <w:lang w:val="en-US" w:eastAsia="zh-CN"/>
              </w:rPr>
              <w:t>外建、构筑物</w:t>
            </w:r>
            <w:r>
              <w:rPr>
                <w:rFonts w:hint="eastAsia" w:ascii="Times New Roman" w:hAnsi="Times New Roman" w:eastAsia="宋体" w:cs="Times New Roman"/>
                <w:color w:val="auto"/>
                <w:kern w:val="0"/>
                <w:sz w:val="22"/>
                <w:szCs w:val="22"/>
              </w:rPr>
              <w:t>的安全间距一览表</w:t>
            </w:r>
            <w:r>
              <w:rPr>
                <w:rFonts w:hint="eastAsia" w:cs="Times New Roman"/>
                <w:color w:val="auto"/>
                <w:kern w:val="0"/>
                <w:sz w:val="22"/>
                <w:szCs w:val="22"/>
                <w:lang w:val="en-US" w:eastAsia="zh-CN"/>
              </w:rPr>
              <w:t xml:space="preserve">  单位：m</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597"/>
              <w:gridCol w:w="750"/>
              <w:gridCol w:w="646"/>
              <w:gridCol w:w="791"/>
              <w:gridCol w:w="793"/>
              <w:gridCol w:w="791"/>
              <w:gridCol w:w="791"/>
              <w:gridCol w:w="810"/>
            </w:tblGrid>
            <w:tr w14:paraId="6E70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vMerge w:val="restart"/>
                  <w:noWrap w:val="0"/>
                  <w:vAlign w:val="center"/>
                </w:tcPr>
                <w:p w14:paraId="6106CA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站外建构筑物名称</w:t>
                  </w:r>
                </w:p>
              </w:tc>
              <w:tc>
                <w:tcPr>
                  <w:tcW w:w="855" w:type="pct"/>
                  <w:gridSpan w:val="2"/>
                  <w:noWrap w:val="0"/>
                  <w:vAlign w:val="center"/>
                </w:tcPr>
                <w:p w14:paraId="6F71F9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埋地油罐</w:t>
                  </w:r>
                </w:p>
              </w:tc>
              <w:tc>
                <w:tcPr>
                  <w:tcW w:w="912" w:type="pct"/>
                  <w:gridSpan w:val="2"/>
                  <w:noWrap w:val="0"/>
                  <w:vAlign w:val="center"/>
                </w:tcPr>
                <w:p w14:paraId="2FCC349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通气管管口</w:t>
                  </w:r>
                </w:p>
              </w:tc>
              <w:tc>
                <w:tcPr>
                  <w:tcW w:w="1005" w:type="pct"/>
                  <w:gridSpan w:val="2"/>
                  <w:noWrap w:val="0"/>
                  <w:vAlign w:val="center"/>
                </w:tcPr>
                <w:p w14:paraId="414513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加油机</w:t>
                  </w:r>
                </w:p>
              </w:tc>
              <w:tc>
                <w:tcPr>
                  <w:tcW w:w="1016" w:type="pct"/>
                  <w:gridSpan w:val="2"/>
                  <w:noWrap w:val="0"/>
                  <w:vAlign w:val="center"/>
                </w:tcPr>
                <w:p w14:paraId="342C6B6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油气回收处理装置</w:t>
                  </w:r>
                </w:p>
              </w:tc>
            </w:tr>
            <w:tr w14:paraId="0296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vMerge w:val="continue"/>
                  <w:noWrap w:val="0"/>
                  <w:vAlign w:val="center"/>
                </w:tcPr>
                <w:p w14:paraId="05E7CBE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p>
              </w:tc>
              <w:tc>
                <w:tcPr>
                  <w:tcW w:w="379" w:type="pct"/>
                  <w:noWrap w:val="0"/>
                  <w:vAlign w:val="center"/>
                </w:tcPr>
                <w:p w14:paraId="7F0092F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标准值</w:t>
                  </w:r>
                </w:p>
              </w:tc>
              <w:tc>
                <w:tcPr>
                  <w:tcW w:w="476" w:type="pct"/>
                  <w:noWrap w:val="0"/>
                  <w:vAlign w:val="center"/>
                </w:tcPr>
                <w:p w14:paraId="214EA8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cs="Times New Roman"/>
                      <w:color w:val="auto"/>
                      <w:kern w:val="0"/>
                      <w:sz w:val="22"/>
                      <w:szCs w:val="22"/>
                      <w:lang w:val="en-US" w:eastAsia="zh-CN"/>
                    </w:rPr>
                    <w:t>设计值</w:t>
                  </w:r>
                </w:p>
              </w:tc>
              <w:tc>
                <w:tcPr>
                  <w:tcW w:w="410" w:type="pct"/>
                  <w:noWrap w:val="0"/>
                  <w:vAlign w:val="center"/>
                </w:tcPr>
                <w:p w14:paraId="51FC48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标准值</w:t>
                  </w:r>
                </w:p>
              </w:tc>
              <w:tc>
                <w:tcPr>
                  <w:tcW w:w="502" w:type="pct"/>
                  <w:noWrap w:val="0"/>
                  <w:vAlign w:val="center"/>
                </w:tcPr>
                <w:p w14:paraId="771BCA8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设计值</w:t>
                  </w:r>
                </w:p>
              </w:tc>
              <w:tc>
                <w:tcPr>
                  <w:tcW w:w="503" w:type="pct"/>
                  <w:noWrap w:val="0"/>
                  <w:vAlign w:val="center"/>
                </w:tcPr>
                <w:p w14:paraId="067FEE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标准值</w:t>
                  </w:r>
                </w:p>
              </w:tc>
              <w:tc>
                <w:tcPr>
                  <w:tcW w:w="502" w:type="pct"/>
                  <w:noWrap w:val="0"/>
                  <w:vAlign w:val="center"/>
                </w:tcPr>
                <w:p w14:paraId="281A42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设计值</w:t>
                  </w:r>
                </w:p>
              </w:tc>
              <w:tc>
                <w:tcPr>
                  <w:tcW w:w="502" w:type="pct"/>
                  <w:noWrap w:val="0"/>
                  <w:vAlign w:val="center"/>
                </w:tcPr>
                <w:p w14:paraId="3F0866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标准值</w:t>
                  </w:r>
                </w:p>
              </w:tc>
              <w:tc>
                <w:tcPr>
                  <w:tcW w:w="514" w:type="pct"/>
                  <w:noWrap w:val="0"/>
                  <w:vAlign w:val="center"/>
                </w:tcPr>
                <w:p w14:paraId="77869B9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rPr>
                  </w:pPr>
                  <w:r>
                    <w:rPr>
                      <w:rFonts w:hint="eastAsia" w:cs="Times New Roman"/>
                      <w:color w:val="auto"/>
                      <w:kern w:val="0"/>
                      <w:sz w:val="22"/>
                      <w:szCs w:val="22"/>
                      <w:lang w:val="en-US" w:eastAsia="zh-CN"/>
                    </w:rPr>
                    <w:t>设计值</w:t>
                  </w:r>
                </w:p>
              </w:tc>
            </w:tr>
            <w:tr w14:paraId="0960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275FEE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南侧民用建筑物</w:t>
                  </w:r>
                </w:p>
              </w:tc>
              <w:tc>
                <w:tcPr>
                  <w:tcW w:w="379" w:type="pct"/>
                  <w:noWrap w:val="0"/>
                  <w:vAlign w:val="center"/>
                </w:tcPr>
                <w:p w14:paraId="3A8EBD3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7.0</w:t>
                  </w:r>
                </w:p>
              </w:tc>
              <w:tc>
                <w:tcPr>
                  <w:tcW w:w="476" w:type="pct"/>
                  <w:noWrap w:val="0"/>
                  <w:vAlign w:val="center"/>
                </w:tcPr>
                <w:p w14:paraId="0A42F7B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30.24</w:t>
                  </w:r>
                </w:p>
              </w:tc>
              <w:tc>
                <w:tcPr>
                  <w:tcW w:w="410" w:type="pct"/>
                  <w:noWrap w:val="0"/>
                  <w:vAlign w:val="center"/>
                </w:tcPr>
                <w:p w14:paraId="1D349AA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7.0</w:t>
                  </w:r>
                </w:p>
              </w:tc>
              <w:tc>
                <w:tcPr>
                  <w:tcW w:w="502" w:type="pct"/>
                  <w:noWrap w:val="0"/>
                  <w:vAlign w:val="center"/>
                </w:tcPr>
                <w:p w14:paraId="0F8EFC9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13.70</w:t>
                  </w:r>
                </w:p>
              </w:tc>
              <w:tc>
                <w:tcPr>
                  <w:tcW w:w="503" w:type="pct"/>
                  <w:noWrap w:val="0"/>
                  <w:vAlign w:val="center"/>
                </w:tcPr>
                <w:p w14:paraId="6D2257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7.0</w:t>
                  </w:r>
                </w:p>
              </w:tc>
              <w:tc>
                <w:tcPr>
                  <w:tcW w:w="502" w:type="pct"/>
                  <w:noWrap w:val="0"/>
                  <w:vAlign w:val="center"/>
                </w:tcPr>
                <w:p w14:paraId="687ABE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22.48</w:t>
                  </w:r>
                </w:p>
              </w:tc>
              <w:tc>
                <w:tcPr>
                  <w:tcW w:w="502" w:type="pct"/>
                  <w:noWrap w:val="0"/>
                  <w:vAlign w:val="center"/>
                </w:tcPr>
                <w:p w14:paraId="51CACC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7.0</w:t>
                  </w:r>
                </w:p>
              </w:tc>
              <w:tc>
                <w:tcPr>
                  <w:tcW w:w="514" w:type="pct"/>
                  <w:noWrap w:val="0"/>
                  <w:vAlign w:val="center"/>
                </w:tcPr>
                <w:p w14:paraId="1287678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14.99</w:t>
                  </w:r>
                </w:p>
              </w:tc>
            </w:tr>
            <w:tr w14:paraId="1783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0A31D1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加油站原有箱式变压器</w:t>
                  </w:r>
                </w:p>
              </w:tc>
              <w:tc>
                <w:tcPr>
                  <w:tcW w:w="379" w:type="pct"/>
                  <w:noWrap w:val="0"/>
                  <w:vAlign w:val="center"/>
                </w:tcPr>
                <w:p w14:paraId="6039E5E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476" w:type="pct"/>
                  <w:noWrap w:val="0"/>
                  <w:vAlign w:val="center"/>
                </w:tcPr>
                <w:p w14:paraId="5C8B9C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14.5</w:t>
                  </w:r>
                </w:p>
              </w:tc>
              <w:tc>
                <w:tcPr>
                  <w:tcW w:w="410" w:type="pct"/>
                  <w:noWrap w:val="0"/>
                  <w:vAlign w:val="center"/>
                </w:tcPr>
                <w:p w14:paraId="5DEDEA9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02" w:type="pct"/>
                  <w:noWrap w:val="0"/>
                  <w:vAlign w:val="center"/>
                </w:tcPr>
                <w:p w14:paraId="398A871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40.51</w:t>
                  </w:r>
                </w:p>
              </w:tc>
              <w:tc>
                <w:tcPr>
                  <w:tcW w:w="503" w:type="pct"/>
                  <w:noWrap w:val="0"/>
                  <w:vAlign w:val="center"/>
                </w:tcPr>
                <w:p w14:paraId="62A2B4E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02" w:type="pct"/>
                  <w:noWrap w:val="0"/>
                  <w:vAlign w:val="center"/>
                </w:tcPr>
                <w:p w14:paraId="393C4D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14.7</w:t>
                  </w:r>
                </w:p>
              </w:tc>
              <w:tc>
                <w:tcPr>
                  <w:tcW w:w="502" w:type="pct"/>
                  <w:noWrap w:val="0"/>
                  <w:vAlign w:val="center"/>
                </w:tcPr>
                <w:p w14:paraId="416337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14" w:type="pct"/>
                  <w:noWrap w:val="0"/>
                  <w:vAlign w:val="center"/>
                </w:tcPr>
                <w:p w14:paraId="59BE71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40.3</w:t>
                  </w:r>
                </w:p>
              </w:tc>
            </w:tr>
            <w:tr w14:paraId="1E1B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3858ED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充电区新增箱式变压器</w:t>
                  </w:r>
                </w:p>
              </w:tc>
              <w:tc>
                <w:tcPr>
                  <w:tcW w:w="379" w:type="pct"/>
                  <w:noWrap w:val="0"/>
                  <w:vAlign w:val="center"/>
                </w:tcPr>
                <w:p w14:paraId="70B3040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476" w:type="pct"/>
                  <w:noWrap w:val="0"/>
                  <w:vAlign w:val="center"/>
                </w:tcPr>
                <w:p w14:paraId="3D212F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59.4</w:t>
                  </w:r>
                </w:p>
              </w:tc>
              <w:tc>
                <w:tcPr>
                  <w:tcW w:w="410" w:type="pct"/>
                  <w:noWrap w:val="0"/>
                  <w:vAlign w:val="center"/>
                </w:tcPr>
                <w:p w14:paraId="5659726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02" w:type="pct"/>
                  <w:noWrap w:val="0"/>
                  <w:vAlign w:val="center"/>
                </w:tcPr>
                <w:p w14:paraId="55B38F5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69.9</w:t>
                  </w:r>
                </w:p>
              </w:tc>
              <w:tc>
                <w:tcPr>
                  <w:tcW w:w="503" w:type="pct"/>
                  <w:noWrap w:val="0"/>
                  <w:vAlign w:val="center"/>
                </w:tcPr>
                <w:p w14:paraId="2B9443F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02" w:type="pct"/>
                  <w:noWrap w:val="0"/>
                  <w:vAlign w:val="center"/>
                </w:tcPr>
                <w:p w14:paraId="7F3EF3B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58.1</w:t>
                  </w:r>
                </w:p>
              </w:tc>
              <w:tc>
                <w:tcPr>
                  <w:tcW w:w="502" w:type="pct"/>
                  <w:noWrap w:val="0"/>
                  <w:vAlign w:val="center"/>
                </w:tcPr>
                <w:p w14:paraId="64DA81F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14" w:type="pct"/>
                  <w:noWrap w:val="0"/>
                  <w:vAlign w:val="center"/>
                </w:tcPr>
                <w:p w14:paraId="0151204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68.3</w:t>
                  </w:r>
                </w:p>
              </w:tc>
            </w:tr>
            <w:tr w14:paraId="59A2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54739E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西侧物流公司</w:t>
                  </w:r>
                </w:p>
              </w:tc>
              <w:tc>
                <w:tcPr>
                  <w:tcW w:w="379" w:type="pct"/>
                  <w:noWrap w:val="0"/>
                  <w:vAlign w:val="center"/>
                </w:tcPr>
                <w:p w14:paraId="2102262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476" w:type="pct"/>
                  <w:noWrap w:val="0"/>
                  <w:vAlign w:val="center"/>
                </w:tcPr>
                <w:p w14:paraId="4C6D379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58.42</w:t>
                  </w:r>
                </w:p>
              </w:tc>
              <w:tc>
                <w:tcPr>
                  <w:tcW w:w="410" w:type="pct"/>
                  <w:noWrap w:val="0"/>
                  <w:vAlign w:val="center"/>
                </w:tcPr>
                <w:p w14:paraId="04EBD2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02" w:type="pct"/>
                  <w:noWrap w:val="0"/>
                  <w:vAlign w:val="center"/>
                </w:tcPr>
                <w:p w14:paraId="0EBB1A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79.4</w:t>
                  </w:r>
                </w:p>
              </w:tc>
              <w:tc>
                <w:tcPr>
                  <w:tcW w:w="503" w:type="pct"/>
                  <w:noWrap w:val="0"/>
                  <w:vAlign w:val="center"/>
                </w:tcPr>
                <w:p w14:paraId="5B649E2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02" w:type="pct"/>
                  <w:noWrap w:val="0"/>
                  <w:vAlign w:val="center"/>
                </w:tcPr>
                <w:p w14:paraId="7C48004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58.8</w:t>
                  </w:r>
                </w:p>
              </w:tc>
              <w:tc>
                <w:tcPr>
                  <w:tcW w:w="502" w:type="pct"/>
                  <w:noWrap w:val="0"/>
                  <w:vAlign w:val="center"/>
                </w:tcPr>
                <w:p w14:paraId="23379E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10.5</w:t>
                  </w:r>
                </w:p>
              </w:tc>
              <w:tc>
                <w:tcPr>
                  <w:tcW w:w="514" w:type="pct"/>
                  <w:noWrap w:val="0"/>
                  <w:vAlign w:val="center"/>
                </w:tcPr>
                <w:p w14:paraId="6B06FED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80.9</w:t>
                  </w:r>
                </w:p>
              </w:tc>
            </w:tr>
            <w:tr w14:paraId="305A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1C85889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轨道交通五号线</w:t>
                  </w:r>
                </w:p>
              </w:tc>
              <w:tc>
                <w:tcPr>
                  <w:tcW w:w="379" w:type="pct"/>
                  <w:noWrap w:val="0"/>
                  <w:vAlign w:val="center"/>
                </w:tcPr>
                <w:p w14:paraId="10F439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15.5</w:t>
                  </w:r>
                </w:p>
              </w:tc>
              <w:tc>
                <w:tcPr>
                  <w:tcW w:w="476" w:type="pct"/>
                  <w:noWrap w:val="0"/>
                  <w:vAlign w:val="center"/>
                </w:tcPr>
                <w:p w14:paraId="1FA1AD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38.9</w:t>
                  </w:r>
                </w:p>
              </w:tc>
              <w:tc>
                <w:tcPr>
                  <w:tcW w:w="410" w:type="pct"/>
                  <w:noWrap w:val="0"/>
                  <w:vAlign w:val="center"/>
                </w:tcPr>
                <w:p w14:paraId="76CFD7D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15.5</w:t>
                  </w:r>
                </w:p>
              </w:tc>
              <w:tc>
                <w:tcPr>
                  <w:tcW w:w="502" w:type="pct"/>
                  <w:noWrap w:val="0"/>
                  <w:vAlign w:val="center"/>
                </w:tcPr>
                <w:p w14:paraId="13717E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57.5</w:t>
                  </w:r>
                </w:p>
              </w:tc>
              <w:tc>
                <w:tcPr>
                  <w:tcW w:w="503" w:type="pct"/>
                  <w:noWrap w:val="0"/>
                  <w:vAlign w:val="center"/>
                </w:tcPr>
                <w:p w14:paraId="74276CB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15.5</w:t>
                  </w:r>
                </w:p>
              </w:tc>
              <w:tc>
                <w:tcPr>
                  <w:tcW w:w="502" w:type="pct"/>
                  <w:noWrap w:val="0"/>
                  <w:vAlign w:val="center"/>
                </w:tcPr>
                <w:p w14:paraId="6218630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36.64</w:t>
                  </w:r>
                </w:p>
              </w:tc>
              <w:tc>
                <w:tcPr>
                  <w:tcW w:w="502" w:type="pct"/>
                  <w:noWrap w:val="0"/>
                  <w:vAlign w:val="center"/>
                </w:tcPr>
                <w:p w14:paraId="108FF9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15.5</w:t>
                  </w:r>
                </w:p>
              </w:tc>
              <w:tc>
                <w:tcPr>
                  <w:tcW w:w="514" w:type="pct"/>
                  <w:noWrap w:val="0"/>
                  <w:vAlign w:val="center"/>
                </w:tcPr>
                <w:p w14:paraId="469F2DD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55.4</w:t>
                  </w:r>
                </w:p>
              </w:tc>
            </w:tr>
            <w:tr w14:paraId="602D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2BA41A6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华福路</w:t>
                  </w:r>
                </w:p>
              </w:tc>
              <w:tc>
                <w:tcPr>
                  <w:tcW w:w="379" w:type="pct"/>
                  <w:noWrap w:val="0"/>
                  <w:vAlign w:val="center"/>
                </w:tcPr>
                <w:p w14:paraId="06AFA13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5.5</w:t>
                  </w:r>
                </w:p>
              </w:tc>
              <w:tc>
                <w:tcPr>
                  <w:tcW w:w="476" w:type="pct"/>
                  <w:noWrap w:val="0"/>
                  <w:vAlign w:val="center"/>
                </w:tcPr>
                <w:p w14:paraId="6163E30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30.3</w:t>
                  </w:r>
                </w:p>
              </w:tc>
              <w:tc>
                <w:tcPr>
                  <w:tcW w:w="410" w:type="pct"/>
                  <w:noWrap w:val="0"/>
                  <w:vAlign w:val="center"/>
                </w:tcPr>
                <w:p w14:paraId="20FFD2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5.0</w:t>
                  </w:r>
                </w:p>
              </w:tc>
              <w:tc>
                <w:tcPr>
                  <w:tcW w:w="502" w:type="pct"/>
                  <w:noWrap w:val="0"/>
                  <w:vAlign w:val="center"/>
                </w:tcPr>
                <w:p w14:paraId="751D034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48.1</w:t>
                  </w:r>
                </w:p>
              </w:tc>
              <w:tc>
                <w:tcPr>
                  <w:tcW w:w="503" w:type="pct"/>
                  <w:noWrap w:val="0"/>
                  <w:vAlign w:val="center"/>
                </w:tcPr>
                <w:p w14:paraId="22A1C6C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5.0</w:t>
                  </w:r>
                </w:p>
              </w:tc>
              <w:tc>
                <w:tcPr>
                  <w:tcW w:w="502" w:type="pct"/>
                  <w:noWrap w:val="0"/>
                  <w:vAlign w:val="center"/>
                </w:tcPr>
                <w:p w14:paraId="3ED7C62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27.3</w:t>
                  </w:r>
                </w:p>
              </w:tc>
              <w:tc>
                <w:tcPr>
                  <w:tcW w:w="502" w:type="pct"/>
                  <w:noWrap w:val="0"/>
                  <w:vAlign w:val="center"/>
                </w:tcPr>
                <w:p w14:paraId="022800D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5.0</w:t>
                  </w:r>
                </w:p>
              </w:tc>
              <w:tc>
                <w:tcPr>
                  <w:tcW w:w="514" w:type="pct"/>
                  <w:noWrap w:val="0"/>
                  <w:vAlign w:val="center"/>
                </w:tcPr>
                <w:p w14:paraId="7A37A7A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46.1</w:t>
                  </w:r>
                </w:p>
              </w:tc>
            </w:tr>
            <w:tr w14:paraId="6624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48E2739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2"/>
                      <w:szCs w:val="22"/>
                      <w:lang w:val="en-US" w:eastAsia="zh-CN"/>
                    </w:rPr>
                  </w:pPr>
                  <w:r>
                    <w:rPr>
                      <w:rFonts w:hint="eastAsia" w:cs="Times New Roman"/>
                      <w:color w:val="auto"/>
                      <w:kern w:val="0"/>
                      <w:sz w:val="22"/>
                      <w:szCs w:val="22"/>
                      <w:lang w:val="en-US" w:eastAsia="zh-CN"/>
                    </w:rPr>
                    <w:t>南侧10KV电力线</w:t>
                  </w:r>
                </w:p>
              </w:tc>
              <w:tc>
                <w:tcPr>
                  <w:tcW w:w="379" w:type="pct"/>
                  <w:noWrap w:val="0"/>
                  <w:vAlign w:val="center"/>
                </w:tcPr>
                <w:p w14:paraId="0BFC09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476" w:type="pct"/>
                  <w:noWrap w:val="0"/>
                  <w:vAlign w:val="center"/>
                </w:tcPr>
                <w:p w14:paraId="554CC09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56.04</w:t>
                  </w:r>
                </w:p>
              </w:tc>
              <w:tc>
                <w:tcPr>
                  <w:tcW w:w="410" w:type="pct"/>
                  <w:noWrap w:val="0"/>
                  <w:vAlign w:val="center"/>
                </w:tcPr>
                <w:p w14:paraId="2C0BFE3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06F3E4A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33.5</w:t>
                  </w:r>
                </w:p>
              </w:tc>
              <w:tc>
                <w:tcPr>
                  <w:tcW w:w="503" w:type="pct"/>
                  <w:noWrap w:val="0"/>
                  <w:vAlign w:val="center"/>
                </w:tcPr>
                <w:p w14:paraId="451C30B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517BC4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41.4</w:t>
                  </w:r>
                </w:p>
              </w:tc>
              <w:tc>
                <w:tcPr>
                  <w:tcW w:w="502" w:type="pct"/>
                  <w:noWrap w:val="0"/>
                  <w:vAlign w:val="center"/>
                </w:tcPr>
                <w:p w14:paraId="35FDE9A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14" w:type="pct"/>
                  <w:noWrap w:val="0"/>
                  <w:vAlign w:val="center"/>
                </w:tcPr>
                <w:p w14:paraId="2B133DF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31.9</w:t>
                  </w:r>
                </w:p>
              </w:tc>
            </w:tr>
            <w:tr w14:paraId="5384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103815E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olor w:val="auto"/>
                      <w:kern w:val="0"/>
                      <w:sz w:val="22"/>
                      <w:szCs w:val="22"/>
                      <w:lang w:val="en-US" w:eastAsia="zh-CN"/>
                    </w:rPr>
                  </w:pPr>
                  <w:r>
                    <w:rPr>
                      <w:rFonts w:hint="eastAsia" w:cs="Times New Roman"/>
                      <w:color w:val="auto"/>
                      <w:kern w:val="0"/>
                      <w:sz w:val="22"/>
                      <w:szCs w:val="22"/>
                      <w:lang w:val="en-US" w:eastAsia="zh-CN"/>
                    </w:rPr>
                    <w:t>东侧10KV电力线</w:t>
                  </w:r>
                </w:p>
              </w:tc>
              <w:tc>
                <w:tcPr>
                  <w:tcW w:w="379" w:type="pct"/>
                  <w:noWrap w:val="0"/>
                  <w:vAlign w:val="center"/>
                </w:tcPr>
                <w:p w14:paraId="0DC33F0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476" w:type="pct"/>
                  <w:noWrap w:val="0"/>
                  <w:vAlign w:val="center"/>
                </w:tcPr>
                <w:p w14:paraId="11B897A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24.12</w:t>
                  </w:r>
                </w:p>
              </w:tc>
              <w:tc>
                <w:tcPr>
                  <w:tcW w:w="410" w:type="pct"/>
                  <w:noWrap w:val="0"/>
                  <w:vAlign w:val="center"/>
                </w:tcPr>
                <w:p w14:paraId="4867EA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356DE55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42.8</w:t>
                  </w:r>
                </w:p>
              </w:tc>
              <w:tc>
                <w:tcPr>
                  <w:tcW w:w="503" w:type="pct"/>
                  <w:noWrap w:val="0"/>
                  <w:vAlign w:val="center"/>
                </w:tcPr>
                <w:p w14:paraId="55A7845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2758890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21.7</w:t>
                  </w:r>
                </w:p>
              </w:tc>
              <w:tc>
                <w:tcPr>
                  <w:tcW w:w="502" w:type="pct"/>
                  <w:noWrap w:val="0"/>
                  <w:vAlign w:val="center"/>
                </w:tcPr>
                <w:p w14:paraId="071C7D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14" w:type="pct"/>
                  <w:noWrap w:val="0"/>
                  <w:vAlign w:val="center"/>
                </w:tcPr>
                <w:p w14:paraId="451681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40.7</w:t>
                  </w:r>
                </w:p>
              </w:tc>
            </w:tr>
            <w:tr w14:paraId="14CA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3D165D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olor w:val="auto"/>
                      <w:kern w:val="0"/>
                      <w:sz w:val="22"/>
                      <w:szCs w:val="22"/>
                      <w:lang w:val="en-US" w:eastAsia="zh-CN"/>
                    </w:rPr>
                  </w:pPr>
                  <w:r>
                    <w:rPr>
                      <w:rFonts w:hint="eastAsia" w:cs="Times New Roman"/>
                      <w:color w:val="auto"/>
                      <w:kern w:val="0"/>
                      <w:sz w:val="22"/>
                      <w:szCs w:val="22"/>
                      <w:lang w:val="en-US" w:eastAsia="zh-CN"/>
                    </w:rPr>
                    <w:t>东侧10KV电力线</w:t>
                  </w:r>
                </w:p>
              </w:tc>
              <w:tc>
                <w:tcPr>
                  <w:tcW w:w="379" w:type="pct"/>
                  <w:noWrap w:val="0"/>
                  <w:vAlign w:val="center"/>
                </w:tcPr>
                <w:p w14:paraId="74DD08D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476" w:type="pct"/>
                  <w:noWrap w:val="0"/>
                  <w:vAlign w:val="center"/>
                </w:tcPr>
                <w:p w14:paraId="0243B2A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26.29</w:t>
                  </w:r>
                </w:p>
              </w:tc>
              <w:tc>
                <w:tcPr>
                  <w:tcW w:w="410" w:type="pct"/>
                  <w:noWrap w:val="0"/>
                  <w:vAlign w:val="center"/>
                </w:tcPr>
                <w:p w14:paraId="4BC59F1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0BB39F9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44.7</w:t>
                  </w:r>
                </w:p>
              </w:tc>
              <w:tc>
                <w:tcPr>
                  <w:tcW w:w="503" w:type="pct"/>
                  <w:noWrap w:val="0"/>
                  <w:vAlign w:val="center"/>
                </w:tcPr>
                <w:p w14:paraId="177A39E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433A83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23.9</w:t>
                  </w:r>
                </w:p>
              </w:tc>
              <w:tc>
                <w:tcPr>
                  <w:tcW w:w="502" w:type="pct"/>
                  <w:noWrap w:val="0"/>
                  <w:vAlign w:val="center"/>
                </w:tcPr>
                <w:p w14:paraId="69A09C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14" w:type="pct"/>
                  <w:noWrap w:val="0"/>
                  <w:vAlign w:val="center"/>
                </w:tcPr>
                <w:p w14:paraId="0B4777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40.1</w:t>
                  </w:r>
                </w:p>
              </w:tc>
            </w:tr>
            <w:tr w14:paraId="058F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9" w:type="pct"/>
                  <w:noWrap w:val="0"/>
                  <w:vAlign w:val="center"/>
                </w:tcPr>
                <w:p w14:paraId="51696C6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color w:val="auto"/>
                      <w:kern w:val="0"/>
                      <w:sz w:val="22"/>
                      <w:szCs w:val="22"/>
                      <w:lang w:val="en-US" w:eastAsia="zh-CN"/>
                    </w:rPr>
                  </w:pPr>
                  <w:r>
                    <w:rPr>
                      <w:rFonts w:hint="eastAsia" w:cs="Times New Roman"/>
                      <w:color w:val="auto"/>
                      <w:kern w:val="0"/>
                      <w:sz w:val="22"/>
                      <w:szCs w:val="22"/>
                      <w:lang w:val="en-US" w:eastAsia="zh-CN"/>
                    </w:rPr>
                    <w:t>东侧10KV电力线</w:t>
                  </w:r>
                </w:p>
              </w:tc>
              <w:tc>
                <w:tcPr>
                  <w:tcW w:w="379" w:type="pct"/>
                  <w:noWrap w:val="0"/>
                  <w:vAlign w:val="center"/>
                </w:tcPr>
                <w:p w14:paraId="67F69CF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476" w:type="pct"/>
                  <w:noWrap w:val="0"/>
                  <w:vAlign w:val="center"/>
                </w:tcPr>
                <w:p w14:paraId="6CD1D8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27.51</w:t>
                  </w:r>
                </w:p>
              </w:tc>
              <w:tc>
                <w:tcPr>
                  <w:tcW w:w="410" w:type="pct"/>
                  <w:noWrap w:val="0"/>
                  <w:vAlign w:val="center"/>
                </w:tcPr>
                <w:p w14:paraId="2FF3951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221209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46.1</w:t>
                  </w:r>
                </w:p>
              </w:tc>
              <w:tc>
                <w:tcPr>
                  <w:tcW w:w="503" w:type="pct"/>
                  <w:noWrap w:val="0"/>
                  <w:vAlign w:val="center"/>
                </w:tcPr>
                <w:p w14:paraId="71C8A61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02" w:type="pct"/>
                  <w:noWrap w:val="0"/>
                  <w:vAlign w:val="center"/>
                </w:tcPr>
                <w:p w14:paraId="013CCF4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25.7</w:t>
                  </w:r>
                </w:p>
              </w:tc>
              <w:tc>
                <w:tcPr>
                  <w:tcW w:w="502" w:type="pct"/>
                  <w:noWrap w:val="0"/>
                  <w:vAlign w:val="center"/>
                </w:tcPr>
                <w:p w14:paraId="46B8F96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6.5</w:t>
                  </w:r>
                </w:p>
              </w:tc>
              <w:tc>
                <w:tcPr>
                  <w:tcW w:w="514" w:type="pct"/>
                  <w:noWrap w:val="0"/>
                  <w:vAlign w:val="center"/>
                </w:tcPr>
                <w:p w14:paraId="1BE072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44.1</w:t>
                  </w:r>
                </w:p>
              </w:tc>
            </w:tr>
          </w:tbl>
          <w:p w14:paraId="2B8C3B71">
            <w:pPr>
              <w:autoSpaceDE w:val="0"/>
              <w:autoSpaceDN w:val="0"/>
              <w:adjustRightInd w:val="0"/>
              <w:snapToGrid w:val="0"/>
              <w:spacing w:line="460" w:lineRule="exact"/>
              <w:ind w:firstLine="520" w:firstLineChars="200"/>
              <w:rPr>
                <w:rFonts w:hint="eastAsia" w:ascii="Times New Roman" w:hAnsi="Times New Roman" w:eastAsia="宋体" w:cs="Times New Roman"/>
                <w:kern w:val="0"/>
                <w:sz w:val="26"/>
                <w:szCs w:val="26"/>
              </w:rPr>
            </w:pPr>
            <w:r>
              <w:rPr>
                <w:rFonts w:hint="eastAsia" w:ascii="Times New Roman" w:hAnsi="Times New Roman" w:eastAsia="宋体" w:cs="Times New Roman"/>
                <w:kern w:val="0"/>
                <w:sz w:val="26"/>
                <w:szCs w:val="26"/>
              </w:rPr>
              <w:t>根据上表分析结果，</w:t>
            </w:r>
            <w:r>
              <w:rPr>
                <w:rFonts w:hint="eastAsia"/>
                <w:sz w:val="26"/>
                <w:szCs w:val="26"/>
              </w:rPr>
              <w:t>现有站内建构筑物之间的间距、加油站与站外建构筑物间</w:t>
            </w:r>
            <w:r>
              <w:rPr>
                <w:rFonts w:hint="eastAsia" w:ascii="Times New Roman" w:hAnsi="Times New Roman" w:eastAsia="宋体" w:cs="Times New Roman"/>
                <w:kern w:val="0"/>
                <w:sz w:val="26"/>
                <w:szCs w:val="26"/>
              </w:rPr>
              <w:t>安全间距</w:t>
            </w:r>
            <w:r>
              <w:rPr>
                <w:rFonts w:hint="eastAsia" w:ascii="Times New Roman" w:hAnsi="Times New Roman" w:eastAsia="宋体" w:cs="Times New Roman"/>
                <w:kern w:val="0"/>
                <w:sz w:val="26"/>
                <w:szCs w:val="26"/>
                <w:lang w:val="en-US" w:eastAsia="zh-CN"/>
              </w:rPr>
              <w:t>均</w:t>
            </w:r>
            <w:r>
              <w:rPr>
                <w:rFonts w:hint="eastAsia" w:ascii="Times New Roman" w:hAnsi="Times New Roman" w:eastAsia="宋体" w:cs="Times New Roman"/>
                <w:kern w:val="0"/>
                <w:sz w:val="26"/>
                <w:szCs w:val="26"/>
              </w:rPr>
              <w:t>符合《汽车加油加气加氢站技术标准》（GB50156-2021）要求。</w:t>
            </w:r>
          </w:p>
          <w:p w14:paraId="5513DD77">
            <w:pPr>
              <w:autoSpaceDE w:val="0"/>
              <w:autoSpaceDN w:val="0"/>
              <w:adjustRightInd w:val="0"/>
              <w:snapToGrid w:val="0"/>
              <w:spacing w:line="460" w:lineRule="exact"/>
              <w:ind w:firstLine="520" w:firstLineChars="200"/>
              <w:rPr>
                <w:color w:val="auto"/>
              </w:rPr>
            </w:pPr>
            <w:r>
              <w:rPr>
                <w:rFonts w:hint="eastAsia" w:ascii="Times New Roman" w:hAnsi="Times New Roman" w:eastAsia="宋体" w:cs="Times New Roman"/>
                <w:kern w:val="0"/>
                <w:sz w:val="26"/>
                <w:szCs w:val="26"/>
              </w:rPr>
              <w:t>综上，</w:t>
            </w:r>
            <w:r>
              <w:rPr>
                <w:rFonts w:hint="eastAsia"/>
                <w:sz w:val="26"/>
                <w:szCs w:val="26"/>
              </w:rPr>
              <w:t>本项目区域交通便利，外环境关系简单，周边以</w:t>
            </w:r>
            <w:r>
              <w:rPr>
                <w:rFonts w:hint="eastAsia"/>
                <w:sz w:val="26"/>
                <w:szCs w:val="26"/>
                <w:lang w:val="en-US" w:eastAsia="zh-CN"/>
              </w:rPr>
              <w:t>少量</w:t>
            </w:r>
            <w:r>
              <w:rPr>
                <w:rFonts w:hint="eastAsia"/>
                <w:sz w:val="26"/>
                <w:szCs w:val="26"/>
              </w:rPr>
              <w:t>居民</w:t>
            </w:r>
            <w:r>
              <w:rPr>
                <w:rFonts w:hint="eastAsia"/>
                <w:sz w:val="26"/>
                <w:szCs w:val="26"/>
                <w:lang w:val="en-US" w:eastAsia="zh-CN"/>
              </w:rPr>
              <w:t>区及物流装配企业</w:t>
            </w:r>
            <w:r>
              <w:rPr>
                <w:rFonts w:hint="eastAsia"/>
                <w:sz w:val="26"/>
                <w:szCs w:val="26"/>
              </w:rPr>
              <w:t>为主，环境制约因素少。因此，从环境保护的角度考虑，本项目场地选址及总平面布置较为合理，项目总平面图见</w:t>
            </w:r>
            <w:r>
              <w:rPr>
                <w:rFonts w:hint="eastAsia"/>
                <w:b/>
                <w:bCs/>
                <w:sz w:val="26"/>
                <w:szCs w:val="26"/>
                <w:u w:val="single"/>
              </w:rPr>
              <w:t>附图</w:t>
            </w:r>
            <w:r>
              <w:rPr>
                <w:rFonts w:hint="eastAsia"/>
                <w:sz w:val="26"/>
                <w:szCs w:val="26"/>
              </w:rPr>
              <w:t>。</w:t>
            </w:r>
          </w:p>
        </w:tc>
      </w:tr>
    </w:tbl>
    <w:p w14:paraId="405D9E12">
      <w:pPr>
        <w:jc w:val="center"/>
        <w:outlineLvl w:val="0"/>
        <w:rPr>
          <w:sz w:val="26"/>
          <w:szCs w:val="26"/>
        </w:rPr>
        <w:sectPr>
          <w:pgSz w:w="11906" w:h="16838"/>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pPr>
    </w:p>
    <w:p w14:paraId="62860110">
      <w:pPr>
        <w:jc w:val="center"/>
        <w:outlineLvl w:val="0"/>
        <w:rPr>
          <w:rFonts w:eastAsia="黑体"/>
          <w:snapToGrid w:val="0"/>
          <w:sz w:val="30"/>
          <w:szCs w:val="30"/>
        </w:rPr>
      </w:pPr>
      <w:r>
        <w:rPr>
          <w:rFonts w:eastAsia="黑体"/>
          <w:snapToGrid w:val="0"/>
          <w:sz w:val="30"/>
          <w:szCs w:val="30"/>
        </w:rPr>
        <w:t>二、建设项目工程分析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226"/>
      </w:tblGrid>
      <w:tr w14:paraId="0CFA1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23" w:type="dxa"/>
            <w:vAlign w:val="center"/>
          </w:tcPr>
          <w:p w14:paraId="49E3AB90">
            <w:pPr>
              <w:adjustRightInd w:val="0"/>
              <w:snapToGrid w:val="0"/>
              <w:jc w:val="center"/>
              <w:rPr>
                <w:sz w:val="26"/>
                <w:szCs w:val="26"/>
              </w:rPr>
            </w:pPr>
            <w:r>
              <w:rPr>
                <w:sz w:val="26"/>
                <w:szCs w:val="26"/>
              </w:rPr>
              <w:t>建设内容</w:t>
            </w:r>
          </w:p>
        </w:tc>
        <w:tc>
          <w:tcPr>
            <w:tcW w:w="8161" w:type="dxa"/>
          </w:tcPr>
          <w:p w14:paraId="3E398A9B">
            <w:pPr>
              <w:adjustRightInd w:val="0"/>
              <w:snapToGrid w:val="0"/>
              <w:spacing w:line="460" w:lineRule="exact"/>
              <w:jc w:val="left"/>
              <w:rPr>
                <w:rFonts w:hint="default" w:eastAsia="宋体"/>
                <w:b/>
                <w:sz w:val="26"/>
                <w:szCs w:val="26"/>
                <w:lang w:val="en-US" w:eastAsia="zh-CN"/>
              </w:rPr>
            </w:pPr>
            <w:r>
              <w:rPr>
                <w:rFonts w:hint="eastAsia"/>
                <w:b/>
                <w:sz w:val="26"/>
                <w:szCs w:val="26"/>
              </w:rPr>
              <w:t>2.1项目由来</w:t>
            </w:r>
            <w:r>
              <w:rPr>
                <w:rFonts w:hint="eastAsia"/>
                <w:b/>
                <w:sz w:val="26"/>
                <w:szCs w:val="26"/>
                <w:lang w:val="en-US" w:eastAsia="zh-CN"/>
              </w:rPr>
              <w:t>及构思</w:t>
            </w:r>
          </w:p>
          <w:p w14:paraId="0BEC752C">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lang w:val="en-US" w:eastAsia="zh-CN"/>
              </w:rPr>
              <w:t>2.1.1项目由来</w:t>
            </w:r>
          </w:p>
          <w:p w14:paraId="474D53D1">
            <w:pPr>
              <w:adjustRightInd w:val="0"/>
              <w:snapToGrid w:val="0"/>
              <w:spacing w:line="460" w:lineRule="exact"/>
              <w:ind w:firstLine="520" w:firstLineChars="200"/>
              <w:rPr>
                <w:bCs/>
                <w:sz w:val="26"/>
                <w:szCs w:val="26"/>
              </w:rPr>
            </w:pPr>
            <w:r>
              <w:rPr>
                <w:rFonts w:hint="eastAsia"/>
                <w:bCs/>
                <w:sz w:val="26"/>
                <w:szCs w:val="26"/>
              </w:rPr>
              <w:t>中国石化销售股份有限公司重庆石油分公司华福路L-CNG加油加气站</w:t>
            </w:r>
            <w:r>
              <w:rPr>
                <w:rFonts w:hint="eastAsia"/>
                <w:bCs/>
                <w:sz w:val="26"/>
                <w:szCs w:val="26"/>
                <w:lang w:eastAsia="zh-CN"/>
              </w:rPr>
              <w:t>（</w:t>
            </w:r>
            <w:r>
              <w:rPr>
                <w:rFonts w:hint="eastAsia"/>
                <w:bCs/>
                <w:sz w:val="26"/>
                <w:szCs w:val="26"/>
                <w:lang w:val="en-US" w:eastAsia="zh-CN"/>
              </w:rPr>
              <w:t>以下简称华福路加油站</w:t>
            </w:r>
            <w:r>
              <w:rPr>
                <w:rFonts w:hint="eastAsia"/>
                <w:bCs/>
                <w:sz w:val="26"/>
                <w:szCs w:val="26"/>
                <w:lang w:eastAsia="zh-CN"/>
              </w:rPr>
              <w:t>）</w:t>
            </w:r>
            <w:r>
              <w:rPr>
                <w:rFonts w:hint="eastAsia"/>
                <w:bCs/>
                <w:sz w:val="26"/>
                <w:szCs w:val="26"/>
              </w:rPr>
              <w:t>位于</w:t>
            </w:r>
            <w:r>
              <w:rPr>
                <w:rFonts w:hint="eastAsia"/>
                <w:sz w:val="26"/>
                <w:szCs w:val="26"/>
              </w:rPr>
              <w:t>重庆市九龙坡区华福大道北段400号</w:t>
            </w:r>
            <w:r>
              <w:rPr>
                <w:rFonts w:hint="eastAsia"/>
                <w:bCs/>
                <w:sz w:val="26"/>
                <w:szCs w:val="26"/>
              </w:rPr>
              <w:t>，</w:t>
            </w:r>
            <w:r>
              <w:rPr>
                <w:rFonts w:hint="eastAsia"/>
                <w:bCs/>
                <w:color w:val="auto"/>
                <w:sz w:val="26"/>
                <w:szCs w:val="26"/>
              </w:rPr>
              <w:t>占地面积</w:t>
            </w:r>
            <w:r>
              <w:rPr>
                <w:rFonts w:hint="eastAsia"/>
                <w:bCs/>
                <w:color w:val="auto"/>
                <w:sz w:val="26"/>
                <w:szCs w:val="26"/>
                <w:lang w:val="en-US" w:eastAsia="zh-CN"/>
              </w:rPr>
              <w:t>3110.4</w:t>
            </w:r>
            <w:r>
              <w:rPr>
                <w:rFonts w:hint="eastAsia"/>
                <w:bCs/>
                <w:color w:val="auto"/>
                <w:sz w:val="26"/>
                <w:szCs w:val="26"/>
              </w:rPr>
              <w:t>m</w:t>
            </w:r>
            <w:r>
              <w:rPr>
                <w:rFonts w:hint="eastAsia"/>
                <w:bCs/>
                <w:color w:val="auto"/>
                <w:sz w:val="26"/>
                <w:szCs w:val="26"/>
                <w:vertAlign w:val="superscript"/>
              </w:rPr>
              <w:t>2</w:t>
            </w:r>
            <w:r>
              <w:rPr>
                <w:rFonts w:hint="eastAsia"/>
                <w:bCs/>
                <w:color w:val="auto"/>
                <w:sz w:val="26"/>
                <w:szCs w:val="26"/>
              </w:rPr>
              <w:t>，建筑面积</w:t>
            </w:r>
            <w:r>
              <w:rPr>
                <w:rFonts w:hint="eastAsia"/>
                <w:bCs/>
                <w:color w:val="auto"/>
                <w:sz w:val="26"/>
                <w:szCs w:val="26"/>
                <w:lang w:val="en-US" w:eastAsia="zh-CN"/>
              </w:rPr>
              <w:t>1270.96</w:t>
            </w:r>
            <w:r>
              <w:rPr>
                <w:rFonts w:hint="eastAsia"/>
                <w:bCs/>
                <w:color w:val="auto"/>
                <w:sz w:val="26"/>
                <w:szCs w:val="26"/>
              </w:rPr>
              <w:t>m</w:t>
            </w:r>
            <w:r>
              <w:rPr>
                <w:rFonts w:hint="eastAsia"/>
                <w:bCs/>
                <w:color w:val="auto"/>
                <w:sz w:val="26"/>
                <w:szCs w:val="26"/>
                <w:vertAlign w:val="superscript"/>
              </w:rPr>
              <w:t>2</w:t>
            </w:r>
            <w:r>
              <w:rPr>
                <w:rFonts w:hint="eastAsia"/>
                <w:bCs/>
                <w:color w:val="auto"/>
                <w:sz w:val="26"/>
                <w:szCs w:val="26"/>
                <w:vertAlign w:val="baseline"/>
                <w:lang w:eastAsia="zh-CN"/>
              </w:rPr>
              <w:t>（</w:t>
            </w:r>
            <w:r>
              <w:rPr>
                <w:rFonts w:hint="eastAsia"/>
                <w:bCs/>
                <w:color w:val="auto"/>
                <w:sz w:val="26"/>
                <w:szCs w:val="26"/>
                <w:vertAlign w:val="baseline"/>
                <w:lang w:val="en-US" w:eastAsia="zh-CN"/>
              </w:rPr>
              <w:t>含罩棚面积</w:t>
            </w:r>
            <w:r>
              <w:rPr>
                <w:rFonts w:hint="eastAsia"/>
                <w:bCs/>
                <w:color w:val="auto"/>
                <w:sz w:val="26"/>
                <w:szCs w:val="26"/>
                <w:vertAlign w:val="baseline"/>
                <w:lang w:eastAsia="zh-CN"/>
              </w:rPr>
              <w:t>）</w:t>
            </w:r>
            <w:r>
              <w:rPr>
                <w:rFonts w:hint="eastAsia"/>
                <w:bCs/>
                <w:color w:val="auto"/>
                <w:sz w:val="26"/>
                <w:szCs w:val="26"/>
              </w:rPr>
              <w:t>，于20</w:t>
            </w:r>
            <w:r>
              <w:rPr>
                <w:rFonts w:hint="eastAsia"/>
                <w:bCs/>
                <w:color w:val="auto"/>
                <w:sz w:val="26"/>
                <w:szCs w:val="26"/>
                <w:lang w:val="en-US" w:eastAsia="zh-CN"/>
              </w:rPr>
              <w:t>10</w:t>
            </w:r>
            <w:r>
              <w:rPr>
                <w:rFonts w:hint="eastAsia"/>
                <w:bCs/>
                <w:color w:val="auto"/>
                <w:sz w:val="26"/>
                <w:szCs w:val="26"/>
              </w:rPr>
              <w:t>年投运，</w:t>
            </w:r>
            <w:r>
              <w:rPr>
                <w:rFonts w:hint="eastAsia"/>
                <w:bCs/>
                <w:sz w:val="26"/>
                <w:szCs w:val="26"/>
              </w:rPr>
              <w:t>主要从事汽、柴油</w:t>
            </w:r>
            <w:r>
              <w:rPr>
                <w:rFonts w:hint="eastAsia"/>
                <w:bCs/>
                <w:sz w:val="26"/>
                <w:szCs w:val="26"/>
                <w:lang w:val="en-US" w:eastAsia="zh-CN"/>
              </w:rPr>
              <w:t>和LNG</w:t>
            </w:r>
            <w:r>
              <w:rPr>
                <w:rFonts w:hint="eastAsia"/>
                <w:bCs/>
                <w:sz w:val="26"/>
                <w:szCs w:val="26"/>
              </w:rPr>
              <w:t>零售业务</w:t>
            </w:r>
            <w:r>
              <w:rPr>
                <w:rFonts w:hint="eastAsia"/>
                <w:bCs/>
                <w:sz w:val="26"/>
                <w:szCs w:val="26"/>
                <w:lang w:eastAsia="zh-CN"/>
              </w:rPr>
              <w:t>（</w:t>
            </w:r>
            <w:r>
              <w:rPr>
                <w:rFonts w:hint="eastAsia"/>
                <w:bCs/>
                <w:sz w:val="26"/>
                <w:szCs w:val="26"/>
                <w:lang w:val="en-US" w:eastAsia="zh-CN"/>
              </w:rPr>
              <w:t>L-CNG零售业务已停止运行多年</w:t>
            </w:r>
            <w:r>
              <w:rPr>
                <w:rFonts w:hint="eastAsia"/>
                <w:bCs/>
                <w:sz w:val="26"/>
                <w:szCs w:val="26"/>
                <w:lang w:eastAsia="zh-CN"/>
              </w:rPr>
              <w:t>）</w:t>
            </w:r>
            <w:r>
              <w:rPr>
                <w:rFonts w:hint="eastAsia"/>
                <w:bCs/>
                <w:sz w:val="26"/>
                <w:szCs w:val="26"/>
              </w:rPr>
              <w:t>。项目</w:t>
            </w:r>
            <w:r>
              <w:rPr>
                <w:rFonts w:hint="eastAsia"/>
                <w:bCs/>
                <w:sz w:val="26"/>
                <w:szCs w:val="26"/>
                <w:lang w:val="en-US" w:eastAsia="zh-CN"/>
              </w:rPr>
              <w:t>现状设有</w:t>
            </w:r>
            <w:r>
              <w:rPr>
                <w:rFonts w:hint="eastAsia"/>
                <w:bCs/>
                <w:sz w:val="26"/>
                <w:szCs w:val="26"/>
              </w:rPr>
              <w:t>2个</w:t>
            </w:r>
            <w:r>
              <w:rPr>
                <w:rFonts w:hint="eastAsia"/>
                <w:bCs/>
                <w:sz w:val="26"/>
                <w:szCs w:val="26"/>
                <w:lang w:val="en-US" w:eastAsia="zh-CN"/>
              </w:rPr>
              <w:t>15</w:t>
            </w:r>
            <w:r>
              <w:rPr>
                <w:rFonts w:hint="eastAsia"/>
                <w:bCs/>
                <w:sz w:val="26"/>
                <w:szCs w:val="26"/>
              </w:rPr>
              <w:t>m</w:t>
            </w:r>
            <w:r>
              <w:rPr>
                <w:rFonts w:hint="eastAsia"/>
                <w:bCs/>
                <w:sz w:val="26"/>
                <w:szCs w:val="26"/>
                <w:vertAlign w:val="superscript"/>
                <w:lang w:val="en-US" w:eastAsia="zh-CN"/>
              </w:rPr>
              <w:t>3</w:t>
            </w:r>
            <w:r>
              <w:rPr>
                <w:rFonts w:hint="eastAsia"/>
                <w:bCs/>
                <w:sz w:val="26"/>
                <w:szCs w:val="26"/>
                <w:vertAlign w:val="baseline"/>
                <w:lang w:val="en-US" w:eastAsia="zh-CN"/>
              </w:rPr>
              <w:t>0#</w:t>
            </w:r>
            <w:r>
              <w:rPr>
                <w:rFonts w:hint="eastAsia"/>
                <w:bCs/>
                <w:sz w:val="26"/>
                <w:szCs w:val="26"/>
              </w:rPr>
              <w:t>柴油罐</w:t>
            </w:r>
            <w:r>
              <w:rPr>
                <w:rFonts w:hint="eastAsia"/>
                <w:bCs/>
                <w:sz w:val="26"/>
                <w:szCs w:val="26"/>
                <w:lang w:eastAsia="zh-CN"/>
              </w:rPr>
              <w:t>，</w:t>
            </w:r>
            <w:r>
              <w:rPr>
                <w:rFonts w:hint="eastAsia"/>
                <w:bCs/>
                <w:sz w:val="26"/>
                <w:szCs w:val="26"/>
              </w:rPr>
              <w:t>2个</w:t>
            </w:r>
            <w:r>
              <w:rPr>
                <w:rFonts w:hint="eastAsia"/>
                <w:bCs/>
                <w:sz w:val="26"/>
                <w:szCs w:val="26"/>
                <w:lang w:val="en-US" w:eastAsia="zh-CN"/>
              </w:rPr>
              <w:t>15m</w:t>
            </w:r>
            <w:r>
              <w:rPr>
                <w:rFonts w:hint="eastAsia"/>
                <w:bCs/>
                <w:sz w:val="26"/>
                <w:szCs w:val="26"/>
                <w:vertAlign w:val="superscript"/>
                <w:lang w:val="en-US" w:eastAsia="zh-CN"/>
              </w:rPr>
              <w:t>3</w:t>
            </w:r>
            <w:r>
              <w:rPr>
                <w:rFonts w:hint="eastAsia"/>
                <w:bCs/>
                <w:sz w:val="26"/>
                <w:szCs w:val="26"/>
              </w:rPr>
              <w:t>汽油罐</w:t>
            </w:r>
            <w:r>
              <w:rPr>
                <w:rFonts w:hint="eastAsia"/>
                <w:bCs/>
                <w:sz w:val="26"/>
                <w:szCs w:val="26"/>
                <w:lang w:eastAsia="zh-CN"/>
              </w:rPr>
              <w:t>（</w:t>
            </w:r>
            <w:r>
              <w:rPr>
                <w:rFonts w:hint="eastAsia"/>
                <w:bCs/>
                <w:sz w:val="26"/>
                <w:szCs w:val="26"/>
                <w:lang w:val="en-US" w:eastAsia="zh-CN"/>
              </w:rPr>
              <w:t>92#和95#</w:t>
            </w:r>
            <w:r>
              <w:rPr>
                <w:rFonts w:hint="eastAsia"/>
                <w:bCs/>
                <w:sz w:val="26"/>
                <w:szCs w:val="26"/>
                <w:lang w:eastAsia="zh-CN"/>
              </w:rPr>
              <w:t>），</w:t>
            </w:r>
            <w:r>
              <w:rPr>
                <w:rFonts w:hint="eastAsia"/>
                <w:bCs/>
                <w:sz w:val="26"/>
                <w:szCs w:val="26"/>
              </w:rPr>
              <w:t>总罐容为</w:t>
            </w:r>
            <w:r>
              <w:rPr>
                <w:rFonts w:hint="eastAsia"/>
                <w:bCs/>
                <w:sz w:val="26"/>
                <w:szCs w:val="26"/>
                <w:lang w:val="en-US" w:eastAsia="zh-CN"/>
              </w:rPr>
              <w:t>60</w:t>
            </w:r>
            <w:r>
              <w:rPr>
                <w:rFonts w:hint="eastAsia"/>
                <w:bCs/>
                <w:sz w:val="26"/>
                <w:szCs w:val="26"/>
              </w:rPr>
              <w:t>m</w:t>
            </w:r>
            <w:r>
              <w:rPr>
                <w:rFonts w:hint="eastAsia"/>
                <w:bCs/>
                <w:sz w:val="26"/>
                <w:szCs w:val="26"/>
                <w:vertAlign w:val="superscript"/>
                <w:lang w:val="en-US" w:eastAsia="zh-CN"/>
              </w:rPr>
              <w:t>3</w:t>
            </w:r>
            <w:r>
              <w:rPr>
                <w:rFonts w:hint="eastAsia"/>
                <w:bCs/>
                <w:sz w:val="26"/>
                <w:szCs w:val="26"/>
                <w:lang w:eastAsia="zh-CN"/>
              </w:rPr>
              <w:t>，</w:t>
            </w:r>
            <w:r>
              <w:rPr>
                <w:rFonts w:hint="eastAsia"/>
                <w:bCs/>
                <w:sz w:val="26"/>
                <w:szCs w:val="26"/>
              </w:rPr>
              <w:t>折合后罐容为</w:t>
            </w:r>
            <w:r>
              <w:rPr>
                <w:rFonts w:hint="eastAsia"/>
                <w:bCs/>
                <w:sz w:val="26"/>
                <w:szCs w:val="26"/>
                <w:lang w:val="en-US" w:eastAsia="zh-CN"/>
              </w:rPr>
              <w:t>45</w:t>
            </w:r>
            <w:r>
              <w:rPr>
                <w:rFonts w:hint="eastAsia"/>
                <w:bCs/>
                <w:sz w:val="26"/>
                <w:szCs w:val="26"/>
              </w:rPr>
              <w:t>m</w:t>
            </w:r>
            <w:r>
              <w:rPr>
                <w:rFonts w:hint="eastAsia"/>
                <w:bCs/>
                <w:sz w:val="26"/>
                <w:szCs w:val="26"/>
                <w:vertAlign w:val="superscript"/>
                <w:lang w:val="en-US" w:eastAsia="zh-CN"/>
              </w:rPr>
              <w:t>3</w:t>
            </w:r>
            <w:r>
              <w:rPr>
                <w:rFonts w:hint="eastAsia"/>
                <w:bCs/>
                <w:sz w:val="26"/>
                <w:szCs w:val="26"/>
                <w:lang w:eastAsia="zh-CN"/>
              </w:rPr>
              <w:t>（</w:t>
            </w:r>
            <w:r>
              <w:rPr>
                <w:rFonts w:hint="eastAsia"/>
                <w:bCs/>
                <w:sz w:val="26"/>
                <w:szCs w:val="26"/>
              </w:rPr>
              <w:t>柴油折半计算</w:t>
            </w:r>
            <w:r>
              <w:rPr>
                <w:rFonts w:hint="eastAsia"/>
                <w:bCs/>
                <w:sz w:val="26"/>
                <w:szCs w:val="26"/>
                <w:lang w:eastAsia="zh-CN"/>
              </w:rPr>
              <w:t>），</w:t>
            </w:r>
            <w:r>
              <w:rPr>
                <w:rFonts w:hint="eastAsia"/>
                <w:bCs/>
                <w:sz w:val="26"/>
                <w:szCs w:val="26"/>
              </w:rPr>
              <w:t>LNG储罐总容积为60m</w:t>
            </w:r>
            <w:r>
              <w:rPr>
                <w:rFonts w:hint="eastAsia"/>
                <w:bCs/>
                <w:sz w:val="26"/>
                <w:szCs w:val="26"/>
                <w:vertAlign w:val="superscript"/>
                <w:lang w:val="en-US" w:eastAsia="zh-CN"/>
              </w:rPr>
              <w:t>3</w:t>
            </w:r>
            <w:r>
              <w:rPr>
                <w:rFonts w:hint="eastAsia"/>
                <w:bCs/>
                <w:sz w:val="26"/>
                <w:szCs w:val="26"/>
                <w:lang w:eastAsia="zh-CN"/>
              </w:rPr>
              <w:t>（</w:t>
            </w:r>
            <w:r>
              <w:rPr>
                <w:rFonts w:hint="eastAsia"/>
                <w:bCs/>
                <w:sz w:val="26"/>
                <w:szCs w:val="26"/>
              </w:rPr>
              <w:t>停用</w:t>
            </w:r>
            <w:r>
              <w:rPr>
                <w:rFonts w:hint="eastAsia"/>
                <w:bCs/>
                <w:sz w:val="26"/>
                <w:szCs w:val="26"/>
                <w:lang w:eastAsia="zh-CN"/>
              </w:rPr>
              <w:t>），</w:t>
            </w:r>
            <w:r>
              <w:rPr>
                <w:rFonts w:hint="eastAsia"/>
                <w:bCs/>
                <w:sz w:val="26"/>
                <w:szCs w:val="26"/>
              </w:rPr>
              <w:t>CNG储气井</w:t>
            </w:r>
            <w:r>
              <w:rPr>
                <w:rFonts w:hint="eastAsia"/>
                <w:bCs/>
                <w:sz w:val="26"/>
                <w:szCs w:val="26"/>
                <w:lang w:eastAsia="zh-CN"/>
              </w:rPr>
              <w:t>（</w:t>
            </w:r>
            <w:r>
              <w:rPr>
                <w:rFonts w:hint="eastAsia"/>
                <w:bCs/>
                <w:sz w:val="26"/>
                <w:szCs w:val="26"/>
              </w:rPr>
              <w:t>3口</w:t>
            </w:r>
            <w:r>
              <w:rPr>
                <w:rFonts w:hint="eastAsia"/>
                <w:bCs/>
                <w:sz w:val="26"/>
                <w:szCs w:val="26"/>
                <w:lang w:eastAsia="zh-CN"/>
              </w:rPr>
              <w:t>，</w:t>
            </w:r>
            <w:r>
              <w:rPr>
                <w:rFonts w:hint="eastAsia"/>
                <w:bCs/>
                <w:sz w:val="26"/>
                <w:szCs w:val="26"/>
              </w:rPr>
              <w:t>1m</w:t>
            </w:r>
            <w:r>
              <w:rPr>
                <w:rFonts w:hint="eastAsia"/>
                <w:bCs/>
                <w:sz w:val="26"/>
                <w:szCs w:val="26"/>
                <w:vertAlign w:val="superscript"/>
              </w:rPr>
              <w:t>3</w:t>
            </w:r>
            <w:r>
              <w:rPr>
                <w:rFonts w:hint="eastAsia"/>
                <w:bCs/>
                <w:sz w:val="26"/>
                <w:szCs w:val="26"/>
              </w:rPr>
              <w:t>、2m</w:t>
            </w:r>
            <w:r>
              <w:rPr>
                <w:rFonts w:hint="eastAsia"/>
                <w:bCs/>
                <w:sz w:val="26"/>
                <w:szCs w:val="26"/>
                <w:vertAlign w:val="superscript"/>
              </w:rPr>
              <w:t>3</w:t>
            </w:r>
            <w:r>
              <w:rPr>
                <w:rFonts w:hint="eastAsia"/>
                <w:bCs/>
                <w:sz w:val="26"/>
                <w:szCs w:val="26"/>
              </w:rPr>
              <w:t>、3m</w:t>
            </w:r>
            <w:r>
              <w:rPr>
                <w:rFonts w:hint="eastAsia"/>
                <w:bCs/>
                <w:sz w:val="26"/>
                <w:szCs w:val="26"/>
                <w:vertAlign w:val="superscript"/>
                <w:lang w:val="en-US" w:eastAsia="zh-CN"/>
              </w:rPr>
              <w:t>3</w:t>
            </w:r>
            <w:r>
              <w:rPr>
                <w:rFonts w:hint="eastAsia"/>
                <w:bCs/>
                <w:sz w:val="26"/>
                <w:szCs w:val="26"/>
              </w:rPr>
              <w:t>各1口</w:t>
            </w:r>
            <w:r>
              <w:rPr>
                <w:rFonts w:hint="eastAsia"/>
                <w:bCs/>
                <w:sz w:val="26"/>
                <w:szCs w:val="26"/>
                <w:lang w:eastAsia="zh-CN"/>
              </w:rPr>
              <w:t>）</w:t>
            </w:r>
            <w:r>
              <w:rPr>
                <w:rFonts w:hint="eastAsia"/>
                <w:bCs/>
                <w:sz w:val="26"/>
                <w:szCs w:val="26"/>
              </w:rPr>
              <w:t>总容积为6m</w:t>
            </w:r>
            <w:r>
              <w:rPr>
                <w:rFonts w:hint="eastAsia"/>
                <w:bCs/>
                <w:sz w:val="26"/>
                <w:szCs w:val="26"/>
                <w:vertAlign w:val="superscript"/>
              </w:rPr>
              <w:t>3</w:t>
            </w:r>
            <w:r>
              <w:rPr>
                <w:rFonts w:hint="eastAsia"/>
                <w:bCs/>
                <w:sz w:val="26"/>
                <w:szCs w:val="26"/>
                <w:lang w:eastAsia="zh-CN"/>
              </w:rPr>
              <w:t>（</w:t>
            </w:r>
            <w:r>
              <w:rPr>
                <w:rFonts w:hint="eastAsia"/>
                <w:bCs/>
                <w:sz w:val="26"/>
                <w:szCs w:val="26"/>
              </w:rPr>
              <w:t>停用</w:t>
            </w:r>
            <w:r>
              <w:rPr>
                <w:rFonts w:hint="eastAsia"/>
                <w:bCs/>
                <w:sz w:val="26"/>
                <w:szCs w:val="26"/>
                <w:lang w:eastAsia="zh-CN"/>
              </w:rPr>
              <w:t>）</w:t>
            </w:r>
            <w:r>
              <w:rPr>
                <w:rFonts w:hint="eastAsia"/>
                <w:bCs/>
                <w:sz w:val="26"/>
                <w:szCs w:val="26"/>
              </w:rPr>
              <w:t>。</w:t>
            </w:r>
            <w:r>
              <w:rPr>
                <w:rFonts w:hint="eastAsia" w:cs="Times New Roman"/>
                <w:bCs/>
                <w:sz w:val="26"/>
                <w:szCs w:val="26"/>
                <w:lang w:val="en-US" w:eastAsia="zh-CN"/>
              </w:rPr>
              <w:t>六</w:t>
            </w:r>
            <w:r>
              <w:rPr>
                <w:rFonts w:hint="eastAsia" w:ascii="Times New Roman" w:hAnsi="Times New Roman" w:eastAsia="宋体" w:cs="Times New Roman"/>
                <w:bCs/>
                <w:sz w:val="26"/>
                <w:szCs w:val="26"/>
              </w:rPr>
              <w:t>枪加油</w:t>
            </w:r>
            <w:r>
              <w:rPr>
                <w:rFonts w:hint="eastAsia"/>
                <w:bCs/>
                <w:sz w:val="26"/>
                <w:szCs w:val="26"/>
              </w:rPr>
              <w:t>机</w:t>
            </w:r>
            <w:r>
              <w:rPr>
                <w:rFonts w:hint="eastAsia"/>
                <w:bCs/>
                <w:sz w:val="26"/>
                <w:szCs w:val="26"/>
                <w:lang w:val="en-US" w:eastAsia="zh-CN"/>
              </w:rPr>
              <w:t>1</w:t>
            </w:r>
            <w:r>
              <w:rPr>
                <w:rFonts w:hint="eastAsia"/>
                <w:bCs/>
                <w:sz w:val="26"/>
                <w:szCs w:val="26"/>
              </w:rPr>
              <w:t>台</w:t>
            </w:r>
            <w:r>
              <w:rPr>
                <w:rFonts w:hint="eastAsia"/>
                <w:bCs/>
                <w:sz w:val="26"/>
                <w:szCs w:val="26"/>
                <w:lang w:eastAsia="zh-CN"/>
              </w:rPr>
              <w:t>，</w:t>
            </w:r>
            <w:r>
              <w:rPr>
                <w:rFonts w:hint="eastAsia"/>
                <w:bCs/>
                <w:sz w:val="26"/>
                <w:szCs w:val="26"/>
                <w:lang w:val="en-US" w:eastAsia="zh-CN"/>
              </w:rPr>
              <w:t>双枪加油机2台</w:t>
            </w:r>
            <w:r>
              <w:rPr>
                <w:rFonts w:hint="eastAsia"/>
                <w:bCs/>
                <w:sz w:val="26"/>
                <w:szCs w:val="26"/>
              </w:rPr>
              <w:t>，配套1座站房及公辅设施。</w:t>
            </w:r>
          </w:p>
          <w:p w14:paraId="5BEB3732">
            <w:pPr>
              <w:adjustRightInd w:val="0"/>
              <w:snapToGrid w:val="0"/>
              <w:spacing w:line="460" w:lineRule="exact"/>
              <w:ind w:firstLine="520" w:firstLineChars="200"/>
              <w:rPr>
                <w:bCs/>
                <w:sz w:val="26"/>
                <w:szCs w:val="26"/>
              </w:rPr>
            </w:pPr>
            <w:r>
              <w:rPr>
                <w:rFonts w:hint="eastAsia"/>
                <w:bCs/>
                <w:sz w:val="26"/>
                <w:szCs w:val="26"/>
              </w:rPr>
              <w:t>时至2</w:t>
            </w:r>
            <w:r>
              <w:rPr>
                <w:bCs/>
                <w:sz w:val="26"/>
                <w:szCs w:val="26"/>
              </w:rPr>
              <w:t>0</w:t>
            </w:r>
            <w:r>
              <w:rPr>
                <w:rFonts w:hint="eastAsia"/>
                <w:bCs/>
                <w:sz w:val="26"/>
                <w:szCs w:val="26"/>
              </w:rPr>
              <w:t>25年，</w:t>
            </w:r>
            <w:r>
              <w:rPr>
                <w:rFonts w:hint="eastAsia"/>
                <w:bCs/>
                <w:sz w:val="26"/>
                <w:szCs w:val="26"/>
                <w:lang w:val="en-US" w:eastAsia="zh-CN"/>
              </w:rPr>
              <w:t>华福路</w:t>
            </w:r>
            <w:r>
              <w:rPr>
                <w:rFonts w:hint="eastAsia"/>
                <w:bCs/>
                <w:sz w:val="26"/>
                <w:szCs w:val="26"/>
              </w:rPr>
              <w:t>加油站经营时间已有</w:t>
            </w:r>
            <w:r>
              <w:rPr>
                <w:rFonts w:hint="eastAsia"/>
                <w:bCs/>
                <w:color w:val="auto"/>
                <w:sz w:val="26"/>
                <w:szCs w:val="26"/>
                <w:lang w:val="en-US" w:eastAsia="zh-CN"/>
              </w:rPr>
              <w:t>10</w:t>
            </w:r>
            <w:r>
              <w:rPr>
                <w:rFonts w:hint="eastAsia"/>
                <w:bCs/>
                <w:color w:val="auto"/>
                <w:sz w:val="26"/>
                <w:szCs w:val="26"/>
              </w:rPr>
              <w:t>余</w:t>
            </w:r>
            <w:r>
              <w:rPr>
                <w:rFonts w:hint="eastAsia"/>
                <w:bCs/>
                <w:sz w:val="26"/>
                <w:szCs w:val="26"/>
              </w:rPr>
              <w:t>年，</w:t>
            </w:r>
            <w:r>
              <w:rPr>
                <w:rFonts w:hint="eastAsia"/>
                <w:bCs/>
                <w:sz w:val="26"/>
                <w:szCs w:val="26"/>
                <w:lang w:val="en-US" w:eastAsia="zh-CN"/>
              </w:rPr>
              <w:t>由于</w:t>
            </w:r>
            <w:r>
              <w:rPr>
                <w:rFonts w:hint="eastAsia"/>
                <w:bCs/>
                <w:sz w:val="26"/>
                <w:szCs w:val="26"/>
              </w:rPr>
              <w:t>加油站</w:t>
            </w:r>
            <w:r>
              <w:rPr>
                <w:rFonts w:hint="eastAsia"/>
                <w:bCs/>
                <w:sz w:val="26"/>
                <w:szCs w:val="26"/>
                <w:lang w:val="en-US" w:eastAsia="zh-CN"/>
              </w:rPr>
              <w:t>各油品</w:t>
            </w:r>
            <w:r>
              <w:rPr>
                <w:rFonts w:hint="eastAsia"/>
                <w:bCs/>
                <w:sz w:val="26"/>
                <w:szCs w:val="26"/>
              </w:rPr>
              <w:t>加油能力不足，</w:t>
            </w:r>
            <w:r>
              <w:rPr>
                <w:rFonts w:hint="eastAsia"/>
                <w:bCs/>
                <w:sz w:val="26"/>
                <w:szCs w:val="26"/>
                <w:lang w:val="en-US" w:eastAsia="zh-CN"/>
              </w:rPr>
              <w:t>且</w:t>
            </w:r>
            <w:r>
              <w:rPr>
                <w:rFonts w:hint="eastAsia"/>
                <w:bCs/>
                <w:sz w:val="26"/>
                <w:szCs w:val="26"/>
              </w:rPr>
              <w:t>部分设备、设施已经开始</w:t>
            </w:r>
            <w:r>
              <w:rPr>
                <w:rFonts w:hint="eastAsia"/>
                <w:bCs/>
                <w:sz w:val="26"/>
                <w:szCs w:val="26"/>
                <w:lang w:val="en-US" w:eastAsia="zh-CN"/>
              </w:rPr>
              <w:t>显现</w:t>
            </w:r>
            <w:r>
              <w:rPr>
                <w:rFonts w:hint="eastAsia"/>
                <w:bCs/>
                <w:sz w:val="26"/>
                <w:szCs w:val="26"/>
              </w:rPr>
              <w:t>老化，存在诸多安全、环保隐患，因此中国石化销售股份有限公司重庆石油分公司计划投资2</w:t>
            </w:r>
            <w:r>
              <w:rPr>
                <w:rFonts w:hint="eastAsia"/>
                <w:bCs/>
                <w:sz w:val="26"/>
                <w:szCs w:val="26"/>
                <w:lang w:val="en-US" w:eastAsia="zh-CN"/>
              </w:rPr>
              <w:t>97.9</w:t>
            </w:r>
            <w:r>
              <w:rPr>
                <w:rFonts w:hint="eastAsia"/>
                <w:bCs/>
                <w:sz w:val="26"/>
                <w:szCs w:val="26"/>
              </w:rPr>
              <w:t>万元对</w:t>
            </w:r>
            <w:r>
              <w:rPr>
                <w:rFonts w:hint="eastAsia"/>
                <w:bCs/>
                <w:sz w:val="26"/>
                <w:szCs w:val="26"/>
                <w:lang w:val="en-US" w:eastAsia="zh-CN"/>
              </w:rPr>
              <w:t>华福路</w:t>
            </w:r>
            <w:r>
              <w:rPr>
                <w:rFonts w:hint="eastAsia"/>
                <w:bCs/>
                <w:sz w:val="26"/>
                <w:szCs w:val="26"/>
              </w:rPr>
              <w:t>加油站现有工程进行</w:t>
            </w:r>
            <w:r>
              <w:rPr>
                <w:rFonts w:hint="eastAsia"/>
                <w:bCs/>
                <w:sz w:val="26"/>
                <w:szCs w:val="26"/>
                <w:lang w:val="en-US" w:eastAsia="zh-CN"/>
              </w:rPr>
              <w:t>工艺</w:t>
            </w:r>
            <w:r>
              <w:rPr>
                <w:rFonts w:hint="eastAsia"/>
                <w:bCs/>
                <w:sz w:val="26"/>
                <w:szCs w:val="26"/>
              </w:rPr>
              <w:t>改造，实施“</w:t>
            </w:r>
            <w:r>
              <w:rPr>
                <w:rFonts w:hint="eastAsia"/>
                <w:bCs/>
                <w:sz w:val="26"/>
                <w:szCs w:val="26"/>
                <w:lang w:val="en-US" w:eastAsia="zh-CN"/>
              </w:rPr>
              <w:t>华福路</w:t>
            </w:r>
            <w:r>
              <w:rPr>
                <w:rFonts w:hint="eastAsia"/>
                <w:sz w:val="26"/>
                <w:szCs w:val="26"/>
              </w:rPr>
              <w:t>加油站</w:t>
            </w:r>
            <w:r>
              <w:rPr>
                <w:rFonts w:hint="eastAsia"/>
                <w:sz w:val="26"/>
                <w:szCs w:val="26"/>
                <w:lang w:val="en-US" w:eastAsia="zh-CN"/>
              </w:rPr>
              <w:t>工艺</w:t>
            </w:r>
            <w:r>
              <w:rPr>
                <w:rFonts w:hint="eastAsia"/>
                <w:sz w:val="26"/>
                <w:szCs w:val="26"/>
              </w:rPr>
              <w:t>改造项目</w:t>
            </w:r>
            <w:r>
              <w:rPr>
                <w:rFonts w:hint="eastAsia"/>
                <w:bCs/>
                <w:sz w:val="26"/>
                <w:szCs w:val="26"/>
              </w:rPr>
              <w:t>”（以下简称“本项目”），</w:t>
            </w:r>
            <w:r>
              <w:rPr>
                <w:rFonts w:hint="eastAsia"/>
                <w:bCs/>
                <w:sz w:val="26"/>
                <w:szCs w:val="26"/>
                <w:lang w:val="en-US" w:eastAsia="zh-CN"/>
              </w:rPr>
              <w:t>具体</w:t>
            </w:r>
            <w:r>
              <w:rPr>
                <w:rFonts w:hint="eastAsia"/>
                <w:bCs/>
                <w:sz w:val="26"/>
                <w:szCs w:val="26"/>
              </w:rPr>
              <w:t>改造内容为：</w:t>
            </w:r>
          </w:p>
          <w:p w14:paraId="3B60CC74">
            <w:pPr>
              <w:adjustRightInd w:val="0"/>
              <w:snapToGrid w:val="0"/>
              <w:spacing w:line="460" w:lineRule="exact"/>
              <w:ind w:firstLine="520" w:firstLineChars="200"/>
              <w:rPr>
                <w:bCs/>
                <w:sz w:val="26"/>
                <w:szCs w:val="26"/>
              </w:rPr>
            </w:pPr>
            <w:r>
              <w:rPr>
                <w:rFonts w:hint="eastAsia"/>
                <w:bCs/>
                <w:sz w:val="26"/>
                <w:szCs w:val="26"/>
              </w:rPr>
              <w:t>1、拆除原有埋地油罐</w:t>
            </w:r>
            <w:r>
              <w:rPr>
                <w:rFonts w:hint="eastAsia"/>
                <w:bCs/>
                <w:sz w:val="26"/>
                <w:szCs w:val="26"/>
                <w:lang w:eastAsia="zh-CN"/>
              </w:rPr>
              <w:t>（</w:t>
            </w:r>
            <w:r>
              <w:rPr>
                <w:rFonts w:hint="eastAsia"/>
                <w:bCs/>
                <w:sz w:val="26"/>
                <w:szCs w:val="26"/>
                <w:lang w:val="en-US" w:eastAsia="zh-CN"/>
              </w:rPr>
              <w:t>单层</w:t>
            </w:r>
            <w:r>
              <w:rPr>
                <w:rFonts w:hint="eastAsia"/>
                <w:bCs/>
                <w:sz w:val="26"/>
                <w:szCs w:val="26"/>
                <w:lang w:eastAsia="zh-CN"/>
              </w:rPr>
              <w:t>）</w:t>
            </w:r>
            <w:r>
              <w:rPr>
                <w:rFonts w:hint="eastAsia"/>
                <w:bCs/>
                <w:sz w:val="26"/>
                <w:szCs w:val="26"/>
                <w:lang w:val="en-US" w:eastAsia="zh-CN"/>
              </w:rPr>
              <w:t>及防渗罐池</w:t>
            </w:r>
            <w:r>
              <w:rPr>
                <w:rFonts w:hint="eastAsia"/>
                <w:bCs/>
                <w:sz w:val="26"/>
                <w:szCs w:val="26"/>
              </w:rPr>
              <w:t>，更换为双层埋地油罐，增加三次油气回收</w:t>
            </w:r>
            <w:r>
              <w:rPr>
                <w:rFonts w:hint="eastAsia"/>
                <w:bCs/>
                <w:sz w:val="26"/>
                <w:szCs w:val="26"/>
                <w:lang w:val="en-US" w:eastAsia="zh-CN"/>
              </w:rPr>
              <w:t>系统</w:t>
            </w:r>
            <w:r>
              <w:rPr>
                <w:rFonts w:hint="eastAsia"/>
                <w:bCs/>
                <w:sz w:val="26"/>
                <w:szCs w:val="26"/>
              </w:rPr>
              <w:t>，增加98</w:t>
            </w:r>
            <w:r>
              <w:rPr>
                <w:rFonts w:hint="eastAsia"/>
                <w:bCs/>
                <w:sz w:val="26"/>
                <w:szCs w:val="26"/>
                <w:lang w:val="en-US" w:eastAsia="zh-CN"/>
              </w:rPr>
              <w:t>#</w:t>
            </w:r>
            <w:r>
              <w:rPr>
                <w:rFonts w:hint="eastAsia"/>
                <w:bCs/>
                <w:sz w:val="26"/>
                <w:szCs w:val="26"/>
              </w:rPr>
              <w:t>汽油</w:t>
            </w:r>
            <w:r>
              <w:rPr>
                <w:rFonts w:hint="eastAsia"/>
                <w:bCs/>
                <w:sz w:val="26"/>
                <w:szCs w:val="26"/>
                <w:lang w:val="en-US" w:eastAsia="zh-CN"/>
              </w:rPr>
              <w:t>油品，</w:t>
            </w:r>
            <w:r>
              <w:rPr>
                <w:rFonts w:hint="eastAsia"/>
                <w:bCs/>
                <w:sz w:val="26"/>
                <w:szCs w:val="26"/>
              </w:rPr>
              <w:t>设潜油泵4台。</w:t>
            </w:r>
            <w:r>
              <w:rPr>
                <w:rFonts w:hint="eastAsia"/>
                <w:bCs/>
                <w:sz w:val="26"/>
                <w:szCs w:val="26"/>
                <w:lang w:val="en-US" w:eastAsia="zh-CN"/>
              </w:rPr>
              <w:t>改造后储油罐区布设</w:t>
            </w:r>
            <w:r>
              <w:rPr>
                <w:rFonts w:hint="eastAsia"/>
                <w:bCs/>
                <w:sz w:val="26"/>
                <w:szCs w:val="26"/>
              </w:rPr>
              <w:t>1个20m</w:t>
            </w:r>
            <w:r>
              <w:rPr>
                <w:rFonts w:hint="eastAsia"/>
                <w:bCs/>
                <w:sz w:val="26"/>
                <w:szCs w:val="26"/>
                <w:vertAlign w:val="superscript"/>
                <w:lang w:val="en-US" w:eastAsia="zh-CN"/>
              </w:rPr>
              <w:t>3</w:t>
            </w:r>
            <w:r>
              <w:rPr>
                <w:rFonts w:hint="eastAsia"/>
                <w:bCs/>
                <w:sz w:val="26"/>
                <w:szCs w:val="26"/>
              </w:rPr>
              <w:t>0#柴油罐，1个20m</w:t>
            </w:r>
            <w:r>
              <w:rPr>
                <w:rFonts w:hint="eastAsia"/>
                <w:bCs/>
                <w:sz w:val="26"/>
                <w:szCs w:val="26"/>
                <w:vertAlign w:val="superscript"/>
                <w:lang w:val="en-US" w:eastAsia="zh-CN"/>
              </w:rPr>
              <w:t>3</w:t>
            </w:r>
            <w:r>
              <w:rPr>
                <w:rFonts w:hint="eastAsia"/>
                <w:bCs/>
                <w:sz w:val="26"/>
                <w:szCs w:val="26"/>
              </w:rPr>
              <w:t>98#汽油罐，1个30m</w:t>
            </w:r>
            <w:r>
              <w:rPr>
                <w:rFonts w:hint="eastAsia"/>
                <w:bCs/>
                <w:sz w:val="26"/>
                <w:szCs w:val="26"/>
                <w:vertAlign w:val="superscript"/>
                <w:lang w:val="en-US" w:eastAsia="zh-CN"/>
              </w:rPr>
              <w:t>3</w:t>
            </w:r>
            <w:r>
              <w:rPr>
                <w:rFonts w:hint="eastAsia"/>
                <w:bCs/>
                <w:sz w:val="26"/>
                <w:szCs w:val="26"/>
              </w:rPr>
              <w:t>92#汽油罐，1个30m</w:t>
            </w:r>
            <w:r>
              <w:rPr>
                <w:rFonts w:hint="eastAsia"/>
                <w:bCs/>
                <w:sz w:val="26"/>
                <w:szCs w:val="26"/>
                <w:vertAlign w:val="superscript"/>
                <w:lang w:val="en-US" w:eastAsia="zh-CN"/>
              </w:rPr>
              <w:t>3</w:t>
            </w:r>
            <w:r>
              <w:rPr>
                <w:rFonts w:hint="eastAsia"/>
                <w:bCs/>
                <w:sz w:val="26"/>
                <w:szCs w:val="26"/>
              </w:rPr>
              <w:t>95#汽油罐，油罐总罐容为100m</w:t>
            </w:r>
            <w:r>
              <w:rPr>
                <w:rFonts w:hint="eastAsia"/>
                <w:bCs/>
                <w:sz w:val="26"/>
                <w:szCs w:val="26"/>
                <w:vertAlign w:val="superscript"/>
                <w:lang w:val="en-US" w:eastAsia="zh-CN"/>
              </w:rPr>
              <w:t>3</w:t>
            </w:r>
            <w:r>
              <w:rPr>
                <w:rFonts w:hint="eastAsia"/>
                <w:bCs/>
                <w:sz w:val="26"/>
                <w:szCs w:val="26"/>
              </w:rPr>
              <w:t>，折合后罐容为90 m</w:t>
            </w:r>
            <w:r>
              <w:rPr>
                <w:rFonts w:hint="eastAsia"/>
                <w:bCs/>
                <w:sz w:val="26"/>
                <w:szCs w:val="26"/>
                <w:vertAlign w:val="superscript"/>
                <w:lang w:val="en-US" w:eastAsia="zh-CN"/>
              </w:rPr>
              <w:t>3</w:t>
            </w:r>
            <w:r>
              <w:rPr>
                <w:rFonts w:hint="eastAsia"/>
                <w:bCs/>
                <w:sz w:val="26"/>
                <w:szCs w:val="26"/>
              </w:rPr>
              <w:t>（柴油折半计算）；</w:t>
            </w:r>
          </w:p>
          <w:p w14:paraId="5A7B780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eastAsia="宋体"/>
                <w:bCs/>
                <w:sz w:val="26"/>
                <w:szCs w:val="26"/>
                <w:lang w:eastAsia="zh-CN"/>
              </w:rPr>
            </w:pPr>
            <w:r>
              <w:rPr>
                <w:rFonts w:hint="eastAsia"/>
                <w:bCs/>
                <w:sz w:val="26"/>
                <w:szCs w:val="26"/>
              </w:rPr>
              <w:t>2、</w:t>
            </w:r>
            <w:r>
              <w:rPr>
                <w:rFonts w:hint="eastAsia"/>
                <w:bCs/>
                <w:sz w:val="26"/>
                <w:szCs w:val="26"/>
                <w:lang w:val="en-US" w:eastAsia="zh-CN"/>
              </w:rPr>
              <w:t>拆除现有3台加油机、加油岛及相关设施，同时</w:t>
            </w:r>
            <w:r>
              <w:rPr>
                <w:rFonts w:hint="eastAsia"/>
                <w:bCs/>
                <w:sz w:val="26"/>
                <w:szCs w:val="26"/>
              </w:rPr>
              <w:t>新增3台四枪加油机，利旧1台六枪加油机，预留两台出口处</w:t>
            </w:r>
            <w:r>
              <w:rPr>
                <w:rFonts w:hint="eastAsia"/>
                <w:bCs/>
                <w:sz w:val="26"/>
                <w:szCs w:val="26"/>
                <w:lang w:val="en-US" w:eastAsia="zh-CN"/>
              </w:rPr>
              <w:t>四枪</w:t>
            </w:r>
            <w:r>
              <w:rPr>
                <w:rFonts w:hint="eastAsia"/>
                <w:bCs/>
                <w:sz w:val="26"/>
                <w:szCs w:val="26"/>
              </w:rPr>
              <w:t>加油机</w:t>
            </w:r>
            <w:r>
              <w:rPr>
                <w:rFonts w:hint="eastAsia"/>
                <w:bCs/>
                <w:sz w:val="26"/>
                <w:szCs w:val="26"/>
                <w:lang w:eastAsia="zh-CN"/>
              </w:rPr>
              <w:t>（</w:t>
            </w:r>
            <w:r>
              <w:rPr>
                <w:rFonts w:hint="eastAsia"/>
                <w:bCs/>
                <w:sz w:val="26"/>
                <w:szCs w:val="26"/>
              </w:rPr>
              <w:t>92#95#管线</w:t>
            </w:r>
            <w:r>
              <w:rPr>
                <w:rFonts w:hint="eastAsia"/>
                <w:bCs/>
                <w:sz w:val="26"/>
                <w:szCs w:val="26"/>
                <w:lang w:eastAsia="zh-CN"/>
              </w:rPr>
              <w:t>）</w:t>
            </w:r>
            <w:r>
              <w:rPr>
                <w:rFonts w:hint="eastAsia"/>
                <w:bCs/>
                <w:sz w:val="26"/>
                <w:szCs w:val="26"/>
              </w:rPr>
              <w:t>，卸油口</w:t>
            </w:r>
            <w:r>
              <w:rPr>
                <w:rFonts w:hint="eastAsia"/>
                <w:bCs/>
                <w:sz w:val="26"/>
                <w:szCs w:val="26"/>
                <w:lang w:val="en-US" w:eastAsia="zh-CN"/>
              </w:rPr>
              <w:t>和卸油区</w:t>
            </w:r>
            <w:r>
              <w:rPr>
                <w:rFonts w:hint="eastAsia"/>
                <w:bCs/>
                <w:sz w:val="26"/>
                <w:szCs w:val="26"/>
              </w:rPr>
              <w:t>移至南侧围墙处，通气管位置不变</w:t>
            </w:r>
            <w:r>
              <w:rPr>
                <w:rFonts w:hint="eastAsia"/>
                <w:bCs/>
                <w:sz w:val="26"/>
                <w:szCs w:val="26"/>
                <w:lang w:eastAsia="zh-CN"/>
              </w:rPr>
              <w:t>；</w:t>
            </w:r>
          </w:p>
          <w:p w14:paraId="2291C75B">
            <w:pPr>
              <w:pStyle w:val="5"/>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eastAsia="宋体"/>
                <w:lang w:val="en-US" w:eastAsia="zh-CN"/>
              </w:rPr>
            </w:pPr>
            <w:r>
              <w:rPr>
                <w:rFonts w:hint="eastAsia"/>
                <w:bCs/>
                <w:sz w:val="26"/>
                <w:szCs w:val="26"/>
                <w:lang w:val="en-US" w:eastAsia="zh-CN"/>
              </w:rPr>
              <w:t>3、拆除原有LNG储罐池，拆除原有L-CNG的相关设施（1个</w:t>
            </w:r>
            <w:r>
              <w:rPr>
                <w:rFonts w:hint="eastAsia"/>
                <w:bCs/>
                <w:sz w:val="26"/>
                <w:szCs w:val="26"/>
              </w:rPr>
              <w:t>60m</w:t>
            </w:r>
            <w:r>
              <w:rPr>
                <w:rFonts w:hint="eastAsia"/>
                <w:bCs/>
                <w:sz w:val="26"/>
                <w:szCs w:val="26"/>
                <w:vertAlign w:val="superscript"/>
                <w:lang w:val="en-US" w:eastAsia="zh-CN"/>
              </w:rPr>
              <w:t>3</w:t>
            </w:r>
            <w:r>
              <w:rPr>
                <w:rFonts w:hint="eastAsia"/>
                <w:bCs/>
                <w:sz w:val="26"/>
                <w:szCs w:val="26"/>
              </w:rPr>
              <w:t>LNG</w:t>
            </w:r>
            <w:r>
              <w:rPr>
                <w:rFonts w:hint="eastAsia"/>
                <w:bCs/>
                <w:sz w:val="26"/>
                <w:szCs w:val="26"/>
                <w:lang w:val="en-US" w:eastAsia="zh-CN"/>
              </w:rPr>
              <w:t>立式</w:t>
            </w:r>
            <w:r>
              <w:rPr>
                <w:rFonts w:hint="eastAsia"/>
                <w:bCs/>
                <w:sz w:val="26"/>
                <w:szCs w:val="26"/>
              </w:rPr>
              <w:t>储罐</w:t>
            </w:r>
            <w:r>
              <w:rPr>
                <w:rFonts w:hint="eastAsia"/>
                <w:bCs/>
                <w:sz w:val="26"/>
                <w:szCs w:val="26"/>
                <w:lang w:eastAsia="zh-CN"/>
              </w:rPr>
              <w:t>，</w:t>
            </w:r>
            <w:r>
              <w:rPr>
                <w:rFonts w:hint="eastAsia"/>
                <w:bCs/>
                <w:sz w:val="26"/>
                <w:szCs w:val="26"/>
              </w:rPr>
              <w:t>3口CNG储气井</w:t>
            </w:r>
            <w:r>
              <w:rPr>
                <w:rFonts w:hint="eastAsia"/>
                <w:bCs/>
                <w:sz w:val="26"/>
                <w:szCs w:val="26"/>
                <w:lang w:eastAsia="zh-CN"/>
              </w:rPr>
              <w:t>（</w:t>
            </w:r>
            <w:r>
              <w:rPr>
                <w:rFonts w:hint="eastAsia"/>
                <w:bCs/>
                <w:sz w:val="26"/>
                <w:szCs w:val="26"/>
              </w:rPr>
              <w:t>1m</w:t>
            </w:r>
            <w:r>
              <w:rPr>
                <w:rFonts w:hint="eastAsia"/>
                <w:bCs/>
                <w:sz w:val="26"/>
                <w:szCs w:val="26"/>
                <w:vertAlign w:val="superscript"/>
              </w:rPr>
              <w:t>3</w:t>
            </w:r>
            <w:r>
              <w:rPr>
                <w:rFonts w:hint="eastAsia"/>
                <w:bCs/>
                <w:sz w:val="26"/>
                <w:szCs w:val="26"/>
              </w:rPr>
              <w:t>、2m</w:t>
            </w:r>
            <w:r>
              <w:rPr>
                <w:rFonts w:hint="eastAsia"/>
                <w:bCs/>
                <w:sz w:val="26"/>
                <w:szCs w:val="26"/>
                <w:vertAlign w:val="superscript"/>
              </w:rPr>
              <w:t>3</w:t>
            </w:r>
            <w:r>
              <w:rPr>
                <w:rFonts w:hint="eastAsia"/>
                <w:bCs/>
                <w:sz w:val="26"/>
                <w:szCs w:val="26"/>
              </w:rPr>
              <w:t>、3m</w:t>
            </w:r>
            <w:r>
              <w:rPr>
                <w:rFonts w:hint="eastAsia"/>
                <w:bCs/>
                <w:sz w:val="26"/>
                <w:szCs w:val="26"/>
                <w:vertAlign w:val="superscript"/>
                <w:lang w:val="en-US" w:eastAsia="zh-CN"/>
              </w:rPr>
              <w:t>3</w:t>
            </w:r>
            <w:r>
              <w:rPr>
                <w:rFonts w:hint="eastAsia"/>
                <w:bCs/>
                <w:sz w:val="26"/>
                <w:szCs w:val="26"/>
              </w:rPr>
              <w:t>各1口</w:t>
            </w:r>
            <w:r>
              <w:rPr>
                <w:rFonts w:hint="eastAsia"/>
                <w:bCs/>
                <w:sz w:val="26"/>
                <w:szCs w:val="26"/>
                <w:lang w:eastAsia="zh-CN"/>
              </w:rPr>
              <w:t>），2台LNG高压气化器、1根LNG和CNG放空管等相关设施）；</w:t>
            </w:r>
          </w:p>
          <w:p w14:paraId="7000E7E6">
            <w:pPr>
              <w:adjustRightInd w:val="0"/>
              <w:snapToGrid w:val="0"/>
              <w:spacing w:line="460" w:lineRule="exact"/>
              <w:ind w:firstLine="520" w:firstLineChars="200"/>
              <w:rPr>
                <w:rFonts w:hint="eastAsia" w:eastAsia="宋体"/>
                <w:bCs/>
                <w:color w:val="auto"/>
                <w:sz w:val="26"/>
                <w:szCs w:val="26"/>
                <w:lang w:val="en-US" w:eastAsia="zh-CN"/>
              </w:rPr>
            </w:pPr>
            <w:r>
              <w:rPr>
                <w:rFonts w:hint="eastAsia"/>
                <w:bCs/>
                <w:color w:val="auto"/>
                <w:sz w:val="26"/>
                <w:szCs w:val="26"/>
                <w:lang w:val="en-US" w:eastAsia="zh-CN"/>
              </w:rPr>
              <w:t>4、拆除原有化粪池及隔油池并硬化地面，在站区东侧新增设置1座化粪池和1座隔油池，拆除原有消防五大件及相关设施并移位至</w:t>
            </w:r>
            <w:r>
              <w:rPr>
                <w:rFonts w:hint="eastAsia"/>
                <w:bCs/>
                <w:sz w:val="26"/>
                <w:szCs w:val="26"/>
              </w:rPr>
              <w:t>南侧围墙处</w:t>
            </w:r>
            <w:r>
              <w:rPr>
                <w:rFonts w:hint="eastAsia"/>
                <w:bCs/>
                <w:sz w:val="26"/>
                <w:szCs w:val="26"/>
                <w:lang w:eastAsia="zh-CN"/>
              </w:rPr>
              <w:t>。新增自动洗车机于南侧围墙处。</w:t>
            </w:r>
          </w:p>
          <w:p w14:paraId="097E99FA">
            <w:pPr>
              <w:adjustRightInd w:val="0"/>
              <w:snapToGrid w:val="0"/>
              <w:spacing w:line="460" w:lineRule="exact"/>
              <w:ind w:firstLine="520" w:firstLineChars="200"/>
              <w:rPr>
                <w:rFonts w:hint="default" w:eastAsia="宋体"/>
                <w:bCs/>
                <w:color w:val="auto"/>
                <w:sz w:val="26"/>
                <w:szCs w:val="26"/>
                <w:lang w:val="en-US" w:eastAsia="zh-CN"/>
              </w:rPr>
            </w:pPr>
            <w:r>
              <w:rPr>
                <w:rFonts w:hint="eastAsia"/>
                <w:bCs/>
                <w:color w:val="auto"/>
                <w:sz w:val="26"/>
                <w:szCs w:val="26"/>
                <w:lang w:val="en-US" w:eastAsia="zh-CN"/>
              </w:rPr>
              <w:t>本项目改造完成后，站区西北侧原储气区空置，不布置加气储气等相关内容；北侧充电区建设内容保持不变，且以上均为不产污建设内容，因此不纳入本次评价范围内。</w:t>
            </w:r>
          </w:p>
          <w:p w14:paraId="7165EF4E">
            <w:pPr>
              <w:adjustRightInd w:val="0"/>
              <w:snapToGrid w:val="0"/>
              <w:spacing w:line="460" w:lineRule="exact"/>
              <w:ind w:firstLine="520" w:firstLineChars="200"/>
              <w:rPr>
                <w:bCs/>
                <w:color w:val="auto"/>
                <w:sz w:val="26"/>
                <w:szCs w:val="26"/>
              </w:rPr>
            </w:pPr>
            <w:r>
              <w:rPr>
                <w:rFonts w:hint="eastAsia"/>
                <w:bCs/>
                <w:color w:val="auto"/>
                <w:sz w:val="26"/>
                <w:szCs w:val="26"/>
              </w:rPr>
              <w:t>2</w:t>
            </w:r>
            <w:r>
              <w:rPr>
                <w:bCs/>
                <w:color w:val="auto"/>
                <w:sz w:val="26"/>
                <w:szCs w:val="26"/>
              </w:rPr>
              <w:t>0</w:t>
            </w:r>
            <w:r>
              <w:rPr>
                <w:rFonts w:hint="eastAsia"/>
                <w:bCs/>
                <w:color w:val="auto"/>
                <w:sz w:val="26"/>
                <w:szCs w:val="26"/>
              </w:rPr>
              <w:t>25年</w:t>
            </w:r>
            <w:r>
              <w:rPr>
                <w:rFonts w:hint="eastAsia"/>
                <w:bCs/>
                <w:color w:val="auto"/>
                <w:sz w:val="26"/>
                <w:szCs w:val="26"/>
                <w:lang w:val="en-US" w:eastAsia="zh-CN"/>
              </w:rPr>
              <w:t>9</w:t>
            </w:r>
            <w:r>
              <w:rPr>
                <w:rFonts w:hint="eastAsia"/>
                <w:bCs/>
                <w:color w:val="auto"/>
                <w:sz w:val="26"/>
                <w:szCs w:val="26"/>
              </w:rPr>
              <w:t>月，本项目取得了行业主管</w:t>
            </w:r>
            <w:r>
              <w:rPr>
                <w:rFonts w:hint="eastAsia"/>
                <w:bCs/>
                <w:color w:val="auto"/>
                <w:sz w:val="26"/>
                <w:szCs w:val="26"/>
                <w:lang w:val="en-US" w:eastAsia="zh-CN"/>
              </w:rPr>
              <w:t>部门</w:t>
            </w:r>
            <w:r>
              <w:rPr>
                <w:color w:val="auto"/>
                <w:kern w:val="0"/>
                <w:sz w:val="26"/>
                <w:szCs w:val="26"/>
              </w:rPr>
              <w:t>重庆市</w:t>
            </w:r>
            <w:r>
              <w:rPr>
                <w:rFonts w:hint="eastAsia"/>
                <w:color w:val="auto"/>
                <w:kern w:val="0"/>
                <w:sz w:val="26"/>
                <w:szCs w:val="26"/>
                <w:lang w:val="en-US" w:eastAsia="zh-CN"/>
              </w:rPr>
              <w:t>九龙坡</w:t>
            </w:r>
            <w:r>
              <w:rPr>
                <w:color w:val="auto"/>
                <w:kern w:val="0"/>
                <w:sz w:val="26"/>
                <w:szCs w:val="26"/>
              </w:rPr>
              <w:t>区商务委员会</w:t>
            </w:r>
            <w:r>
              <w:rPr>
                <w:rFonts w:hint="eastAsia"/>
                <w:color w:val="auto"/>
                <w:kern w:val="0"/>
                <w:sz w:val="26"/>
                <w:szCs w:val="26"/>
              </w:rPr>
              <w:t>前期针对本项目</w:t>
            </w:r>
            <w:r>
              <w:rPr>
                <w:rFonts w:hint="eastAsia"/>
                <w:color w:val="auto"/>
                <w:kern w:val="0"/>
                <w:sz w:val="26"/>
                <w:szCs w:val="26"/>
                <w:lang w:val="en-US" w:eastAsia="zh-CN"/>
              </w:rPr>
              <w:t>改造</w:t>
            </w:r>
            <w:r>
              <w:rPr>
                <w:rFonts w:hint="eastAsia"/>
                <w:color w:val="auto"/>
                <w:kern w:val="0"/>
                <w:sz w:val="26"/>
                <w:szCs w:val="26"/>
              </w:rPr>
              <w:t>出具</w:t>
            </w:r>
            <w:r>
              <w:rPr>
                <w:rFonts w:hint="eastAsia"/>
                <w:color w:val="auto"/>
                <w:kern w:val="0"/>
                <w:sz w:val="26"/>
                <w:szCs w:val="26"/>
                <w:lang w:val="en-US" w:eastAsia="zh-CN"/>
              </w:rPr>
              <w:t>了</w:t>
            </w:r>
            <w:r>
              <w:rPr>
                <w:rFonts w:hint="eastAsia"/>
                <w:color w:val="auto"/>
                <w:kern w:val="0"/>
                <w:sz w:val="26"/>
                <w:szCs w:val="26"/>
              </w:rPr>
              <w:t>“关于中国石化销售股份有限公司重庆石油分公司</w:t>
            </w:r>
            <w:r>
              <w:rPr>
                <w:rFonts w:hint="eastAsia"/>
                <w:color w:val="auto"/>
                <w:kern w:val="0"/>
                <w:sz w:val="26"/>
                <w:szCs w:val="26"/>
                <w:lang w:val="en-US" w:eastAsia="zh-CN"/>
              </w:rPr>
              <w:t>华福路</w:t>
            </w:r>
            <w:r>
              <w:rPr>
                <w:rFonts w:hint="eastAsia"/>
                <w:color w:val="auto"/>
                <w:kern w:val="0"/>
                <w:sz w:val="26"/>
                <w:szCs w:val="26"/>
              </w:rPr>
              <w:t>加油站改造的批复</w:t>
            </w:r>
            <w:r>
              <w:rPr>
                <w:rFonts w:hint="default" w:ascii="Times New Roman" w:hAnsi="Times New Roman" w:cs="Times New Roman"/>
                <w:color w:val="auto"/>
                <w:kern w:val="0"/>
                <w:sz w:val="26"/>
                <w:szCs w:val="26"/>
              </w:rPr>
              <w:t>（</w:t>
            </w:r>
            <w:r>
              <w:rPr>
                <w:rFonts w:hint="default" w:ascii="Times New Roman" w:hAnsi="Times New Roman" w:cs="Times New Roman"/>
                <w:color w:val="auto"/>
                <w:kern w:val="0"/>
                <w:sz w:val="26"/>
                <w:szCs w:val="26"/>
                <w:lang w:val="en-US" w:eastAsia="zh-CN"/>
              </w:rPr>
              <w:t>九</w:t>
            </w:r>
            <w:r>
              <w:rPr>
                <w:rFonts w:hint="default" w:ascii="Times New Roman" w:hAnsi="Times New Roman" w:cs="Times New Roman"/>
                <w:color w:val="auto"/>
                <w:kern w:val="0"/>
                <w:sz w:val="26"/>
                <w:szCs w:val="26"/>
              </w:rPr>
              <w:t>商</w:t>
            </w:r>
            <w:r>
              <w:rPr>
                <w:rFonts w:hint="default" w:ascii="Times New Roman" w:hAnsi="Times New Roman" w:cs="Times New Roman"/>
                <w:color w:val="auto"/>
                <w:kern w:val="0"/>
                <w:sz w:val="26"/>
                <w:szCs w:val="26"/>
                <w:lang w:val="en-US" w:eastAsia="zh-CN"/>
              </w:rPr>
              <w:t>务</w:t>
            </w:r>
            <w:r>
              <w:rPr>
                <w:rFonts w:hint="default" w:ascii="Times New Roman" w:hAnsi="Times New Roman" w:cs="Times New Roman"/>
                <w:color w:val="auto"/>
                <w:kern w:val="0"/>
                <w:sz w:val="26"/>
                <w:szCs w:val="26"/>
              </w:rPr>
              <w:t>发</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rPr>
              <w:t>2025</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lang w:val="en-US" w:eastAsia="zh-CN"/>
              </w:rPr>
              <w:t>43</w:t>
            </w:r>
            <w:r>
              <w:rPr>
                <w:rFonts w:hint="default" w:ascii="Times New Roman" w:hAnsi="Times New Roman" w:cs="Times New Roman"/>
                <w:color w:val="auto"/>
                <w:sz w:val="26"/>
                <w:szCs w:val="26"/>
              </w:rPr>
              <w:t>号</w:t>
            </w:r>
            <w:r>
              <w:rPr>
                <w:rFonts w:hint="default" w:ascii="Times New Roman" w:hAnsi="Times New Roman" w:cs="Times New Roman"/>
                <w:color w:val="auto"/>
                <w:kern w:val="0"/>
                <w:sz w:val="26"/>
                <w:szCs w:val="26"/>
              </w:rPr>
              <w:t>）</w:t>
            </w:r>
            <w:r>
              <w:rPr>
                <w:rFonts w:hint="eastAsia"/>
                <w:color w:val="auto"/>
                <w:kern w:val="0"/>
                <w:sz w:val="26"/>
                <w:szCs w:val="26"/>
              </w:rPr>
              <w:t>”文件（注：责任经办单位（分管）为中国石化销售股份有限公司重庆江南石油分公司），同意本项目进行改造，详见</w:t>
            </w:r>
            <w:r>
              <w:rPr>
                <w:rFonts w:hint="eastAsia"/>
                <w:b/>
                <w:bCs/>
                <w:color w:val="auto"/>
                <w:kern w:val="0"/>
                <w:sz w:val="26"/>
                <w:szCs w:val="26"/>
                <w:u w:val="single"/>
              </w:rPr>
              <w:t>附件</w:t>
            </w:r>
            <w:r>
              <w:rPr>
                <w:rFonts w:hint="eastAsia"/>
                <w:bCs/>
                <w:color w:val="auto"/>
                <w:sz w:val="26"/>
                <w:szCs w:val="26"/>
              </w:rPr>
              <w:t>。</w:t>
            </w:r>
          </w:p>
          <w:p w14:paraId="7741AD6D">
            <w:pPr>
              <w:adjustRightInd w:val="0"/>
              <w:snapToGrid w:val="0"/>
              <w:spacing w:line="460" w:lineRule="exact"/>
              <w:ind w:firstLine="520" w:firstLineChars="200"/>
              <w:rPr>
                <w:bCs/>
                <w:sz w:val="26"/>
                <w:szCs w:val="26"/>
              </w:rPr>
            </w:pPr>
            <w:r>
              <w:rPr>
                <w:rFonts w:hint="eastAsia"/>
                <w:bCs/>
                <w:sz w:val="26"/>
                <w:szCs w:val="26"/>
              </w:rPr>
              <w:t>本项目位于</w:t>
            </w:r>
            <w:r>
              <w:rPr>
                <w:rFonts w:hint="eastAsia"/>
                <w:bCs/>
                <w:sz w:val="26"/>
                <w:szCs w:val="26"/>
                <w:lang w:val="en-US" w:eastAsia="zh-CN"/>
              </w:rPr>
              <w:t>九龙坡</w:t>
            </w:r>
            <w:r>
              <w:rPr>
                <w:rFonts w:hint="eastAsia"/>
                <w:bCs/>
                <w:sz w:val="26"/>
                <w:szCs w:val="26"/>
              </w:rPr>
              <w:t>区，项目所在地块位于城市建成区。根据《建设项目环境影响评价分类管理名录（2021年版）》，本项目属名录中“</w:t>
            </w:r>
            <w:r>
              <w:rPr>
                <w:bCs/>
                <w:sz w:val="26"/>
                <w:szCs w:val="26"/>
              </w:rPr>
              <w:t>五十、社会事业与服务业</w:t>
            </w:r>
            <w:r>
              <w:rPr>
                <w:rFonts w:hint="eastAsia"/>
                <w:bCs/>
                <w:sz w:val="26"/>
                <w:szCs w:val="26"/>
              </w:rPr>
              <w:t>；119.加油、加气站；</w:t>
            </w:r>
            <w:r>
              <w:rPr>
                <w:bCs/>
                <w:sz w:val="26"/>
                <w:szCs w:val="26"/>
              </w:rPr>
              <w:t>城市建成区新建、扩建加油站</w:t>
            </w:r>
            <w:r>
              <w:rPr>
                <w:rFonts w:hint="eastAsia"/>
                <w:bCs/>
                <w:sz w:val="26"/>
                <w:szCs w:val="26"/>
              </w:rPr>
              <w:t>”，为环境影响评价报告表类型。</w:t>
            </w:r>
          </w:p>
          <w:p w14:paraId="1BF91B37">
            <w:pPr>
              <w:adjustRightInd w:val="0"/>
              <w:snapToGrid w:val="0"/>
              <w:spacing w:line="460" w:lineRule="exact"/>
              <w:ind w:firstLine="520" w:firstLineChars="200"/>
              <w:rPr>
                <w:rFonts w:hint="eastAsia"/>
                <w:bCs/>
                <w:sz w:val="26"/>
                <w:szCs w:val="26"/>
              </w:rPr>
            </w:pPr>
            <w:r>
              <w:rPr>
                <w:rFonts w:hint="eastAsia"/>
                <w:bCs/>
                <w:sz w:val="26"/>
                <w:szCs w:val="26"/>
              </w:rPr>
              <w:t>本项目计划于2025年</w:t>
            </w:r>
            <w:r>
              <w:rPr>
                <w:rFonts w:hint="eastAsia"/>
                <w:bCs/>
                <w:sz w:val="26"/>
                <w:szCs w:val="26"/>
                <w:lang w:val="en-US" w:eastAsia="zh-CN"/>
              </w:rPr>
              <w:t>12</w:t>
            </w:r>
            <w:r>
              <w:rPr>
                <w:rFonts w:hint="eastAsia"/>
                <w:bCs/>
                <w:sz w:val="26"/>
                <w:szCs w:val="26"/>
              </w:rPr>
              <w:t>月动工建设，于202</w:t>
            </w:r>
            <w:r>
              <w:rPr>
                <w:rFonts w:hint="eastAsia"/>
                <w:bCs/>
                <w:sz w:val="26"/>
                <w:szCs w:val="26"/>
                <w:lang w:val="en-US" w:eastAsia="zh-CN"/>
              </w:rPr>
              <w:t>6</w:t>
            </w:r>
            <w:r>
              <w:rPr>
                <w:rFonts w:hint="eastAsia"/>
                <w:bCs/>
                <w:sz w:val="26"/>
                <w:szCs w:val="26"/>
              </w:rPr>
              <w:t>年</w:t>
            </w:r>
            <w:r>
              <w:rPr>
                <w:rFonts w:hint="eastAsia"/>
                <w:bCs/>
                <w:sz w:val="26"/>
                <w:szCs w:val="26"/>
                <w:lang w:val="en-US" w:eastAsia="zh-CN"/>
              </w:rPr>
              <w:t>1</w:t>
            </w:r>
            <w:r>
              <w:rPr>
                <w:rFonts w:hint="eastAsia"/>
                <w:bCs/>
                <w:sz w:val="26"/>
                <w:szCs w:val="26"/>
              </w:rPr>
              <w:t>月改造完成并投产运行。</w:t>
            </w:r>
          </w:p>
          <w:p w14:paraId="47213623">
            <w:pPr>
              <w:adjustRightInd w:val="0"/>
              <w:snapToGrid w:val="0"/>
              <w:spacing w:line="460" w:lineRule="exact"/>
              <w:ind w:firstLine="520" w:firstLineChars="200"/>
              <w:rPr>
                <w:rFonts w:hint="default" w:eastAsia="宋体"/>
                <w:bCs/>
                <w:color w:val="FF0000"/>
                <w:sz w:val="26"/>
                <w:szCs w:val="26"/>
                <w:lang w:val="en-US" w:eastAsia="zh-CN"/>
              </w:rPr>
            </w:pPr>
            <w:r>
              <w:rPr>
                <w:rFonts w:hint="eastAsia"/>
                <w:bCs/>
                <w:color w:val="FF0000"/>
                <w:sz w:val="26"/>
                <w:szCs w:val="26"/>
                <w:lang w:val="en-US" w:eastAsia="zh-CN"/>
              </w:rPr>
              <w:t>2.1.2评价构思</w:t>
            </w:r>
          </w:p>
          <w:p w14:paraId="08F7A310">
            <w:pPr>
              <w:numPr>
                <w:ilvl w:val="0"/>
                <w:numId w:val="0"/>
              </w:numPr>
              <w:adjustRightInd w:val="0"/>
              <w:snapToGrid w:val="0"/>
              <w:spacing w:line="460" w:lineRule="exact"/>
              <w:ind w:firstLine="520" w:firstLineChars="200"/>
              <w:rPr>
                <w:rFonts w:hint="eastAsia"/>
                <w:bCs/>
                <w:color w:val="FF0000"/>
                <w:sz w:val="26"/>
                <w:szCs w:val="26"/>
                <w:lang w:val="en-US" w:eastAsia="zh-CN"/>
              </w:rPr>
            </w:pPr>
            <w:r>
              <w:rPr>
                <w:rFonts w:hint="eastAsia" w:ascii="Times New Roman" w:hAnsi="Times New Roman" w:eastAsia="宋体" w:cs="Times New Roman"/>
                <w:bCs/>
                <w:color w:val="FF0000"/>
                <w:kern w:val="2"/>
                <w:sz w:val="26"/>
                <w:szCs w:val="26"/>
                <w:lang w:val="en-US" w:eastAsia="zh-CN" w:bidi="ar-SA"/>
              </w:rPr>
              <w:t>（1）</w:t>
            </w:r>
            <w:r>
              <w:rPr>
                <w:rFonts w:hint="eastAsia"/>
                <w:bCs/>
                <w:color w:val="FF0000"/>
                <w:sz w:val="26"/>
                <w:szCs w:val="26"/>
                <w:lang w:val="en-US" w:eastAsia="zh-CN"/>
              </w:rPr>
              <w:t>项目本次拟进行的工艺改造除了站房位置和面积未发生变动外，其他建设内容及主要的产污环节均有改造或变动，同时另新增了洗车环节，因此本次评价采用项目改造前后整体污染物排放量作为项目三本账核算的依据；</w:t>
            </w:r>
          </w:p>
          <w:p w14:paraId="5014ACE6">
            <w:pPr>
              <w:numPr>
                <w:ilvl w:val="0"/>
                <w:numId w:val="0"/>
              </w:numPr>
              <w:adjustRightInd w:val="0"/>
              <w:snapToGrid w:val="0"/>
              <w:spacing w:line="460" w:lineRule="exact"/>
              <w:ind w:firstLine="520" w:firstLineChars="200"/>
              <w:rPr>
                <w:rFonts w:hint="default"/>
                <w:bCs/>
                <w:sz w:val="26"/>
                <w:szCs w:val="26"/>
                <w:lang w:val="en-US" w:eastAsia="zh-CN"/>
              </w:rPr>
            </w:pPr>
            <w:r>
              <w:rPr>
                <w:rFonts w:hint="default" w:ascii="Times New Roman" w:hAnsi="Times New Roman" w:eastAsia="宋体" w:cs="Times New Roman"/>
                <w:bCs/>
                <w:color w:val="FF0000"/>
                <w:kern w:val="2"/>
                <w:sz w:val="26"/>
                <w:szCs w:val="26"/>
                <w:lang w:val="en-US" w:eastAsia="zh-CN" w:bidi="ar-SA"/>
              </w:rPr>
              <w:t>（2）</w:t>
            </w:r>
            <w:r>
              <w:rPr>
                <w:rFonts w:hint="default"/>
                <w:bCs/>
                <w:color w:val="FF0000"/>
                <w:sz w:val="26"/>
                <w:szCs w:val="26"/>
                <w:lang w:val="en-US" w:eastAsia="zh-CN"/>
              </w:rPr>
              <w:t>项目本次</w:t>
            </w:r>
            <w:r>
              <w:rPr>
                <w:rFonts w:hint="eastAsia"/>
                <w:bCs/>
                <w:color w:val="FF0000"/>
                <w:sz w:val="26"/>
                <w:szCs w:val="26"/>
                <w:lang w:val="en-US" w:eastAsia="zh-CN"/>
              </w:rPr>
              <w:t>工艺改造</w:t>
            </w:r>
            <w:r>
              <w:rPr>
                <w:rFonts w:hint="default"/>
                <w:bCs/>
                <w:color w:val="FF0000"/>
                <w:sz w:val="26"/>
                <w:szCs w:val="26"/>
                <w:lang w:val="en-US" w:eastAsia="zh-CN"/>
              </w:rPr>
              <w:t>主要对现有项目内全厂生产设备进行利旧、淘汰或新增，因此本评价根据改扩建后全厂的设备进行噪声预测。</w:t>
            </w:r>
          </w:p>
          <w:p w14:paraId="3E95CE78">
            <w:pPr>
              <w:adjustRightInd w:val="0"/>
              <w:snapToGrid w:val="0"/>
              <w:spacing w:line="460" w:lineRule="exact"/>
              <w:jc w:val="left"/>
              <w:rPr>
                <w:b/>
                <w:sz w:val="26"/>
                <w:szCs w:val="26"/>
              </w:rPr>
            </w:pPr>
            <w:r>
              <w:rPr>
                <w:rFonts w:hint="eastAsia"/>
                <w:b/>
                <w:sz w:val="26"/>
                <w:szCs w:val="26"/>
              </w:rPr>
              <w:t>2.2地理位置与交通</w:t>
            </w:r>
          </w:p>
          <w:p w14:paraId="141EA1FF">
            <w:pPr>
              <w:adjustRightInd w:val="0"/>
              <w:snapToGrid w:val="0"/>
              <w:spacing w:line="460" w:lineRule="exact"/>
              <w:ind w:firstLine="520" w:firstLineChars="200"/>
              <w:rPr>
                <w:bCs/>
                <w:sz w:val="26"/>
                <w:szCs w:val="26"/>
              </w:rPr>
            </w:pPr>
            <w:r>
              <w:rPr>
                <w:rFonts w:hint="eastAsia"/>
                <w:bCs/>
                <w:sz w:val="26"/>
                <w:szCs w:val="26"/>
              </w:rPr>
              <w:t>本项目位于</w:t>
            </w:r>
            <w:r>
              <w:rPr>
                <w:rFonts w:hint="eastAsia"/>
                <w:kern w:val="0"/>
                <w:sz w:val="26"/>
                <w:szCs w:val="26"/>
              </w:rPr>
              <w:t>重庆市九龙坡区华福大道北段400号</w:t>
            </w:r>
            <w:r>
              <w:rPr>
                <w:rFonts w:hint="eastAsia"/>
                <w:bCs/>
                <w:sz w:val="26"/>
                <w:szCs w:val="26"/>
              </w:rPr>
              <w:t>，项目</w:t>
            </w:r>
            <w:r>
              <w:rPr>
                <w:rFonts w:hint="eastAsia"/>
                <w:bCs/>
                <w:sz w:val="26"/>
                <w:szCs w:val="26"/>
                <w:lang w:val="en-US" w:eastAsia="zh-CN"/>
              </w:rPr>
              <w:t>东</w:t>
            </w:r>
            <w:r>
              <w:rPr>
                <w:rFonts w:hint="eastAsia"/>
                <w:bCs/>
                <w:sz w:val="26"/>
                <w:szCs w:val="26"/>
              </w:rPr>
              <w:t>侧临近</w:t>
            </w:r>
            <w:r>
              <w:rPr>
                <w:rFonts w:hint="eastAsia"/>
                <w:bCs/>
                <w:sz w:val="26"/>
                <w:szCs w:val="26"/>
                <w:lang w:val="en-US" w:eastAsia="zh-CN"/>
              </w:rPr>
              <w:t>华福大道及轨道交通5号线</w:t>
            </w:r>
            <w:r>
              <w:rPr>
                <w:rFonts w:hint="eastAsia"/>
                <w:bCs/>
                <w:sz w:val="26"/>
                <w:szCs w:val="26"/>
              </w:rPr>
              <w:t>，交通较方便。</w:t>
            </w:r>
            <w:r>
              <w:rPr>
                <w:rFonts w:hint="eastAsia"/>
                <w:sz w:val="26"/>
                <w:szCs w:val="26"/>
              </w:rPr>
              <w:t>本项目站区中心坐标为</w:t>
            </w:r>
            <w:r>
              <w:rPr>
                <w:sz w:val="26"/>
                <w:szCs w:val="26"/>
              </w:rPr>
              <w:t>106度2</w:t>
            </w:r>
            <w:r>
              <w:rPr>
                <w:rFonts w:hint="eastAsia"/>
                <w:sz w:val="26"/>
                <w:szCs w:val="26"/>
                <w:lang w:val="en-US" w:eastAsia="zh-CN"/>
              </w:rPr>
              <w:t>6</w:t>
            </w:r>
            <w:r>
              <w:rPr>
                <w:sz w:val="26"/>
                <w:szCs w:val="26"/>
              </w:rPr>
              <w:t>分</w:t>
            </w:r>
            <w:r>
              <w:rPr>
                <w:rFonts w:hint="eastAsia"/>
                <w:sz w:val="26"/>
                <w:szCs w:val="26"/>
                <w:lang w:val="en-US" w:eastAsia="zh-CN"/>
              </w:rPr>
              <w:t>6.229</w:t>
            </w:r>
            <w:r>
              <w:rPr>
                <w:sz w:val="26"/>
                <w:szCs w:val="26"/>
              </w:rPr>
              <w:t>秒，29度</w:t>
            </w:r>
            <w:r>
              <w:rPr>
                <w:rFonts w:hint="eastAsia"/>
                <w:sz w:val="26"/>
                <w:szCs w:val="26"/>
                <w:lang w:val="en-US" w:eastAsia="zh-CN"/>
              </w:rPr>
              <w:t>25</w:t>
            </w:r>
            <w:r>
              <w:rPr>
                <w:sz w:val="26"/>
                <w:szCs w:val="26"/>
              </w:rPr>
              <w:t>分</w:t>
            </w:r>
            <w:r>
              <w:rPr>
                <w:rFonts w:hint="eastAsia"/>
                <w:sz w:val="26"/>
                <w:szCs w:val="26"/>
                <w:lang w:val="en-US" w:eastAsia="zh-CN"/>
              </w:rPr>
              <w:t>15.155</w:t>
            </w:r>
            <w:r>
              <w:rPr>
                <w:sz w:val="26"/>
                <w:szCs w:val="26"/>
              </w:rPr>
              <w:t>秒</w:t>
            </w:r>
            <w:r>
              <w:rPr>
                <w:rFonts w:hint="eastAsia"/>
                <w:sz w:val="26"/>
                <w:szCs w:val="26"/>
              </w:rPr>
              <w:t>。</w:t>
            </w:r>
          </w:p>
          <w:p w14:paraId="276D57DF">
            <w:pPr>
              <w:adjustRightInd w:val="0"/>
              <w:snapToGrid w:val="0"/>
              <w:spacing w:line="460" w:lineRule="exact"/>
              <w:jc w:val="left"/>
              <w:rPr>
                <w:b/>
                <w:sz w:val="26"/>
                <w:szCs w:val="26"/>
              </w:rPr>
            </w:pPr>
            <w:r>
              <w:rPr>
                <w:b/>
                <w:sz w:val="26"/>
                <w:szCs w:val="26"/>
              </w:rPr>
              <w:t>2.3</w:t>
            </w:r>
            <w:r>
              <w:rPr>
                <w:rFonts w:hint="eastAsia"/>
                <w:b/>
                <w:sz w:val="26"/>
                <w:szCs w:val="26"/>
              </w:rPr>
              <w:t>本</w:t>
            </w:r>
            <w:r>
              <w:rPr>
                <w:b/>
                <w:sz w:val="26"/>
                <w:szCs w:val="26"/>
              </w:rPr>
              <w:t>项目建设内容</w:t>
            </w:r>
          </w:p>
          <w:p w14:paraId="28D0D1D7">
            <w:pPr>
              <w:adjustRightInd w:val="0"/>
              <w:snapToGrid w:val="0"/>
              <w:spacing w:line="460" w:lineRule="exact"/>
              <w:jc w:val="left"/>
              <w:rPr>
                <w:b/>
                <w:sz w:val="26"/>
                <w:szCs w:val="26"/>
              </w:rPr>
            </w:pPr>
            <w:r>
              <w:rPr>
                <w:b/>
                <w:sz w:val="26"/>
                <w:szCs w:val="26"/>
              </w:rPr>
              <w:t>2.3.1</w:t>
            </w:r>
            <w:r>
              <w:rPr>
                <w:rFonts w:hint="eastAsia"/>
                <w:b/>
                <w:sz w:val="26"/>
                <w:szCs w:val="26"/>
              </w:rPr>
              <w:t>本</w:t>
            </w:r>
            <w:r>
              <w:rPr>
                <w:b/>
                <w:sz w:val="26"/>
                <w:szCs w:val="26"/>
              </w:rPr>
              <w:t>项目基本情况</w:t>
            </w:r>
          </w:p>
          <w:p w14:paraId="6E0EF80C">
            <w:pPr>
              <w:adjustRightInd w:val="0"/>
              <w:snapToGrid w:val="0"/>
              <w:spacing w:line="460" w:lineRule="exact"/>
              <w:ind w:firstLine="520" w:firstLineChars="200"/>
              <w:jc w:val="left"/>
              <w:rPr>
                <w:bCs/>
                <w:sz w:val="26"/>
                <w:szCs w:val="26"/>
              </w:rPr>
            </w:pPr>
            <w:r>
              <w:rPr>
                <w:bCs/>
                <w:sz w:val="26"/>
                <w:szCs w:val="26"/>
              </w:rPr>
              <w:t>（1）项目名称：</w:t>
            </w:r>
            <w:r>
              <w:rPr>
                <w:rFonts w:hint="eastAsia"/>
                <w:sz w:val="26"/>
                <w:szCs w:val="26"/>
              </w:rPr>
              <w:t>华福路加油站</w:t>
            </w:r>
            <w:r>
              <w:rPr>
                <w:rFonts w:hint="eastAsia"/>
                <w:sz w:val="26"/>
                <w:szCs w:val="26"/>
                <w:lang w:val="en-US" w:eastAsia="zh-CN"/>
              </w:rPr>
              <w:t>工艺</w:t>
            </w:r>
            <w:r>
              <w:rPr>
                <w:rFonts w:hint="eastAsia"/>
                <w:sz w:val="26"/>
                <w:szCs w:val="26"/>
              </w:rPr>
              <w:t>改造项目</w:t>
            </w:r>
          </w:p>
          <w:p w14:paraId="4F4EE77C">
            <w:pPr>
              <w:adjustRightInd w:val="0"/>
              <w:snapToGrid w:val="0"/>
              <w:spacing w:line="460" w:lineRule="exact"/>
              <w:ind w:firstLine="520" w:firstLineChars="200"/>
              <w:jc w:val="left"/>
              <w:rPr>
                <w:bCs/>
                <w:sz w:val="26"/>
                <w:szCs w:val="26"/>
              </w:rPr>
            </w:pPr>
            <w:r>
              <w:rPr>
                <w:bCs/>
                <w:sz w:val="26"/>
                <w:szCs w:val="26"/>
              </w:rPr>
              <w:t>（2）项目地点：</w:t>
            </w:r>
            <w:r>
              <w:rPr>
                <w:rFonts w:hint="eastAsia"/>
                <w:kern w:val="0"/>
                <w:sz w:val="26"/>
                <w:szCs w:val="26"/>
              </w:rPr>
              <w:t>重庆市九龙坡区华福大道北段400号</w:t>
            </w:r>
          </w:p>
          <w:p w14:paraId="21135518">
            <w:pPr>
              <w:adjustRightInd w:val="0"/>
              <w:snapToGrid w:val="0"/>
              <w:spacing w:line="460" w:lineRule="exact"/>
              <w:ind w:firstLine="520" w:firstLineChars="200"/>
              <w:jc w:val="left"/>
              <w:rPr>
                <w:bCs/>
                <w:sz w:val="26"/>
                <w:szCs w:val="26"/>
              </w:rPr>
            </w:pPr>
            <w:r>
              <w:rPr>
                <w:bCs/>
                <w:sz w:val="26"/>
                <w:szCs w:val="26"/>
              </w:rPr>
              <w:t>（3）项目性质：</w:t>
            </w:r>
            <w:r>
              <w:rPr>
                <w:rFonts w:hint="eastAsia"/>
                <w:bCs/>
                <w:sz w:val="26"/>
                <w:szCs w:val="26"/>
              </w:rPr>
              <w:t>改扩建</w:t>
            </w:r>
          </w:p>
          <w:p w14:paraId="7DB43369">
            <w:pPr>
              <w:adjustRightInd w:val="0"/>
              <w:snapToGrid w:val="0"/>
              <w:spacing w:line="460" w:lineRule="exact"/>
              <w:ind w:firstLine="520" w:firstLineChars="200"/>
              <w:jc w:val="left"/>
              <w:rPr>
                <w:bCs/>
                <w:sz w:val="26"/>
                <w:szCs w:val="26"/>
              </w:rPr>
            </w:pPr>
            <w:r>
              <w:rPr>
                <w:bCs/>
                <w:sz w:val="26"/>
                <w:szCs w:val="26"/>
              </w:rPr>
              <w:t>（4）行业类别：</w:t>
            </w:r>
            <w:r>
              <w:rPr>
                <w:sz w:val="26"/>
                <w:szCs w:val="26"/>
              </w:rPr>
              <w:t>F</w:t>
            </w:r>
            <w:r>
              <w:rPr>
                <w:rFonts w:hint="eastAsia"/>
                <w:sz w:val="26"/>
                <w:szCs w:val="26"/>
              </w:rPr>
              <w:t>5</w:t>
            </w:r>
            <w:r>
              <w:rPr>
                <w:sz w:val="26"/>
                <w:szCs w:val="26"/>
              </w:rPr>
              <w:t>265</w:t>
            </w:r>
            <w:r>
              <w:rPr>
                <w:rFonts w:hint="eastAsia"/>
                <w:sz w:val="26"/>
                <w:szCs w:val="26"/>
              </w:rPr>
              <w:t>机动车燃油零售</w:t>
            </w:r>
          </w:p>
          <w:p w14:paraId="05253E1B">
            <w:pPr>
              <w:adjustRightInd w:val="0"/>
              <w:snapToGrid w:val="0"/>
              <w:spacing w:line="460" w:lineRule="exact"/>
              <w:ind w:firstLine="520" w:firstLineChars="200"/>
              <w:jc w:val="left"/>
              <w:rPr>
                <w:bCs/>
                <w:sz w:val="26"/>
                <w:szCs w:val="26"/>
              </w:rPr>
            </w:pPr>
            <w:r>
              <w:rPr>
                <w:bCs/>
                <w:sz w:val="26"/>
                <w:szCs w:val="26"/>
              </w:rPr>
              <w:t>（</w:t>
            </w:r>
            <w:r>
              <w:rPr>
                <w:rFonts w:hint="eastAsia"/>
                <w:bCs/>
                <w:sz w:val="26"/>
                <w:szCs w:val="26"/>
                <w:lang w:val="en-US" w:eastAsia="zh-CN"/>
              </w:rPr>
              <w:t>5</w:t>
            </w:r>
            <w:r>
              <w:rPr>
                <w:bCs/>
                <w:sz w:val="26"/>
                <w:szCs w:val="26"/>
              </w:rPr>
              <w:t>）建设单位：</w:t>
            </w:r>
            <w:r>
              <w:rPr>
                <w:rFonts w:hint="eastAsia"/>
                <w:sz w:val="26"/>
                <w:szCs w:val="26"/>
              </w:rPr>
              <w:t>中国石化销售有限公司重庆石油分公司</w:t>
            </w:r>
          </w:p>
          <w:p w14:paraId="00CC4823">
            <w:pPr>
              <w:adjustRightInd w:val="0"/>
              <w:snapToGrid w:val="0"/>
              <w:spacing w:line="460" w:lineRule="exact"/>
              <w:ind w:firstLine="520" w:firstLineChars="200"/>
              <w:jc w:val="left"/>
              <w:rPr>
                <w:bCs/>
                <w:sz w:val="26"/>
                <w:szCs w:val="26"/>
              </w:rPr>
            </w:pPr>
            <w:r>
              <w:rPr>
                <w:bCs/>
                <w:sz w:val="26"/>
                <w:szCs w:val="26"/>
              </w:rPr>
              <w:t>（</w:t>
            </w:r>
            <w:r>
              <w:rPr>
                <w:rFonts w:hint="eastAsia"/>
                <w:bCs/>
                <w:sz w:val="26"/>
                <w:szCs w:val="26"/>
                <w:lang w:val="en-US" w:eastAsia="zh-CN"/>
              </w:rPr>
              <w:t>6</w:t>
            </w:r>
            <w:r>
              <w:rPr>
                <w:bCs/>
                <w:sz w:val="26"/>
                <w:szCs w:val="26"/>
              </w:rPr>
              <w:t>）劳动定员：</w:t>
            </w:r>
            <w:r>
              <w:rPr>
                <w:rFonts w:hint="eastAsia"/>
                <w:bCs/>
                <w:sz w:val="26"/>
                <w:szCs w:val="26"/>
              </w:rPr>
              <w:t>不新增，</w:t>
            </w:r>
            <w:r>
              <w:rPr>
                <w:rFonts w:hint="eastAsia"/>
                <w:bCs/>
                <w:sz w:val="26"/>
                <w:szCs w:val="26"/>
                <w:lang w:val="en-US" w:eastAsia="zh-CN"/>
              </w:rPr>
              <w:t>7</w:t>
            </w:r>
            <w:r>
              <w:rPr>
                <w:rFonts w:hint="eastAsia"/>
                <w:bCs/>
                <w:sz w:val="26"/>
                <w:szCs w:val="26"/>
              </w:rPr>
              <w:t>人，含安全环保管理人员1人</w:t>
            </w:r>
            <w:r>
              <w:rPr>
                <w:bCs/>
                <w:sz w:val="26"/>
                <w:szCs w:val="26"/>
              </w:rPr>
              <w:t>。</w:t>
            </w:r>
          </w:p>
          <w:p w14:paraId="37F80E47">
            <w:pPr>
              <w:adjustRightInd w:val="0"/>
              <w:snapToGrid w:val="0"/>
              <w:spacing w:line="460" w:lineRule="exact"/>
              <w:ind w:firstLine="520" w:firstLineChars="200"/>
              <w:jc w:val="left"/>
              <w:rPr>
                <w:bCs/>
                <w:sz w:val="26"/>
                <w:szCs w:val="26"/>
              </w:rPr>
            </w:pPr>
            <w:r>
              <w:rPr>
                <w:bCs/>
                <w:sz w:val="26"/>
                <w:szCs w:val="26"/>
              </w:rPr>
              <w:t>（</w:t>
            </w:r>
            <w:r>
              <w:rPr>
                <w:rFonts w:hint="eastAsia"/>
                <w:bCs/>
                <w:sz w:val="26"/>
                <w:szCs w:val="26"/>
                <w:lang w:val="en-US" w:eastAsia="zh-CN"/>
              </w:rPr>
              <w:t>7</w:t>
            </w:r>
            <w:r>
              <w:rPr>
                <w:bCs/>
                <w:sz w:val="26"/>
                <w:szCs w:val="26"/>
              </w:rPr>
              <w:t>）工作制度：每天3班，每班8h工作制，年</w:t>
            </w:r>
            <w:r>
              <w:rPr>
                <w:rFonts w:hint="eastAsia"/>
                <w:bCs/>
                <w:sz w:val="26"/>
                <w:szCs w:val="26"/>
              </w:rPr>
              <w:t>营业</w:t>
            </w:r>
            <w:r>
              <w:rPr>
                <w:bCs/>
                <w:sz w:val="26"/>
                <w:szCs w:val="26"/>
              </w:rPr>
              <w:t>365d。</w:t>
            </w:r>
          </w:p>
          <w:p w14:paraId="04DA5610">
            <w:pPr>
              <w:adjustRightInd w:val="0"/>
              <w:snapToGrid w:val="0"/>
              <w:spacing w:line="460" w:lineRule="exact"/>
              <w:ind w:firstLine="520" w:firstLineChars="200"/>
              <w:rPr>
                <w:rFonts w:hint="eastAsia" w:eastAsia="宋体"/>
                <w:bCs/>
                <w:sz w:val="26"/>
                <w:szCs w:val="26"/>
                <w:lang w:val="en-US" w:eastAsia="zh-CN"/>
              </w:rPr>
            </w:pPr>
            <w:r>
              <w:rPr>
                <w:bCs/>
                <w:sz w:val="26"/>
                <w:szCs w:val="26"/>
              </w:rPr>
              <w:t>（</w:t>
            </w:r>
            <w:r>
              <w:rPr>
                <w:rFonts w:hint="eastAsia"/>
                <w:bCs/>
                <w:sz w:val="26"/>
                <w:szCs w:val="26"/>
                <w:lang w:val="en-US" w:eastAsia="zh-CN"/>
              </w:rPr>
              <w:t>8</w:t>
            </w:r>
            <w:r>
              <w:rPr>
                <w:bCs/>
                <w:sz w:val="26"/>
                <w:szCs w:val="26"/>
              </w:rPr>
              <w:t>）建设规模和内容：本项目不新增占地</w:t>
            </w:r>
            <w:r>
              <w:rPr>
                <w:rFonts w:hint="eastAsia"/>
                <w:bCs/>
                <w:sz w:val="26"/>
                <w:szCs w:val="26"/>
              </w:rPr>
              <w:t>，不新增建构筑物</w:t>
            </w:r>
            <w:r>
              <w:rPr>
                <w:bCs/>
                <w:sz w:val="26"/>
                <w:szCs w:val="26"/>
              </w:rPr>
              <w:t>，在</w:t>
            </w:r>
            <w:r>
              <w:rPr>
                <w:rFonts w:hint="eastAsia"/>
                <w:bCs/>
                <w:sz w:val="26"/>
                <w:szCs w:val="26"/>
              </w:rPr>
              <w:t>原有工程占地范围内</w:t>
            </w:r>
            <w:r>
              <w:rPr>
                <w:bCs/>
                <w:sz w:val="26"/>
                <w:szCs w:val="26"/>
              </w:rPr>
              <w:t>进行</w:t>
            </w:r>
            <w:r>
              <w:rPr>
                <w:rFonts w:hint="eastAsia"/>
                <w:bCs/>
                <w:sz w:val="26"/>
                <w:szCs w:val="26"/>
              </w:rPr>
              <w:t>油罐更替、管道更替、油罐</w:t>
            </w:r>
            <w:r>
              <w:rPr>
                <w:rFonts w:hint="eastAsia"/>
                <w:bCs/>
                <w:sz w:val="26"/>
                <w:szCs w:val="26"/>
                <w:lang w:val="en-US" w:eastAsia="zh-CN"/>
              </w:rPr>
              <w:t>种类及罐</w:t>
            </w:r>
            <w:r>
              <w:rPr>
                <w:rFonts w:hint="eastAsia"/>
                <w:bCs/>
                <w:sz w:val="26"/>
                <w:szCs w:val="26"/>
              </w:rPr>
              <w:t>容</w:t>
            </w:r>
            <w:r>
              <w:rPr>
                <w:rFonts w:hint="eastAsia"/>
                <w:bCs/>
                <w:sz w:val="26"/>
                <w:szCs w:val="26"/>
                <w:lang w:val="en-US" w:eastAsia="zh-CN"/>
              </w:rPr>
              <w:t>变更</w:t>
            </w:r>
            <w:r>
              <w:rPr>
                <w:rFonts w:hint="eastAsia"/>
                <w:bCs/>
                <w:sz w:val="26"/>
                <w:szCs w:val="26"/>
              </w:rPr>
              <w:t>及油罐防渗区完善改造，</w:t>
            </w:r>
            <w:r>
              <w:rPr>
                <w:rFonts w:hint="eastAsia"/>
                <w:bCs/>
                <w:sz w:val="26"/>
                <w:szCs w:val="26"/>
                <w:lang w:val="en-US" w:eastAsia="zh-CN"/>
              </w:rPr>
              <w:t>新增及更替加油机及其管线；卸油设施及消防设施的拆除及重新建设；</w:t>
            </w:r>
            <w:r>
              <w:rPr>
                <w:rFonts w:hint="eastAsia"/>
                <w:bCs/>
                <w:sz w:val="26"/>
                <w:szCs w:val="26"/>
              </w:rPr>
              <w:t>新增三次油气回收系统装置</w:t>
            </w:r>
            <w:r>
              <w:rPr>
                <w:rFonts w:hint="eastAsia"/>
                <w:bCs/>
                <w:sz w:val="26"/>
                <w:szCs w:val="26"/>
                <w:lang w:val="en-US" w:eastAsia="zh-CN"/>
              </w:rPr>
              <w:t>及自动洗车机</w:t>
            </w:r>
            <w:r>
              <w:rPr>
                <w:rFonts w:hint="eastAsia"/>
                <w:bCs/>
                <w:sz w:val="26"/>
                <w:szCs w:val="26"/>
              </w:rPr>
              <w:t>。</w:t>
            </w:r>
          </w:p>
          <w:p w14:paraId="1601E4F3">
            <w:pPr>
              <w:adjustRightInd w:val="0"/>
              <w:snapToGrid w:val="0"/>
              <w:spacing w:line="460" w:lineRule="exact"/>
              <w:ind w:firstLine="520" w:firstLineChars="200"/>
              <w:jc w:val="left"/>
              <w:rPr>
                <w:bCs/>
                <w:sz w:val="26"/>
                <w:szCs w:val="26"/>
              </w:rPr>
            </w:pPr>
            <w:r>
              <w:rPr>
                <w:rFonts w:hint="eastAsia"/>
                <w:bCs/>
                <w:sz w:val="26"/>
                <w:szCs w:val="26"/>
              </w:rPr>
              <w:t>（</w:t>
            </w:r>
            <w:r>
              <w:rPr>
                <w:rFonts w:hint="eastAsia"/>
                <w:bCs/>
                <w:sz w:val="26"/>
                <w:szCs w:val="26"/>
                <w:lang w:val="en-US" w:eastAsia="zh-CN"/>
              </w:rPr>
              <w:t>9</w:t>
            </w:r>
            <w:r>
              <w:rPr>
                <w:rFonts w:hint="eastAsia"/>
                <w:bCs/>
                <w:sz w:val="26"/>
                <w:szCs w:val="26"/>
              </w:rPr>
              <w:t>）加油站等级</w:t>
            </w:r>
          </w:p>
          <w:p w14:paraId="2B420B34">
            <w:pPr>
              <w:adjustRightInd w:val="0"/>
              <w:snapToGrid w:val="0"/>
              <w:spacing w:line="460" w:lineRule="exact"/>
              <w:ind w:firstLine="520" w:firstLineChars="200"/>
              <w:rPr>
                <w:bCs/>
                <w:sz w:val="26"/>
                <w:szCs w:val="26"/>
              </w:rPr>
            </w:pPr>
            <w:r>
              <w:rPr>
                <w:rFonts w:hint="eastAsia"/>
                <w:bCs/>
                <w:sz w:val="26"/>
                <w:szCs w:val="26"/>
                <w:lang w:val="en-US" w:eastAsia="zh-CN"/>
              </w:rPr>
              <w:t>本</w:t>
            </w:r>
            <w:r>
              <w:rPr>
                <w:rFonts w:hint="eastAsia"/>
                <w:bCs/>
                <w:sz w:val="26"/>
                <w:szCs w:val="26"/>
              </w:rPr>
              <w:t>项目</w:t>
            </w:r>
            <w:r>
              <w:rPr>
                <w:rFonts w:hint="eastAsia"/>
                <w:bCs/>
                <w:sz w:val="26"/>
                <w:szCs w:val="26"/>
                <w:lang w:val="en-US" w:eastAsia="zh-CN"/>
              </w:rPr>
              <w:t>工艺</w:t>
            </w:r>
            <w:r>
              <w:rPr>
                <w:rFonts w:hint="eastAsia"/>
                <w:bCs/>
                <w:sz w:val="26"/>
                <w:szCs w:val="26"/>
              </w:rPr>
              <w:t>改造</w:t>
            </w:r>
            <w:r>
              <w:rPr>
                <w:rFonts w:hint="eastAsia"/>
                <w:bCs/>
                <w:sz w:val="26"/>
                <w:szCs w:val="26"/>
                <w:lang w:val="en-US" w:eastAsia="zh-CN"/>
              </w:rPr>
              <w:t>完成</w:t>
            </w:r>
            <w:r>
              <w:rPr>
                <w:rFonts w:hint="eastAsia"/>
                <w:bCs/>
                <w:sz w:val="26"/>
                <w:szCs w:val="26"/>
              </w:rPr>
              <w:t>后，油罐总罐容为100m</w:t>
            </w:r>
            <w:r>
              <w:rPr>
                <w:rFonts w:hint="eastAsia"/>
                <w:bCs/>
                <w:sz w:val="26"/>
                <w:szCs w:val="26"/>
                <w:vertAlign w:val="superscript"/>
                <w:lang w:val="en-US" w:eastAsia="zh-CN"/>
              </w:rPr>
              <w:t>3</w:t>
            </w:r>
            <w:r>
              <w:rPr>
                <w:rFonts w:hint="eastAsia"/>
                <w:bCs/>
                <w:sz w:val="26"/>
                <w:szCs w:val="26"/>
              </w:rPr>
              <w:t>，折合后罐容为90 m</w:t>
            </w:r>
            <w:r>
              <w:rPr>
                <w:rFonts w:hint="eastAsia"/>
                <w:bCs/>
                <w:sz w:val="26"/>
                <w:szCs w:val="26"/>
                <w:vertAlign w:val="superscript"/>
                <w:lang w:val="en-US" w:eastAsia="zh-CN"/>
              </w:rPr>
              <w:t>3</w:t>
            </w:r>
            <w:r>
              <w:rPr>
                <w:rFonts w:hint="eastAsia"/>
                <w:bCs/>
                <w:sz w:val="26"/>
                <w:szCs w:val="26"/>
              </w:rPr>
              <w:t>（柴油折半计算）。根据《汽车加油加气加氢站技术标准》（GB50156-2021），改造完成后</w:t>
            </w:r>
            <w:r>
              <w:rPr>
                <w:rFonts w:hint="eastAsia"/>
                <w:bCs/>
                <w:sz w:val="26"/>
                <w:szCs w:val="26"/>
                <w:lang w:val="en-US" w:eastAsia="zh-CN"/>
              </w:rPr>
              <w:t>的华福路</w:t>
            </w:r>
            <w:r>
              <w:rPr>
                <w:rFonts w:hint="eastAsia"/>
                <w:bCs/>
                <w:sz w:val="26"/>
                <w:szCs w:val="26"/>
              </w:rPr>
              <w:t>加油站仍为三级加油站。</w:t>
            </w:r>
          </w:p>
          <w:p w14:paraId="6CACF4A0">
            <w:pPr>
              <w:adjustRightInd w:val="0"/>
              <w:snapToGrid w:val="0"/>
              <w:spacing w:line="460" w:lineRule="exact"/>
              <w:ind w:firstLine="520" w:firstLineChars="200"/>
              <w:rPr>
                <w:bCs/>
                <w:sz w:val="26"/>
                <w:szCs w:val="26"/>
              </w:rPr>
            </w:pPr>
            <w:r>
              <w:rPr>
                <w:rFonts w:hint="eastAsia"/>
                <w:bCs/>
                <w:sz w:val="26"/>
                <w:szCs w:val="26"/>
              </w:rPr>
              <w:t>（</w:t>
            </w:r>
            <w:r>
              <w:rPr>
                <w:rFonts w:hint="eastAsia"/>
                <w:bCs/>
                <w:sz w:val="26"/>
                <w:szCs w:val="26"/>
                <w:lang w:val="en-US" w:eastAsia="zh-CN"/>
              </w:rPr>
              <w:t>10</w:t>
            </w:r>
            <w:r>
              <w:rPr>
                <w:rFonts w:hint="eastAsia"/>
                <w:bCs/>
                <w:sz w:val="26"/>
                <w:szCs w:val="26"/>
              </w:rPr>
              <w:t>）成品油来源</w:t>
            </w:r>
          </w:p>
          <w:p w14:paraId="021B6AB8">
            <w:pPr>
              <w:adjustRightInd w:val="0"/>
              <w:snapToGrid w:val="0"/>
              <w:spacing w:line="460" w:lineRule="exact"/>
              <w:ind w:firstLine="520" w:firstLineChars="200"/>
              <w:rPr>
                <w:bCs/>
                <w:sz w:val="26"/>
                <w:szCs w:val="26"/>
              </w:rPr>
            </w:pPr>
            <w:r>
              <w:rPr>
                <w:rFonts w:hint="eastAsia"/>
                <w:bCs/>
                <w:sz w:val="26"/>
                <w:szCs w:val="26"/>
              </w:rPr>
              <w:t>项目成品油来源</w:t>
            </w:r>
            <w:r>
              <w:rPr>
                <w:rFonts w:hint="eastAsia"/>
                <w:bCs/>
                <w:sz w:val="26"/>
                <w:szCs w:val="26"/>
                <w:lang w:val="en-US" w:eastAsia="zh-CN"/>
              </w:rPr>
              <w:t>保持不变，</w:t>
            </w:r>
            <w:r>
              <w:rPr>
                <w:rFonts w:hint="eastAsia"/>
                <w:bCs/>
                <w:sz w:val="26"/>
                <w:szCs w:val="26"/>
              </w:rPr>
              <w:t>仍为中国石化销售有限公司重庆分公司运输提供。</w:t>
            </w:r>
          </w:p>
          <w:p w14:paraId="74CA9131">
            <w:pPr>
              <w:adjustRightInd w:val="0"/>
              <w:snapToGrid w:val="0"/>
              <w:spacing w:line="460" w:lineRule="exact"/>
              <w:jc w:val="left"/>
              <w:rPr>
                <w:b/>
                <w:sz w:val="26"/>
                <w:szCs w:val="26"/>
              </w:rPr>
            </w:pPr>
            <w:r>
              <w:rPr>
                <w:b/>
                <w:sz w:val="26"/>
                <w:szCs w:val="26"/>
              </w:rPr>
              <w:t>2.3.2项目组成</w:t>
            </w:r>
          </w:p>
          <w:p w14:paraId="1A310288">
            <w:pPr>
              <w:adjustRightInd w:val="0"/>
              <w:snapToGrid w:val="0"/>
              <w:spacing w:line="460" w:lineRule="exact"/>
              <w:ind w:firstLine="520" w:firstLineChars="200"/>
              <w:rPr>
                <w:bCs/>
                <w:sz w:val="26"/>
                <w:szCs w:val="26"/>
              </w:rPr>
            </w:pPr>
            <w:r>
              <w:rPr>
                <w:bCs/>
                <w:sz w:val="26"/>
                <w:szCs w:val="26"/>
              </w:rPr>
              <w:t>本项目由主体工程、辅助工程、公用工程、环保工程、储运工程、依托工程等组成，本项目具体项目组成表见下表：</w:t>
            </w:r>
          </w:p>
          <w:p w14:paraId="20730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2"/>
                <w:szCs w:val="22"/>
              </w:rPr>
            </w:pPr>
            <w:r>
              <w:rPr>
                <w:bCs/>
                <w:sz w:val="22"/>
                <w:szCs w:val="22"/>
              </w:rPr>
              <w:t>表2.3</w:t>
            </w:r>
            <w:r>
              <w:rPr>
                <w:rFonts w:hint="eastAsia"/>
                <w:bCs/>
                <w:sz w:val="22"/>
                <w:szCs w:val="22"/>
              </w:rPr>
              <w:t>-</w:t>
            </w:r>
            <w:r>
              <w:rPr>
                <w:bCs/>
                <w:sz w:val="22"/>
                <w:szCs w:val="22"/>
              </w:rPr>
              <w:t>1</w:t>
            </w:r>
            <w:r>
              <w:rPr>
                <w:rFonts w:hint="eastAsia"/>
                <w:bCs/>
                <w:sz w:val="22"/>
                <w:szCs w:val="22"/>
                <w:lang w:val="en-US" w:eastAsia="zh-CN"/>
              </w:rPr>
              <w:t xml:space="preserve">  </w:t>
            </w:r>
            <w:r>
              <w:rPr>
                <w:rFonts w:hint="eastAsia"/>
                <w:bCs/>
                <w:sz w:val="22"/>
                <w:szCs w:val="22"/>
              </w:rPr>
              <w:t>本</w:t>
            </w:r>
            <w:r>
              <w:rPr>
                <w:bCs/>
                <w:sz w:val="22"/>
                <w:szCs w:val="22"/>
              </w:rPr>
              <w:t>项目组成表</w:t>
            </w:r>
          </w:p>
          <w:tbl>
            <w:tblPr>
              <w:tblStyle w:val="17"/>
              <w:tblW w:w="498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45"/>
              <w:gridCol w:w="443"/>
              <w:gridCol w:w="1031"/>
              <w:gridCol w:w="4654"/>
              <w:gridCol w:w="1104"/>
            </w:tblGrid>
            <w:tr w14:paraId="4DB4E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Align w:val="center"/>
                </w:tcPr>
                <w:p w14:paraId="78B44233">
                  <w:pPr>
                    <w:jc w:val="center"/>
                    <w:rPr>
                      <w:sz w:val="22"/>
                      <w:szCs w:val="22"/>
                    </w:rPr>
                  </w:pPr>
                  <w:r>
                    <w:rPr>
                      <w:sz w:val="22"/>
                      <w:szCs w:val="22"/>
                    </w:rPr>
                    <w:t>工程</w:t>
                  </w:r>
                </w:p>
                <w:p w14:paraId="365C9058">
                  <w:pPr>
                    <w:jc w:val="center"/>
                    <w:rPr>
                      <w:sz w:val="22"/>
                      <w:szCs w:val="22"/>
                    </w:rPr>
                  </w:pPr>
                  <w:r>
                    <w:rPr>
                      <w:sz w:val="22"/>
                      <w:szCs w:val="22"/>
                    </w:rPr>
                    <w:t>分类</w:t>
                  </w:r>
                </w:p>
              </w:tc>
              <w:tc>
                <w:tcPr>
                  <w:tcW w:w="1462" w:type="dxa"/>
                  <w:gridSpan w:val="2"/>
                  <w:vAlign w:val="center"/>
                </w:tcPr>
                <w:p w14:paraId="181A5684">
                  <w:pPr>
                    <w:jc w:val="center"/>
                    <w:rPr>
                      <w:sz w:val="22"/>
                      <w:szCs w:val="22"/>
                    </w:rPr>
                  </w:pPr>
                  <w:r>
                    <w:rPr>
                      <w:sz w:val="22"/>
                      <w:szCs w:val="22"/>
                    </w:rPr>
                    <w:t>项目</w:t>
                  </w:r>
                </w:p>
                <w:p w14:paraId="4575B190">
                  <w:pPr>
                    <w:jc w:val="center"/>
                    <w:rPr>
                      <w:sz w:val="22"/>
                      <w:szCs w:val="22"/>
                    </w:rPr>
                  </w:pPr>
                  <w:r>
                    <w:rPr>
                      <w:sz w:val="22"/>
                      <w:szCs w:val="22"/>
                    </w:rPr>
                    <w:t>组成</w:t>
                  </w:r>
                </w:p>
              </w:tc>
              <w:tc>
                <w:tcPr>
                  <w:tcW w:w="4617" w:type="dxa"/>
                  <w:vAlign w:val="center"/>
                </w:tcPr>
                <w:p w14:paraId="4F29B036">
                  <w:pPr>
                    <w:jc w:val="center"/>
                    <w:rPr>
                      <w:sz w:val="22"/>
                      <w:szCs w:val="22"/>
                    </w:rPr>
                  </w:pPr>
                  <w:r>
                    <w:rPr>
                      <w:sz w:val="22"/>
                      <w:szCs w:val="22"/>
                    </w:rPr>
                    <w:t>规模及主要内容</w:t>
                  </w:r>
                </w:p>
              </w:tc>
              <w:tc>
                <w:tcPr>
                  <w:tcW w:w="1095" w:type="dxa"/>
                  <w:vAlign w:val="center"/>
                </w:tcPr>
                <w:p w14:paraId="0D59EBBA">
                  <w:pPr>
                    <w:jc w:val="center"/>
                    <w:rPr>
                      <w:sz w:val="22"/>
                      <w:szCs w:val="22"/>
                    </w:rPr>
                  </w:pPr>
                  <w:r>
                    <w:rPr>
                      <w:sz w:val="22"/>
                      <w:szCs w:val="22"/>
                    </w:rPr>
                    <w:t>备注</w:t>
                  </w:r>
                </w:p>
              </w:tc>
            </w:tr>
            <w:tr w14:paraId="3CACF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restart"/>
                  <w:vAlign w:val="center"/>
                </w:tcPr>
                <w:p w14:paraId="2FD39DC2">
                  <w:pPr>
                    <w:jc w:val="center"/>
                    <w:rPr>
                      <w:sz w:val="22"/>
                      <w:szCs w:val="22"/>
                    </w:rPr>
                  </w:pPr>
                  <w:r>
                    <w:rPr>
                      <w:sz w:val="22"/>
                      <w:szCs w:val="22"/>
                    </w:rPr>
                    <w:t>主体工程</w:t>
                  </w:r>
                </w:p>
              </w:tc>
              <w:tc>
                <w:tcPr>
                  <w:tcW w:w="1462" w:type="dxa"/>
                  <w:gridSpan w:val="2"/>
                  <w:tcBorders>
                    <w:bottom w:val="single" w:color="auto" w:sz="4" w:space="0"/>
                  </w:tcBorders>
                  <w:shd w:val="clear" w:color="auto" w:fill="auto"/>
                  <w:vAlign w:val="center"/>
                </w:tcPr>
                <w:p w14:paraId="6457F6AA">
                  <w:pPr>
                    <w:jc w:val="center"/>
                    <w:rPr>
                      <w:rFonts w:ascii="Times New Roman" w:hAnsi="Times New Roman" w:eastAsia="宋体" w:cs="Times New Roman"/>
                      <w:bCs/>
                      <w:kern w:val="2"/>
                      <w:sz w:val="22"/>
                      <w:szCs w:val="22"/>
                      <w:lang w:val="en-US" w:eastAsia="zh-CN" w:bidi="ar-SA"/>
                    </w:rPr>
                  </w:pPr>
                  <w:r>
                    <w:rPr>
                      <w:rFonts w:hint="eastAsia"/>
                      <w:bCs/>
                      <w:sz w:val="22"/>
                      <w:szCs w:val="22"/>
                    </w:rPr>
                    <w:t>卸油区</w:t>
                  </w:r>
                </w:p>
              </w:tc>
              <w:tc>
                <w:tcPr>
                  <w:tcW w:w="4617" w:type="dxa"/>
                  <w:tcBorders>
                    <w:top w:val="single" w:color="auto" w:sz="4" w:space="0"/>
                    <w:bottom w:val="single" w:color="auto" w:sz="4" w:space="0"/>
                  </w:tcBorders>
                  <w:shd w:val="clear" w:color="auto" w:fill="auto"/>
                  <w:vAlign w:val="center"/>
                </w:tcPr>
                <w:p w14:paraId="5CDA10A0">
                  <w:pPr>
                    <w:rPr>
                      <w:rFonts w:hint="default"/>
                      <w:b/>
                      <w:bCs/>
                      <w:color w:val="FF0000"/>
                      <w:sz w:val="22"/>
                      <w:szCs w:val="22"/>
                      <w:lang w:val="en-US" w:eastAsia="zh-CN"/>
                    </w:rPr>
                  </w:pPr>
                  <w:r>
                    <w:rPr>
                      <w:rFonts w:hint="eastAsia"/>
                      <w:b/>
                      <w:bCs/>
                      <w:color w:val="FF0000"/>
                      <w:sz w:val="22"/>
                      <w:szCs w:val="22"/>
                      <w:lang w:val="en-US" w:eastAsia="zh-CN"/>
                    </w:rPr>
                    <w:t>拆除工程：</w:t>
                  </w:r>
                </w:p>
                <w:p w14:paraId="089D8CE0">
                  <w:pPr>
                    <w:rPr>
                      <w:rFonts w:hint="default"/>
                      <w:color w:val="FF0000"/>
                      <w:sz w:val="22"/>
                      <w:szCs w:val="22"/>
                      <w:lang w:val="en-US" w:eastAsia="zh-CN"/>
                    </w:rPr>
                  </w:pPr>
                  <w:r>
                    <w:rPr>
                      <w:rFonts w:hint="eastAsia"/>
                      <w:color w:val="FF0000"/>
                      <w:sz w:val="22"/>
                      <w:szCs w:val="22"/>
                      <w:lang w:val="en-US" w:eastAsia="zh-CN"/>
                    </w:rPr>
                    <w:t>将现有位于加油站西侧的卸油装置（包括密闭卸油口箱及其密闭卸油油气回收快速接头）拆除并交有资质单位转运处置。</w:t>
                  </w:r>
                </w:p>
                <w:p w14:paraId="533128F0">
                  <w:pPr>
                    <w:rPr>
                      <w:rFonts w:hint="eastAsia"/>
                      <w:b/>
                      <w:bCs/>
                      <w:sz w:val="22"/>
                      <w:szCs w:val="22"/>
                      <w:lang w:val="en-US" w:eastAsia="zh-CN"/>
                    </w:rPr>
                  </w:pPr>
                  <w:r>
                    <w:rPr>
                      <w:rFonts w:hint="eastAsia"/>
                      <w:b/>
                      <w:bCs/>
                      <w:sz w:val="22"/>
                      <w:szCs w:val="22"/>
                      <w:lang w:val="en-US" w:eastAsia="zh-CN"/>
                    </w:rPr>
                    <w:t>改造工程：</w:t>
                  </w:r>
                </w:p>
                <w:p w14:paraId="1D9EB3C6">
                  <w:pPr>
                    <w:rPr>
                      <w:rFonts w:hint="eastAsia" w:ascii="Times New Roman" w:hAnsi="Times New Roman" w:eastAsia="宋体" w:cs="Times New Roman"/>
                      <w:bCs/>
                      <w:kern w:val="2"/>
                      <w:sz w:val="22"/>
                      <w:szCs w:val="22"/>
                      <w:lang w:val="en-US" w:eastAsia="zh-CN" w:bidi="ar-SA"/>
                    </w:rPr>
                  </w:pPr>
                  <w:r>
                    <w:rPr>
                      <w:rFonts w:hint="eastAsia"/>
                      <w:sz w:val="22"/>
                      <w:szCs w:val="22"/>
                      <w:lang w:val="en-US" w:eastAsia="zh-CN"/>
                    </w:rPr>
                    <w:t>改造后在</w:t>
                  </w:r>
                  <w:r>
                    <w:rPr>
                      <w:rFonts w:hint="eastAsia"/>
                      <w:sz w:val="22"/>
                      <w:szCs w:val="22"/>
                    </w:rPr>
                    <w:t>加油站</w:t>
                  </w:r>
                  <w:r>
                    <w:rPr>
                      <w:rFonts w:hint="eastAsia"/>
                      <w:sz w:val="22"/>
                      <w:szCs w:val="22"/>
                      <w:lang w:val="en-US" w:eastAsia="zh-CN"/>
                    </w:rPr>
                    <w:t>南</w:t>
                  </w:r>
                  <w:r>
                    <w:rPr>
                      <w:rFonts w:hint="eastAsia"/>
                      <w:sz w:val="22"/>
                      <w:szCs w:val="22"/>
                    </w:rPr>
                    <w:t>侧</w:t>
                  </w:r>
                  <w:r>
                    <w:rPr>
                      <w:rFonts w:hint="eastAsia"/>
                      <w:sz w:val="22"/>
                      <w:szCs w:val="22"/>
                      <w:lang w:val="en-US" w:eastAsia="zh-CN"/>
                    </w:rPr>
                    <w:t>新增</w:t>
                  </w:r>
                  <w:r>
                    <w:rPr>
                      <w:rFonts w:hint="eastAsia"/>
                      <w:sz w:val="22"/>
                      <w:szCs w:val="22"/>
                    </w:rPr>
                    <w:t>设置1处密闭卸油口箱，箱内包括4个密闭卸油油气回收快速接头（对应</w:t>
                  </w:r>
                  <w:r>
                    <w:rPr>
                      <w:sz w:val="22"/>
                      <w:szCs w:val="22"/>
                    </w:rPr>
                    <w:t>4</w:t>
                  </w:r>
                  <w:r>
                    <w:rPr>
                      <w:rFonts w:hint="eastAsia"/>
                      <w:sz w:val="22"/>
                      <w:szCs w:val="22"/>
                    </w:rPr>
                    <w:t>种标号汽柴油）</w:t>
                  </w:r>
                  <w:r>
                    <w:rPr>
                      <w:rFonts w:hint="eastAsia"/>
                      <w:sz w:val="22"/>
                      <w:szCs w:val="22"/>
                      <w:lang w:eastAsia="zh-CN"/>
                    </w:rPr>
                    <w:t>，</w:t>
                  </w:r>
                  <w:r>
                    <w:rPr>
                      <w:rFonts w:hint="eastAsia"/>
                      <w:sz w:val="22"/>
                      <w:szCs w:val="22"/>
                    </w:rPr>
                    <w:t>1处报警装置、</w:t>
                  </w:r>
                  <w:r>
                    <w:rPr>
                      <w:rFonts w:hint="eastAsia"/>
                      <w:sz w:val="22"/>
                      <w:szCs w:val="22"/>
                      <w:lang w:val="en-US" w:eastAsia="zh-CN"/>
                    </w:rPr>
                    <w:t>利旧现有</w:t>
                  </w:r>
                  <w:r>
                    <w:rPr>
                      <w:rFonts w:hint="eastAsia"/>
                      <w:sz w:val="22"/>
                      <w:szCs w:val="22"/>
                    </w:rPr>
                    <w:t>4根通气立管（含3根汽油通气立管、1根柴油通气立管），配套有渗漏探测系统、液位仪系统及防雷防静电系统</w:t>
                  </w:r>
                </w:p>
              </w:tc>
              <w:tc>
                <w:tcPr>
                  <w:tcW w:w="1095" w:type="dxa"/>
                  <w:tcBorders>
                    <w:top w:val="single" w:color="auto" w:sz="4" w:space="0"/>
                    <w:bottom w:val="single" w:color="auto" w:sz="4" w:space="0"/>
                  </w:tcBorders>
                  <w:shd w:val="clear" w:color="auto" w:fill="auto"/>
                  <w:vAlign w:val="center"/>
                </w:tcPr>
                <w:p w14:paraId="6C636880">
                  <w:pPr>
                    <w:jc w:val="center"/>
                    <w:rPr>
                      <w:rFonts w:ascii="Times New Roman" w:hAnsi="Times New Roman" w:eastAsia="宋体" w:cs="Times New Roman"/>
                      <w:bCs/>
                      <w:kern w:val="2"/>
                      <w:sz w:val="22"/>
                      <w:szCs w:val="22"/>
                      <w:lang w:val="en-US" w:eastAsia="zh-CN" w:bidi="ar-SA"/>
                    </w:rPr>
                  </w:pPr>
                  <w:r>
                    <w:rPr>
                      <w:rFonts w:hint="eastAsia"/>
                      <w:sz w:val="22"/>
                      <w:szCs w:val="22"/>
                      <w:lang w:val="en-US" w:eastAsia="zh-CN"/>
                    </w:rPr>
                    <w:t>改造新增</w:t>
                  </w:r>
                  <w:r>
                    <w:rPr>
                      <w:rFonts w:hint="eastAsia"/>
                      <w:sz w:val="22"/>
                      <w:szCs w:val="22"/>
                    </w:rPr>
                    <w:t>，新增三次油气回收系统</w:t>
                  </w:r>
                </w:p>
              </w:tc>
            </w:tr>
            <w:tr w14:paraId="1C4B3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51C6519E">
                  <w:pPr>
                    <w:jc w:val="center"/>
                    <w:rPr>
                      <w:sz w:val="22"/>
                      <w:szCs w:val="22"/>
                    </w:rPr>
                  </w:pPr>
                </w:p>
              </w:tc>
              <w:tc>
                <w:tcPr>
                  <w:tcW w:w="1462" w:type="dxa"/>
                  <w:gridSpan w:val="2"/>
                  <w:tcBorders>
                    <w:bottom w:val="single" w:color="auto" w:sz="4" w:space="0"/>
                  </w:tcBorders>
                  <w:vAlign w:val="center"/>
                </w:tcPr>
                <w:p w14:paraId="4036010D">
                  <w:pPr>
                    <w:jc w:val="center"/>
                    <w:rPr>
                      <w:bCs/>
                      <w:sz w:val="22"/>
                      <w:szCs w:val="22"/>
                    </w:rPr>
                  </w:pPr>
                  <w:r>
                    <w:rPr>
                      <w:rFonts w:hint="eastAsia"/>
                      <w:bCs/>
                      <w:sz w:val="22"/>
                      <w:szCs w:val="22"/>
                    </w:rPr>
                    <w:t>加油区</w:t>
                  </w:r>
                </w:p>
              </w:tc>
              <w:tc>
                <w:tcPr>
                  <w:tcW w:w="4617" w:type="dxa"/>
                  <w:tcBorders>
                    <w:top w:val="single" w:color="auto" w:sz="4" w:space="0"/>
                    <w:bottom w:val="single" w:color="auto" w:sz="4" w:space="0"/>
                  </w:tcBorders>
                  <w:vAlign w:val="center"/>
                </w:tcPr>
                <w:p w14:paraId="72D323B7">
                  <w:pPr>
                    <w:rPr>
                      <w:bCs/>
                      <w:sz w:val="22"/>
                      <w:szCs w:val="22"/>
                    </w:rPr>
                  </w:pPr>
                  <w:r>
                    <w:rPr>
                      <w:rFonts w:hint="eastAsia"/>
                      <w:sz w:val="22"/>
                      <w:szCs w:val="22"/>
                    </w:rPr>
                    <w:t>加油棚内设置</w:t>
                  </w:r>
                  <w:r>
                    <w:rPr>
                      <w:rFonts w:hint="eastAsia"/>
                      <w:sz w:val="22"/>
                      <w:szCs w:val="22"/>
                      <w:lang w:val="en-US" w:eastAsia="zh-CN"/>
                    </w:rPr>
                    <w:t>6</w:t>
                  </w:r>
                  <w:r>
                    <w:rPr>
                      <w:rFonts w:hint="eastAsia"/>
                      <w:sz w:val="22"/>
                      <w:szCs w:val="22"/>
                    </w:rPr>
                    <w:t>座加油岛，</w:t>
                  </w:r>
                  <w:r>
                    <w:rPr>
                      <w:rFonts w:hint="eastAsia"/>
                      <w:sz w:val="22"/>
                      <w:szCs w:val="22"/>
                      <w:lang w:val="en-US" w:eastAsia="zh-CN"/>
                    </w:rPr>
                    <w:t>其中3</w:t>
                  </w:r>
                  <w:r>
                    <w:rPr>
                      <w:rFonts w:hint="eastAsia"/>
                      <w:sz w:val="22"/>
                      <w:szCs w:val="22"/>
                    </w:rPr>
                    <w:t>台为4枪加油机（1号~</w:t>
                  </w:r>
                  <w:r>
                    <w:rPr>
                      <w:rFonts w:hint="eastAsia"/>
                      <w:sz w:val="22"/>
                      <w:szCs w:val="22"/>
                      <w:lang w:val="en-US" w:eastAsia="zh-CN"/>
                    </w:rPr>
                    <w:t>2</w:t>
                  </w:r>
                  <w:r>
                    <w:rPr>
                      <w:rFonts w:hint="eastAsia"/>
                      <w:sz w:val="22"/>
                      <w:szCs w:val="22"/>
                    </w:rPr>
                    <w:t>号</w:t>
                  </w:r>
                  <w:r>
                    <w:rPr>
                      <w:rFonts w:hint="eastAsia"/>
                      <w:sz w:val="22"/>
                      <w:szCs w:val="22"/>
                      <w:lang w:val="en-US" w:eastAsia="zh-CN"/>
                    </w:rPr>
                    <w:t>和4号</w:t>
                  </w:r>
                  <w:r>
                    <w:rPr>
                      <w:rFonts w:hint="eastAsia"/>
                      <w:sz w:val="22"/>
                      <w:szCs w:val="22"/>
                    </w:rPr>
                    <w:t>），</w:t>
                  </w:r>
                  <w:r>
                    <w:rPr>
                      <w:rFonts w:hint="eastAsia"/>
                      <w:sz w:val="22"/>
                      <w:szCs w:val="22"/>
                      <w:lang w:val="en-US" w:eastAsia="zh-CN"/>
                    </w:rPr>
                    <w:t>1台6枪加油机（5号），另外2台4枪加油机预留92</w:t>
                  </w:r>
                  <w:r>
                    <w:rPr>
                      <w:rFonts w:hint="eastAsia"/>
                      <w:sz w:val="22"/>
                      <w:szCs w:val="22"/>
                    </w:rPr>
                    <w:t>#、9</w:t>
                  </w:r>
                  <w:r>
                    <w:rPr>
                      <w:rFonts w:hint="eastAsia"/>
                      <w:sz w:val="22"/>
                      <w:szCs w:val="22"/>
                      <w:lang w:val="en-US" w:eastAsia="zh-CN"/>
                    </w:rPr>
                    <w:t>5</w:t>
                  </w:r>
                  <w:r>
                    <w:rPr>
                      <w:rFonts w:hint="eastAsia"/>
                      <w:sz w:val="22"/>
                      <w:szCs w:val="22"/>
                    </w:rPr>
                    <w:t>#</w:t>
                  </w:r>
                  <w:r>
                    <w:rPr>
                      <w:rFonts w:hint="eastAsia"/>
                      <w:sz w:val="22"/>
                      <w:szCs w:val="22"/>
                      <w:lang w:val="en-US" w:eastAsia="zh-CN"/>
                    </w:rPr>
                    <w:t>管线（3号和6号）。</w:t>
                  </w:r>
                  <w:r>
                    <w:rPr>
                      <w:rFonts w:hint="eastAsia"/>
                      <w:sz w:val="22"/>
                      <w:szCs w:val="22"/>
                    </w:rPr>
                    <w:t>1号加油机设置9</w:t>
                  </w:r>
                  <w:r>
                    <w:rPr>
                      <w:sz w:val="22"/>
                      <w:szCs w:val="22"/>
                    </w:rPr>
                    <w:t>2</w:t>
                  </w:r>
                  <w:r>
                    <w:rPr>
                      <w:rFonts w:hint="eastAsia"/>
                      <w:sz w:val="22"/>
                      <w:szCs w:val="22"/>
                    </w:rPr>
                    <w:t>#汽油枪和95#汽油枪各2把</w:t>
                  </w:r>
                  <w:r>
                    <w:rPr>
                      <w:rFonts w:hint="eastAsia"/>
                      <w:sz w:val="22"/>
                      <w:szCs w:val="22"/>
                      <w:lang w:eastAsia="zh-CN"/>
                    </w:rPr>
                    <w:t>，</w:t>
                  </w:r>
                  <w:r>
                    <w:rPr>
                      <w:rFonts w:hint="eastAsia"/>
                      <w:sz w:val="22"/>
                      <w:szCs w:val="22"/>
                    </w:rPr>
                    <w:t>2号加油机设置9</w:t>
                  </w:r>
                  <w:r>
                    <w:rPr>
                      <w:sz w:val="22"/>
                      <w:szCs w:val="22"/>
                    </w:rPr>
                    <w:t>2</w:t>
                  </w:r>
                  <w:r>
                    <w:rPr>
                      <w:rFonts w:hint="eastAsia"/>
                      <w:sz w:val="22"/>
                      <w:szCs w:val="22"/>
                    </w:rPr>
                    <w:t>#汽油枪和</w:t>
                  </w:r>
                  <w:r>
                    <w:rPr>
                      <w:rFonts w:hint="eastAsia"/>
                      <w:sz w:val="22"/>
                      <w:szCs w:val="22"/>
                      <w:lang w:val="en-US" w:eastAsia="zh-CN"/>
                    </w:rPr>
                    <w:t>0</w:t>
                  </w:r>
                  <w:r>
                    <w:rPr>
                      <w:rFonts w:hint="eastAsia"/>
                      <w:sz w:val="22"/>
                      <w:szCs w:val="22"/>
                    </w:rPr>
                    <w:t>#</w:t>
                  </w:r>
                  <w:r>
                    <w:rPr>
                      <w:rFonts w:hint="eastAsia"/>
                      <w:sz w:val="22"/>
                      <w:szCs w:val="22"/>
                      <w:lang w:val="en-US" w:eastAsia="zh-CN"/>
                    </w:rPr>
                    <w:t>柴油</w:t>
                  </w:r>
                  <w:r>
                    <w:rPr>
                      <w:rFonts w:hint="eastAsia"/>
                      <w:sz w:val="22"/>
                      <w:szCs w:val="22"/>
                    </w:rPr>
                    <w:t>枪各2把</w:t>
                  </w:r>
                  <w:r>
                    <w:rPr>
                      <w:rFonts w:hint="eastAsia"/>
                      <w:sz w:val="22"/>
                      <w:szCs w:val="22"/>
                      <w:lang w:eastAsia="zh-CN"/>
                    </w:rPr>
                    <w:t>，</w:t>
                  </w:r>
                  <w:r>
                    <w:rPr>
                      <w:rFonts w:hint="eastAsia"/>
                      <w:sz w:val="22"/>
                      <w:szCs w:val="22"/>
                      <w:lang w:val="en-US" w:eastAsia="zh-CN"/>
                    </w:rPr>
                    <w:t>4</w:t>
                  </w:r>
                  <w:r>
                    <w:rPr>
                      <w:rFonts w:hint="eastAsia"/>
                      <w:sz w:val="22"/>
                      <w:szCs w:val="22"/>
                    </w:rPr>
                    <w:t>号加油机设置9</w:t>
                  </w:r>
                  <w:r>
                    <w:rPr>
                      <w:sz w:val="22"/>
                      <w:szCs w:val="22"/>
                    </w:rPr>
                    <w:t>2</w:t>
                  </w:r>
                  <w:r>
                    <w:rPr>
                      <w:rFonts w:hint="eastAsia"/>
                      <w:sz w:val="22"/>
                      <w:szCs w:val="22"/>
                    </w:rPr>
                    <w:t>#汽油枪</w:t>
                  </w:r>
                  <w:r>
                    <w:rPr>
                      <w:rFonts w:hint="eastAsia"/>
                      <w:sz w:val="22"/>
                      <w:szCs w:val="22"/>
                      <w:lang w:val="en-US" w:eastAsia="zh-CN"/>
                    </w:rPr>
                    <w:t>1把、95</w:t>
                  </w:r>
                  <w:r>
                    <w:rPr>
                      <w:rFonts w:hint="eastAsia"/>
                      <w:sz w:val="22"/>
                      <w:szCs w:val="22"/>
                    </w:rPr>
                    <w:t>#汽油枪2把和9</w:t>
                  </w:r>
                  <w:r>
                    <w:rPr>
                      <w:rFonts w:hint="eastAsia"/>
                      <w:sz w:val="22"/>
                      <w:szCs w:val="22"/>
                      <w:lang w:val="en-US" w:eastAsia="zh-CN"/>
                    </w:rPr>
                    <w:t>8</w:t>
                  </w:r>
                  <w:r>
                    <w:rPr>
                      <w:rFonts w:hint="eastAsia"/>
                      <w:sz w:val="22"/>
                      <w:szCs w:val="22"/>
                    </w:rPr>
                    <w:t>#汽油枪</w:t>
                  </w:r>
                  <w:r>
                    <w:rPr>
                      <w:rFonts w:hint="eastAsia"/>
                      <w:sz w:val="22"/>
                      <w:szCs w:val="22"/>
                      <w:lang w:val="en-US" w:eastAsia="zh-CN"/>
                    </w:rPr>
                    <w:t>1</w:t>
                  </w:r>
                  <w:r>
                    <w:rPr>
                      <w:rFonts w:hint="eastAsia"/>
                      <w:sz w:val="22"/>
                      <w:szCs w:val="22"/>
                    </w:rPr>
                    <w:t>把，</w:t>
                  </w:r>
                  <w:r>
                    <w:rPr>
                      <w:rFonts w:hint="eastAsia"/>
                      <w:sz w:val="22"/>
                      <w:szCs w:val="22"/>
                      <w:lang w:val="en-US" w:eastAsia="zh-CN"/>
                    </w:rPr>
                    <w:t>5号</w:t>
                  </w:r>
                  <w:r>
                    <w:rPr>
                      <w:rFonts w:hint="eastAsia"/>
                      <w:sz w:val="22"/>
                      <w:szCs w:val="22"/>
                    </w:rPr>
                    <w:t>加油机设置</w:t>
                  </w:r>
                  <w:r>
                    <w:rPr>
                      <w:rFonts w:hint="eastAsia"/>
                      <w:sz w:val="22"/>
                      <w:szCs w:val="22"/>
                      <w:lang w:val="en-US" w:eastAsia="zh-CN"/>
                    </w:rPr>
                    <w:t>92</w:t>
                  </w:r>
                  <w:r>
                    <w:rPr>
                      <w:rFonts w:hint="eastAsia"/>
                      <w:sz w:val="22"/>
                      <w:szCs w:val="22"/>
                    </w:rPr>
                    <w:t>#、9</w:t>
                  </w:r>
                  <w:r>
                    <w:rPr>
                      <w:rFonts w:hint="eastAsia"/>
                      <w:sz w:val="22"/>
                      <w:szCs w:val="22"/>
                      <w:lang w:val="en-US" w:eastAsia="zh-CN"/>
                    </w:rPr>
                    <w:t>5</w:t>
                  </w:r>
                  <w:r>
                    <w:rPr>
                      <w:rFonts w:hint="eastAsia"/>
                      <w:sz w:val="22"/>
                      <w:szCs w:val="22"/>
                    </w:rPr>
                    <w:t>#、98#汽油枪各</w:t>
                  </w:r>
                  <w:r>
                    <w:rPr>
                      <w:rFonts w:hint="eastAsia"/>
                      <w:sz w:val="22"/>
                      <w:szCs w:val="22"/>
                      <w:lang w:val="en-US" w:eastAsia="zh-CN"/>
                    </w:rPr>
                    <w:t>2</w:t>
                  </w:r>
                  <w:r>
                    <w:rPr>
                      <w:rFonts w:hint="eastAsia"/>
                      <w:sz w:val="22"/>
                      <w:szCs w:val="22"/>
                    </w:rPr>
                    <w:t>把</w:t>
                  </w:r>
                  <w:r>
                    <w:rPr>
                      <w:rFonts w:hint="eastAsia"/>
                      <w:sz w:val="22"/>
                      <w:szCs w:val="22"/>
                      <w:lang w:eastAsia="zh-CN"/>
                    </w:rPr>
                    <w:t>，</w:t>
                  </w:r>
                  <w:r>
                    <w:rPr>
                      <w:rFonts w:hint="eastAsia"/>
                      <w:sz w:val="22"/>
                      <w:szCs w:val="22"/>
                      <w:lang w:val="en-US" w:eastAsia="zh-CN"/>
                    </w:rPr>
                    <w:t>3号</w:t>
                  </w:r>
                  <w:r>
                    <w:rPr>
                      <w:rFonts w:hint="eastAsia"/>
                      <w:sz w:val="22"/>
                      <w:szCs w:val="22"/>
                    </w:rPr>
                    <w:t>加油机设置</w:t>
                  </w:r>
                  <w:r>
                    <w:rPr>
                      <w:rFonts w:hint="eastAsia"/>
                      <w:sz w:val="22"/>
                      <w:szCs w:val="22"/>
                      <w:lang w:val="en-US" w:eastAsia="zh-CN"/>
                    </w:rPr>
                    <w:t>92</w:t>
                  </w:r>
                  <w:r>
                    <w:rPr>
                      <w:rFonts w:hint="eastAsia"/>
                      <w:sz w:val="22"/>
                      <w:szCs w:val="22"/>
                    </w:rPr>
                    <w:t>#、9</w:t>
                  </w:r>
                  <w:r>
                    <w:rPr>
                      <w:rFonts w:hint="eastAsia"/>
                      <w:sz w:val="22"/>
                      <w:szCs w:val="22"/>
                      <w:lang w:val="en-US" w:eastAsia="zh-CN"/>
                    </w:rPr>
                    <w:t>5</w:t>
                  </w:r>
                  <w:r>
                    <w:rPr>
                      <w:rFonts w:hint="eastAsia"/>
                      <w:sz w:val="22"/>
                      <w:szCs w:val="22"/>
                    </w:rPr>
                    <w:t>#汽油枪各</w:t>
                  </w:r>
                  <w:r>
                    <w:rPr>
                      <w:rFonts w:hint="eastAsia"/>
                      <w:sz w:val="22"/>
                      <w:szCs w:val="22"/>
                      <w:lang w:val="en-US" w:eastAsia="zh-CN"/>
                    </w:rPr>
                    <w:t>2</w:t>
                  </w:r>
                  <w:r>
                    <w:rPr>
                      <w:rFonts w:hint="eastAsia"/>
                      <w:sz w:val="22"/>
                      <w:szCs w:val="22"/>
                    </w:rPr>
                    <w:t>把</w:t>
                  </w:r>
                  <w:r>
                    <w:rPr>
                      <w:rFonts w:hint="eastAsia"/>
                      <w:sz w:val="22"/>
                      <w:szCs w:val="22"/>
                      <w:lang w:eastAsia="zh-CN"/>
                    </w:rPr>
                    <w:t>，</w:t>
                  </w:r>
                  <w:r>
                    <w:rPr>
                      <w:rFonts w:hint="eastAsia"/>
                      <w:sz w:val="22"/>
                      <w:szCs w:val="22"/>
                      <w:lang w:val="en-US" w:eastAsia="zh-CN"/>
                    </w:rPr>
                    <w:t>6号</w:t>
                  </w:r>
                  <w:r>
                    <w:rPr>
                      <w:rFonts w:hint="eastAsia"/>
                      <w:sz w:val="22"/>
                      <w:szCs w:val="22"/>
                    </w:rPr>
                    <w:t>加油机设置</w:t>
                  </w:r>
                  <w:r>
                    <w:rPr>
                      <w:rFonts w:hint="eastAsia"/>
                      <w:sz w:val="22"/>
                      <w:szCs w:val="22"/>
                      <w:lang w:val="en-US" w:eastAsia="zh-CN"/>
                    </w:rPr>
                    <w:t>92</w:t>
                  </w:r>
                  <w:r>
                    <w:rPr>
                      <w:rFonts w:hint="eastAsia"/>
                      <w:sz w:val="22"/>
                      <w:szCs w:val="22"/>
                    </w:rPr>
                    <w:t>#、9</w:t>
                  </w:r>
                  <w:r>
                    <w:rPr>
                      <w:rFonts w:hint="eastAsia"/>
                      <w:sz w:val="22"/>
                      <w:szCs w:val="22"/>
                      <w:lang w:val="en-US" w:eastAsia="zh-CN"/>
                    </w:rPr>
                    <w:t>5</w:t>
                  </w:r>
                  <w:r>
                    <w:rPr>
                      <w:rFonts w:hint="eastAsia"/>
                      <w:sz w:val="22"/>
                      <w:szCs w:val="22"/>
                    </w:rPr>
                    <w:t>#汽油枪各</w:t>
                  </w:r>
                  <w:r>
                    <w:rPr>
                      <w:rFonts w:hint="eastAsia"/>
                      <w:sz w:val="22"/>
                      <w:szCs w:val="22"/>
                      <w:lang w:val="en-US" w:eastAsia="zh-CN"/>
                    </w:rPr>
                    <w:t>2</w:t>
                  </w:r>
                  <w:r>
                    <w:rPr>
                      <w:rFonts w:hint="eastAsia"/>
                      <w:sz w:val="22"/>
                      <w:szCs w:val="22"/>
                    </w:rPr>
                    <w:t>把。合计</w:t>
                  </w:r>
                  <w:r>
                    <w:rPr>
                      <w:rFonts w:hint="eastAsia"/>
                      <w:sz w:val="22"/>
                      <w:szCs w:val="22"/>
                      <w:lang w:val="en-US" w:eastAsia="zh-CN"/>
                    </w:rPr>
                    <w:t>26</w:t>
                  </w:r>
                  <w:r>
                    <w:rPr>
                      <w:rFonts w:hint="eastAsia"/>
                      <w:sz w:val="22"/>
                      <w:szCs w:val="22"/>
                    </w:rPr>
                    <w:t>把加油枪。</w:t>
                  </w:r>
                </w:p>
              </w:tc>
              <w:tc>
                <w:tcPr>
                  <w:tcW w:w="1095" w:type="dxa"/>
                  <w:tcBorders>
                    <w:top w:val="single" w:color="auto" w:sz="4" w:space="0"/>
                    <w:bottom w:val="single" w:color="auto" w:sz="4" w:space="0"/>
                  </w:tcBorders>
                  <w:vAlign w:val="center"/>
                </w:tcPr>
                <w:p w14:paraId="290E1513">
                  <w:pPr>
                    <w:jc w:val="center"/>
                    <w:rPr>
                      <w:sz w:val="22"/>
                      <w:szCs w:val="22"/>
                    </w:rPr>
                  </w:pPr>
                  <w:r>
                    <w:rPr>
                      <w:rFonts w:hint="eastAsia"/>
                      <w:sz w:val="22"/>
                      <w:szCs w:val="22"/>
                    </w:rPr>
                    <w:t>更替</w:t>
                  </w:r>
                  <w:r>
                    <w:rPr>
                      <w:rFonts w:hint="eastAsia"/>
                      <w:sz w:val="22"/>
                      <w:szCs w:val="22"/>
                      <w:lang w:val="en-US" w:eastAsia="zh-CN"/>
                    </w:rPr>
                    <w:t>和利旧</w:t>
                  </w:r>
                  <w:r>
                    <w:rPr>
                      <w:rFonts w:hint="eastAsia"/>
                      <w:sz w:val="22"/>
                      <w:szCs w:val="22"/>
                    </w:rPr>
                    <w:t>加油机和加油枪；增设98#汽油加油枪</w:t>
                  </w:r>
                </w:p>
              </w:tc>
            </w:tr>
            <w:tr w14:paraId="22456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18058414">
                  <w:pPr>
                    <w:jc w:val="center"/>
                    <w:rPr>
                      <w:sz w:val="22"/>
                      <w:szCs w:val="22"/>
                    </w:rPr>
                  </w:pPr>
                </w:p>
              </w:tc>
              <w:tc>
                <w:tcPr>
                  <w:tcW w:w="1462" w:type="dxa"/>
                  <w:gridSpan w:val="2"/>
                  <w:tcBorders>
                    <w:bottom w:val="single" w:color="auto" w:sz="4" w:space="0"/>
                  </w:tcBorders>
                  <w:shd w:val="clear" w:color="auto" w:fill="auto"/>
                  <w:vAlign w:val="center"/>
                </w:tcPr>
                <w:p w14:paraId="325F8121">
                  <w:pPr>
                    <w:jc w:val="center"/>
                    <w:rPr>
                      <w:rFonts w:hint="eastAsia" w:ascii="Times New Roman" w:hAnsi="Times New Roman" w:eastAsia="宋体" w:cs="Times New Roman"/>
                      <w:bCs/>
                      <w:kern w:val="2"/>
                      <w:sz w:val="22"/>
                      <w:szCs w:val="22"/>
                      <w:lang w:val="en-US" w:eastAsia="zh-CN" w:bidi="ar-SA"/>
                    </w:rPr>
                  </w:pPr>
                  <w:r>
                    <w:rPr>
                      <w:rFonts w:hint="eastAsia"/>
                      <w:bCs/>
                      <w:sz w:val="22"/>
                      <w:szCs w:val="22"/>
                    </w:rPr>
                    <w:t>埋地油罐区</w:t>
                  </w:r>
                </w:p>
              </w:tc>
              <w:tc>
                <w:tcPr>
                  <w:tcW w:w="4617" w:type="dxa"/>
                  <w:tcBorders>
                    <w:top w:val="single" w:color="auto" w:sz="4" w:space="0"/>
                    <w:bottom w:val="single" w:color="auto" w:sz="4" w:space="0"/>
                  </w:tcBorders>
                  <w:shd w:val="clear" w:color="auto" w:fill="auto"/>
                  <w:vAlign w:val="center"/>
                </w:tcPr>
                <w:p w14:paraId="4367ACFA">
                  <w:pPr>
                    <w:adjustRightInd w:val="0"/>
                    <w:snapToGrid w:val="0"/>
                    <w:jc w:val="left"/>
                    <w:rPr>
                      <w:rFonts w:hint="eastAsia"/>
                      <w:color w:val="FF0000"/>
                      <w:sz w:val="22"/>
                      <w:szCs w:val="22"/>
                      <w:lang w:val="en-US" w:eastAsia="zh-CN"/>
                    </w:rPr>
                  </w:pPr>
                  <w:r>
                    <w:rPr>
                      <w:rFonts w:hint="eastAsia"/>
                      <w:b/>
                      <w:bCs/>
                      <w:color w:val="FF0000"/>
                      <w:sz w:val="22"/>
                      <w:szCs w:val="22"/>
                      <w:lang w:val="en-US" w:eastAsia="zh-CN"/>
                    </w:rPr>
                    <w:t>拆除工程：</w:t>
                  </w:r>
                </w:p>
                <w:p w14:paraId="764DC99B">
                  <w:pPr>
                    <w:adjustRightInd w:val="0"/>
                    <w:snapToGrid w:val="0"/>
                    <w:jc w:val="left"/>
                    <w:rPr>
                      <w:rFonts w:hint="eastAsia"/>
                      <w:color w:val="FF0000"/>
                      <w:sz w:val="22"/>
                      <w:szCs w:val="22"/>
                      <w:lang w:val="en-US" w:eastAsia="zh-CN"/>
                    </w:rPr>
                  </w:pPr>
                  <w:r>
                    <w:rPr>
                      <w:rFonts w:hint="eastAsia"/>
                      <w:color w:val="FF0000"/>
                      <w:sz w:val="22"/>
                      <w:szCs w:val="22"/>
                    </w:rPr>
                    <w:t>委托专业有资质单位将现有位于加油岛底部的</w:t>
                  </w:r>
                  <w:r>
                    <w:rPr>
                      <w:rFonts w:hint="eastAsia"/>
                      <w:bCs/>
                      <w:color w:val="FF0000"/>
                      <w:sz w:val="22"/>
                      <w:szCs w:val="22"/>
                      <w:lang w:val="en-US" w:eastAsia="zh-CN"/>
                    </w:rPr>
                    <w:t>1</w:t>
                  </w:r>
                  <w:r>
                    <w:rPr>
                      <w:rFonts w:hint="eastAsia"/>
                      <w:bCs/>
                      <w:color w:val="FF0000"/>
                      <w:sz w:val="22"/>
                      <w:szCs w:val="22"/>
                    </w:rPr>
                    <w:t>个</w:t>
                  </w:r>
                  <w:r>
                    <w:rPr>
                      <w:rFonts w:hint="eastAsia"/>
                      <w:bCs/>
                      <w:color w:val="FF0000"/>
                      <w:sz w:val="22"/>
                      <w:szCs w:val="22"/>
                      <w:lang w:val="en-US" w:eastAsia="zh-CN"/>
                    </w:rPr>
                    <w:t>15</w:t>
                  </w:r>
                  <w:r>
                    <w:rPr>
                      <w:rFonts w:hint="eastAsia"/>
                      <w:bCs/>
                      <w:color w:val="FF0000"/>
                      <w:sz w:val="22"/>
                      <w:szCs w:val="22"/>
                    </w:rPr>
                    <w:t>m</w:t>
                  </w:r>
                  <w:r>
                    <w:rPr>
                      <w:rFonts w:hint="eastAsia"/>
                      <w:bCs/>
                      <w:color w:val="FF0000"/>
                      <w:sz w:val="22"/>
                      <w:szCs w:val="22"/>
                      <w:vertAlign w:val="superscript"/>
                    </w:rPr>
                    <w:t>3</w:t>
                  </w:r>
                  <w:r>
                    <w:rPr>
                      <w:rFonts w:hint="eastAsia"/>
                      <w:bCs/>
                      <w:color w:val="FF0000"/>
                      <w:sz w:val="22"/>
                      <w:szCs w:val="22"/>
                    </w:rPr>
                    <w:t>92号汽油罐，1个</w:t>
                  </w:r>
                  <w:r>
                    <w:rPr>
                      <w:rFonts w:hint="eastAsia"/>
                      <w:bCs/>
                      <w:color w:val="FF0000"/>
                      <w:sz w:val="22"/>
                      <w:szCs w:val="22"/>
                      <w:lang w:val="en-US" w:eastAsia="zh-CN"/>
                    </w:rPr>
                    <w:t>15</w:t>
                  </w:r>
                  <w:r>
                    <w:rPr>
                      <w:rFonts w:hint="eastAsia"/>
                      <w:bCs/>
                      <w:color w:val="FF0000"/>
                      <w:sz w:val="22"/>
                      <w:szCs w:val="22"/>
                    </w:rPr>
                    <w:t>m</w:t>
                  </w:r>
                  <w:r>
                    <w:rPr>
                      <w:rFonts w:hint="eastAsia"/>
                      <w:bCs/>
                      <w:color w:val="FF0000"/>
                      <w:sz w:val="22"/>
                      <w:szCs w:val="22"/>
                      <w:vertAlign w:val="superscript"/>
                    </w:rPr>
                    <w:t>3</w:t>
                  </w:r>
                  <w:r>
                    <w:rPr>
                      <w:rFonts w:hint="eastAsia"/>
                      <w:bCs/>
                      <w:color w:val="FF0000"/>
                      <w:sz w:val="22"/>
                      <w:szCs w:val="22"/>
                    </w:rPr>
                    <w:t>95号汽油罐，</w:t>
                  </w:r>
                  <w:r>
                    <w:rPr>
                      <w:rFonts w:hint="eastAsia"/>
                      <w:bCs/>
                      <w:color w:val="FF0000"/>
                      <w:sz w:val="22"/>
                      <w:szCs w:val="22"/>
                      <w:lang w:val="en-US" w:eastAsia="zh-CN"/>
                    </w:rPr>
                    <w:t>2</w:t>
                  </w:r>
                  <w:r>
                    <w:rPr>
                      <w:rFonts w:hint="eastAsia"/>
                      <w:bCs/>
                      <w:color w:val="FF0000"/>
                      <w:sz w:val="22"/>
                      <w:szCs w:val="22"/>
                    </w:rPr>
                    <w:t>个</w:t>
                  </w:r>
                  <w:r>
                    <w:rPr>
                      <w:rFonts w:hint="eastAsia"/>
                      <w:bCs/>
                      <w:color w:val="FF0000"/>
                      <w:sz w:val="22"/>
                      <w:szCs w:val="22"/>
                      <w:lang w:val="en-US" w:eastAsia="zh-CN"/>
                    </w:rPr>
                    <w:t>15</w:t>
                  </w:r>
                  <w:r>
                    <w:rPr>
                      <w:rFonts w:hint="eastAsia"/>
                      <w:bCs/>
                      <w:color w:val="FF0000"/>
                      <w:sz w:val="22"/>
                      <w:szCs w:val="22"/>
                    </w:rPr>
                    <w:t>m</w:t>
                  </w:r>
                  <w:r>
                    <w:rPr>
                      <w:rFonts w:hint="eastAsia"/>
                      <w:bCs/>
                      <w:color w:val="FF0000"/>
                      <w:sz w:val="22"/>
                      <w:szCs w:val="22"/>
                      <w:vertAlign w:val="superscript"/>
                    </w:rPr>
                    <w:t>3</w:t>
                  </w:r>
                  <w:r>
                    <w:rPr>
                      <w:rFonts w:hint="eastAsia"/>
                      <w:bCs/>
                      <w:color w:val="FF0000"/>
                      <w:sz w:val="22"/>
                      <w:szCs w:val="22"/>
                    </w:rPr>
                    <w:t>0号柴油罐进行拆除、清运处置</w:t>
                  </w:r>
                  <w:r>
                    <w:rPr>
                      <w:rFonts w:hint="eastAsia"/>
                      <w:bCs/>
                      <w:color w:val="FF0000"/>
                      <w:sz w:val="22"/>
                      <w:szCs w:val="22"/>
                      <w:lang w:eastAsia="zh-CN"/>
                    </w:rPr>
                    <w:t>，</w:t>
                  </w:r>
                  <w:r>
                    <w:rPr>
                      <w:rFonts w:hint="eastAsia"/>
                      <w:bCs/>
                      <w:color w:val="FF0000"/>
                      <w:sz w:val="22"/>
                      <w:szCs w:val="22"/>
                      <w:lang w:val="en-US" w:eastAsia="zh-CN"/>
                    </w:rPr>
                    <w:t>同步拆除原有的防渗罐池</w:t>
                  </w:r>
                  <w:r>
                    <w:rPr>
                      <w:rFonts w:hint="eastAsia"/>
                      <w:bCs/>
                      <w:color w:val="FF0000"/>
                      <w:sz w:val="22"/>
                      <w:szCs w:val="22"/>
                    </w:rPr>
                    <w:t>。</w:t>
                  </w:r>
                </w:p>
                <w:p w14:paraId="5FBDE6AD">
                  <w:pPr>
                    <w:adjustRightInd w:val="0"/>
                    <w:snapToGrid w:val="0"/>
                    <w:jc w:val="left"/>
                    <w:rPr>
                      <w:rFonts w:hint="eastAsia"/>
                      <w:b/>
                      <w:bCs/>
                      <w:sz w:val="22"/>
                      <w:szCs w:val="22"/>
                      <w:lang w:val="en-US" w:eastAsia="zh-CN"/>
                    </w:rPr>
                  </w:pPr>
                  <w:r>
                    <w:rPr>
                      <w:rFonts w:hint="eastAsia"/>
                      <w:b/>
                      <w:bCs/>
                      <w:sz w:val="22"/>
                      <w:szCs w:val="22"/>
                      <w:lang w:val="en-US" w:eastAsia="zh-CN"/>
                    </w:rPr>
                    <w:t>改造工程：</w:t>
                  </w:r>
                </w:p>
                <w:p w14:paraId="519E5803">
                  <w:pPr>
                    <w:adjustRightInd w:val="0"/>
                    <w:snapToGrid w:val="0"/>
                    <w:jc w:val="left"/>
                    <w:rPr>
                      <w:rFonts w:hint="eastAsia" w:ascii="Times New Roman" w:hAnsi="Times New Roman" w:eastAsia="宋体" w:cs="Times New Roman"/>
                      <w:bCs/>
                      <w:kern w:val="2"/>
                      <w:sz w:val="22"/>
                      <w:szCs w:val="22"/>
                      <w:lang w:val="en-US" w:eastAsia="zh-CN" w:bidi="ar-SA"/>
                    </w:rPr>
                  </w:pPr>
                  <w:r>
                    <w:rPr>
                      <w:rFonts w:hint="eastAsia"/>
                      <w:sz w:val="22"/>
                      <w:szCs w:val="22"/>
                      <w:lang w:val="en-US" w:eastAsia="zh-CN"/>
                    </w:rPr>
                    <w:t>改造后</w:t>
                  </w:r>
                  <w:r>
                    <w:rPr>
                      <w:rFonts w:hint="eastAsia"/>
                      <w:sz w:val="22"/>
                      <w:szCs w:val="22"/>
                    </w:rPr>
                    <w:t>储</w:t>
                  </w:r>
                  <w:r>
                    <w:rPr>
                      <w:rFonts w:hint="eastAsia"/>
                      <w:sz w:val="22"/>
                      <w:szCs w:val="22"/>
                      <w:lang w:val="en-US" w:eastAsia="zh-CN"/>
                    </w:rPr>
                    <w:t>油</w:t>
                  </w:r>
                  <w:r>
                    <w:rPr>
                      <w:rFonts w:hint="eastAsia"/>
                      <w:sz w:val="22"/>
                      <w:szCs w:val="22"/>
                    </w:rPr>
                    <w:t>罐区位于地块</w:t>
                  </w:r>
                  <w:r>
                    <w:rPr>
                      <w:rFonts w:hint="eastAsia"/>
                      <w:sz w:val="22"/>
                      <w:szCs w:val="22"/>
                      <w:lang w:val="en-US" w:eastAsia="zh-CN"/>
                    </w:rPr>
                    <w:t>中部罩棚地下</w:t>
                  </w:r>
                  <w:r>
                    <w:rPr>
                      <w:rFonts w:hint="eastAsia"/>
                      <w:sz w:val="22"/>
                      <w:szCs w:val="22"/>
                    </w:rPr>
                    <w:t>，面积约8</w:t>
                  </w:r>
                  <w:r>
                    <w:rPr>
                      <w:sz w:val="22"/>
                      <w:szCs w:val="22"/>
                    </w:rPr>
                    <w:t>0</w:t>
                  </w:r>
                  <w:r>
                    <w:rPr>
                      <w:rFonts w:hint="eastAsia"/>
                      <w:sz w:val="22"/>
                      <w:szCs w:val="22"/>
                    </w:rPr>
                    <w:t>m</w:t>
                  </w:r>
                  <w:r>
                    <w:rPr>
                      <w:sz w:val="22"/>
                      <w:szCs w:val="22"/>
                      <w:vertAlign w:val="superscript"/>
                    </w:rPr>
                    <w:t>2</w:t>
                  </w:r>
                  <w:r>
                    <w:rPr>
                      <w:rFonts w:hint="eastAsia"/>
                      <w:sz w:val="22"/>
                      <w:szCs w:val="22"/>
                    </w:rPr>
                    <w:t>，共设置地埋式双层SF储油罐</w:t>
                  </w:r>
                  <w:r>
                    <w:rPr>
                      <w:sz w:val="22"/>
                      <w:szCs w:val="22"/>
                    </w:rPr>
                    <w:t>4</w:t>
                  </w:r>
                  <w:r>
                    <w:rPr>
                      <w:rFonts w:hint="eastAsia"/>
                      <w:sz w:val="22"/>
                      <w:szCs w:val="22"/>
                    </w:rPr>
                    <w:t>个</w:t>
                  </w:r>
                  <w:r>
                    <w:rPr>
                      <w:rFonts w:hint="eastAsia"/>
                      <w:sz w:val="22"/>
                      <w:szCs w:val="22"/>
                      <w:lang w:eastAsia="zh-CN"/>
                    </w:rPr>
                    <w:t>。</w:t>
                  </w:r>
                  <w:r>
                    <w:rPr>
                      <w:rFonts w:hint="eastAsia"/>
                      <w:sz w:val="22"/>
                      <w:szCs w:val="22"/>
                    </w:rPr>
                    <w:t>具体设置情况为2</w:t>
                  </w:r>
                  <w:r>
                    <w:rPr>
                      <w:sz w:val="22"/>
                      <w:szCs w:val="22"/>
                    </w:rPr>
                    <w:t>0</w:t>
                  </w:r>
                  <w:r>
                    <w:rPr>
                      <w:rFonts w:hint="eastAsia"/>
                      <w:sz w:val="22"/>
                      <w:szCs w:val="22"/>
                    </w:rPr>
                    <w:t>m</w:t>
                  </w:r>
                  <w:r>
                    <w:rPr>
                      <w:sz w:val="22"/>
                      <w:szCs w:val="22"/>
                      <w:vertAlign w:val="superscript"/>
                    </w:rPr>
                    <w:t>3</w:t>
                  </w:r>
                  <w:r>
                    <w:rPr>
                      <w:rFonts w:hint="eastAsia"/>
                      <w:sz w:val="22"/>
                      <w:szCs w:val="22"/>
                    </w:rPr>
                    <w:t>的0#柴油储罐1个、3</w:t>
                  </w:r>
                  <w:r>
                    <w:rPr>
                      <w:sz w:val="22"/>
                      <w:szCs w:val="22"/>
                    </w:rPr>
                    <w:t>0</w:t>
                  </w:r>
                  <w:r>
                    <w:rPr>
                      <w:rFonts w:hint="eastAsia"/>
                      <w:sz w:val="22"/>
                      <w:szCs w:val="22"/>
                    </w:rPr>
                    <w:t>m</w:t>
                  </w:r>
                  <w:r>
                    <w:rPr>
                      <w:sz w:val="22"/>
                      <w:szCs w:val="22"/>
                      <w:vertAlign w:val="superscript"/>
                    </w:rPr>
                    <w:t>3</w:t>
                  </w:r>
                  <w:r>
                    <w:rPr>
                      <w:rFonts w:hint="eastAsia"/>
                      <w:sz w:val="22"/>
                      <w:szCs w:val="22"/>
                    </w:rPr>
                    <w:t>的9</w:t>
                  </w:r>
                  <w:r>
                    <w:rPr>
                      <w:sz w:val="22"/>
                      <w:szCs w:val="22"/>
                    </w:rPr>
                    <w:t>2</w:t>
                  </w:r>
                  <w:r>
                    <w:rPr>
                      <w:rFonts w:hint="eastAsia"/>
                      <w:sz w:val="22"/>
                      <w:szCs w:val="22"/>
                    </w:rPr>
                    <w:t>#汽油储罐1个、3</w:t>
                  </w:r>
                  <w:r>
                    <w:rPr>
                      <w:sz w:val="22"/>
                      <w:szCs w:val="22"/>
                    </w:rPr>
                    <w:t>0</w:t>
                  </w:r>
                  <w:r>
                    <w:rPr>
                      <w:rFonts w:hint="eastAsia"/>
                      <w:sz w:val="22"/>
                      <w:szCs w:val="22"/>
                    </w:rPr>
                    <w:t>m</w:t>
                  </w:r>
                  <w:r>
                    <w:rPr>
                      <w:sz w:val="22"/>
                      <w:szCs w:val="22"/>
                      <w:vertAlign w:val="superscript"/>
                    </w:rPr>
                    <w:t>3</w:t>
                  </w:r>
                  <w:r>
                    <w:rPr>
                      <w:rFonts w:hint="eastAsia"/>
                      <w:sz w:val="22"/>
                      <w:szCs w:val="22"/>
                    </w:rPr>
                    <w:t>的9</w:t>
                  </w:r>
                  <w:r>
                    <w:rPr>
                      <w:sz w:val="22"/>
                      <w:szCs w:val="22"/>
                    </w:rPr>
                    <w:t>5</w:t>
                  </w:r>
                  <w:r>
                    <w:rPr>
                      <w:rFonts w:hint="eastAsia"/>
                      <w:sz w:val="22"/>
                      <w:szCs w:val="22"/>
                      <w:lang w:val="en-US" w:eastAsia="zh-CN"/>
                    </w:rPr>
                    <w:t>#</w:t>
                  </w:r>
                  <w:r>
                    <w:rPr>
                      <w:rFonts w:hint="eastAsia"/>
                      <w:sz w:val="22"/>
                      <w:szCs w:val="22"/>
                    </w:rPr>
                    <w:t>汽油储罐1个、</w:t>
                  </w:r>
                  <w:r>
                    <w:rPr>
                      <w:sz w:val="22"/>
                      <w:szCs w:val="22"/>
                    </w:rPr>
                    <w:t>20</w:t>
                  </w:r>
                  <w:r>
                    <w:rPr>
                      <w:rFonts w:hint="eastAsia"/>
                      <w:sz w:val="22"/>
                      <w:szCs w:val="22"/>
                    </w:rPr>
                    <w:t>m</w:t>
                  </w:r>
                  <w:r>
                    <w:rPr>
                      <w:sz w:val="22"/>
                      <w:szCs w:val="22"/>
                      <w:vertAlign w:val="superscript"/>
                    </w:rPr>
                    <w:t>3</w:t>
                  </w:r>
                  <w:r>
                    <w:rPr>
                      <w:rFonts w:hint="eastAsia"/>
                      <w:sz w:val="22"/>
                      <w:szCs w:val="22"/>
                    </w:rPr>
                    <w:t>的9</w:t>
                  </w:r>
                  <w:r>
                    <w:rPr>
                      <w:sz w:val="22"/>
                      <w:szCs w:val="22"/>
                    </w:rPr>
                    <w:t>8</w:t>
                  </w:r>
                  <w:r>
                    <w:rPr>
                      <w:rFonts w:hint="eastAsia"/>
                      <w:sz w:val="22"/>
                      <w:szCs w:val="22"/>
                      <w:lang w:val="en-US" w:eastAsia="zh-CN"/>
                    </w:rPr>
                    <w:t>#</w:t>
                  </w:r>
                  <w:r>
                    <w:rPr>
                      <w:rFonts w:hint="eastAsia"/>
                      <w:sz w:val="22"/>
                      <w:szCs w:val="22"/>
                    </w:rPr>
                    <w:t>汽油储罐1个</w:t>
                  </w:r>
                  <w:r>
                    <w:rPr>
                      <w:rFonts w:hint="eastAsia"/>
                      <w:sz w:val="22"/>
                      <w:szCs w:val="22"/>
                      <w:lang w:eastAsia="zh-CN"/>
                    </w:rPr>
                    <w:t>。</w:t>
                  </w:r>
                </w:p>
              </w:tc>
              <w:tc>
                <w:tcPr>
                  <w:tcW w:w="1095" w:type="dxa"/>
                  <w:tcBorders>
                    <w:top w:val="single" w:color="auto" w:sz="4" w:space="0"/>
                    <w:bottom w:val="single" w:color="auto" w:sz="4" w:space="0"/>
                  </w:tcBorders>
                  <w:shd w:val="clear" w:color="auto" w:fill="auto"/>
                  <w:vAlign w:val="center"/>
                </w:tcPr>
                <w:p w14:paraId="681F1429">
                  <w:pPr>
                    <w:jc w:val="center"/>
                    <w:rPr>
                      <w:rFonts w:hint="eastAsia" w:ascii="Times New Roman" w:hAnsi="Times New Roman" w:eastAsia="宋体" w:cs="Times New Roman"/>
                      <w:bCs/>
                      <w:kern w:val="2"/>
                      <w:sz w:val="22"/>
                      <w:szCs w:val="22"/>
                      <w:lang w:val="en-US" w:eastAsia="zh-CN" w:bidi="ar-SA"/>
                    </w:rPr>
                  </w:pPr>
                  <w:r>
                    <w:rPr>
                      <w:rFonts w:hint="eastAsia"/>
                      <w:bCs/>
                      <w:sz w:val="22"/>
                      <w:szCs w:val="22"/>
                    </w:rPr>
                    <w:t>拆除现有储罐</w:t>
                  </w:r>
                  <w:r>
                    <w:rPr>
                      <w:rFonts w:hint="eastAsia"/>
                      <w:bCs/>
                      <w:sz w:val="22"/>
                      <w:szCs w:val="22"/>
                      <w:lang w:val="en-US" w:eastAsia="zh-CN"/>
                    </w:rPr>
                    <w:t>及防渗罐池</w:t>
                  </w:r>
                  <w:r>
                    <w:rPr>
                      <w:rFonts w:hint="eastAsia"/>
                      <w:bCs/>
                      <w:sz w:val="22"/>
                      <w:szCs w:val="22"/>
                    </w:rPr>
                    <w:t>，新建双层储罐及其配套安全环保设施</w:t>
                  </w:r>
                </w:p>
              </w:tc>
            </w:tr>
            <w:tr w14:paraId="684F5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1BF20471">
                  <w:pPr>
                    <w:jc w:val="center"/>
                    <w:rPr>
                      <w:sz w:val="22"/>
                      <w:szCs w:val="22"/>
                    </w:rPr>
                  </w:pPr>
                </w:p>
              </w:tc>
              <w:tc>
                <w:tcPr>
                  <w:tcW w:w="1462" w:type="dxa"/>
                  <w:gridSpan w:val="2"/>
                  <w:tcBorders>
                    <w:bottom w:val="single" w:color="auto" w:sz="4" w:space="0"/>
                  </w:tcBorders>
                  <w:shd w:val="clear" w:color="auto" w:fill="auto"/>
                  <w:vAlign w:val="center"/>
                </w:tcPr>
                <w:p w14:paraId="49708E7A">
                  <w:pPr>
                    <w:jc w:val="center"/>
                    <w:rPr>
                      <w:rFonts w:hint="default" w:ascii="Times New Roman" w:hAnsi="Times New Roman" w:eastAsia="宋体" w:cs="Times New Roman"/>
                      <w:bCs/>
                      <w:kern w:val="2"/>
                      <w:sz w:val="22"/>
                      <w:szCs w:val="22"/>
                      <w:lang w:val="en-US" w:eastAsia="zh-CN" w:bidi="ar-SA"/>
                    </w:rPr>
                  </w:pPr>
                  <w:r>
                    <w:rPr>
                      <w:rFonts w:hint="eastAsia" w:cs="Times New Roman"/>
                      <w:bCs/>
                      <w:kern w:val="2"/>
                      <w:sz w:val="22"/>
                      <w:szCs w:val="22"/>
                      <w:lang w:val="en-US" w:eastAsia="zh-CN" w:bidi="ar-SA"/>
                    </w:rPr>
                    <w:t>L-CNG区</w:t>
                  </w:r>
                </w:p>
              </w:tc>
              <w:tc>
                <w:tcPr>
                  <w:tcW w:w="4617" w:type="dxa"/>
                  <w:tcBorders>
                    <w:top w:val="single" w:color="auto" w:sz="4" w:space="0"/>
                    <w:bottom w:val="single" w:color="auto" w:sz="4" w:space="0"/>
                  </w:tcBorders>
                  <w:shd w:val="clear" w:color="auto" w:fill="auto"/>
                  <w:vAlign w:val="center"/>
                </w:tcPr>
                <w:p w14:paraId="4FB197A0">
                  <w:pPr>
                    <w:adjustRightInd w:val="0"/>
                    <w:snapToGrid w:val="0"/>
                    <w:jc w:val="left"/>
                    <w:rPr>
                      <w:rFonts w:ascii="Times New Roman" w:hAnsi="Times New Roman" w:eastAsia="宋体" w:cs="Times New Roman"/>
                      <w:bCs/>
                      <w:kern w:val="2"/>
                      <w:sz w:val="22"/>
                      <w:szCs w:val="22"/>
                      <w:lang w:val="en-US" w:eastAsia="zh-CN" w:bidi="ar-SA"/>
                    </w:rPr>
                  </w:pPr>
                  <w:r>
                    <w:rPr>
                      <w:rFonts w:hint="eastAsia"/>
                      <w:bCs/>
                      <w:sz w:val="22"/>
                      <w:szCs w:val="22"/>
                      <w:lang w:val="en-US" w:eastAsia="zh-CN"/>
                    </w:rPr>
                    <w:t>拆除原有LNG储罐池，拆除原有L-CNG的相关设施（1个</w:t>
                  </w:r>
                  <w:r>
                    <w:rPr>
                      <w:rFonts w:hint="eastAsia"/>
                      <w:bCs/>
                      <w:sz w:val="22"/>
                      <w:szCs w:val="22"/>
                    </w:rPr>
                    <w:t>60m</w:t>
                  </w:r>
                  <w:r>
                    <w:rPr>
                      <w:rFonts w:hint="eastAsia"/>
                      <w:bCs/>
                      <w:sz w:val="22"/>
                      <w:szCs w:val="22"/>
                      <w:vertAlign w:val="superscript"/>
                      <w:lang w:val="en-US" w:eastAsia="zh-CN"/>
                    </w:rPr>
                    <w:t>3</w:t>
                  </w:r>
                  <w:r>
                    <w:rPr>
                      <w:rFonts w:hint="eastAsia"/>
                      <w:bCs/>
                      <w:sz w:val="22"/>
                      <w:szCs w:val="22"/>
                    </w:rPr>
                    <w:t>LNG</w:t>
                  </w:r>
                  <w:r>
                    <w:rPr>
                      <w:rFonts w:hint="eastAsia"/>
                      <w:bCs/>
                      <w:sz w:val="22"/>
                      <w:szCs w:val="22"/>
                      <w:lang w:val="en-US" w:eastAsia="zh-CN"/>
                    </w:rPr>
                    <w:t>立式</w:t>
                  </w:r>
                  <w:r>
                    <w:rPr>
                      <w:rFonts w:hint="eastAsia"/>
                      <w:bCs/>
                      <w:sz w:val="22"/>
                      <w:szCs w:val="22"/>
                    </w:rPr>
                    <w:t>储罐</w:t>
                  </w:r>
                  <w:r>
                    <w:rPr>
                      <w:rFonts w:hint="eastAsia"/>
                      <w:bCs/>
                      <w:sz w:val="22"/>
                      <w:szCs w:val="22"/>
                      <w:lang w:eastAsia="zh-CN"/>
                    </w:rPr>
                    <w:t>，</w:t>
                  </w:r>
                  <w:r>
                    <w:rPr>
                      <w:rFonts w:hint="eastAsia"/>
                      <w:bCs/>
                      <w:sz w:val="22"/>
                      <w:szCs w:val="22"/>
                    </w:rPr>
                    <w:t>3口CNG储气井</w:t>
                  </w:r>
                  <w:r>
                    <w:rPr>
                      <w:rFonts w:hint="eastAsia"/>
                      <w:bCs/>
                      <w:sz w:val="22"/>
                      <w:szCs w:val="22"/>
                      <w:lang w:eastAsia="zh-CN"/>
                    </w:rPr>
                    <w:t>（</w:t>
                  </w:r>
                  <w:r>
                    <w:rPr>
                      <w:rFonts w:hint="eastAsia"/>
                      <w:bCs/>
                      <w:sz w:val="22"/>
                      <w:szCs w:val="22"/>
                    </w:rPr>
                    <w:t>1m</w:t>
                  </w:r>
                  <w:r>
                    <w:rPr>
                      <w:rFonts w:hint="eastAsia"/>
                      <w:bCs/>
                      <w:sz w:val="22"/>
                      <w:szCs w:val="22"/>
                      <w:vertAlign w:val="superscript"/>
                    </w:rPr>
                    <w:t>3</w:t>
                  </w:r>
                  <w:r>
                    <w:rPr>
                      <w:rFonts w:hint="eastAsia"/>
                      <w:bCs/>
                      <w:sz w:val="22"/>
                      <w:szCs w:val="22"/>
                    </w:rPr>
                    <w:t>、2m</w:t>
                  </w:r>
                  <w:r>
                    <w:rPr>
                      <w:rFonts w:hint="eastAsia"/>
                      <w:bCs/>
                      <w:sz w:val="22"/>
                      <w:szCs w:val="22"/>
                      <w:vertAlign w:val="superscript"/>
                    </w:rPr>
                    <w:t>3</w:t>
                  </w:r>
                  <w:r>
                    <w:rPr>
                      <w:rFonts w:hint="eastAsia"/>
                      <w:bCs/>
                      <w:sz w:val="22"/>
                      <w:szCs w:val="22"/>
                    </w:rPr>
                    <w:t>、3m</w:t>
                  </w:r>
                  <w:r>
                    <w:rPr>
                      <w:rFonts w:hint="eastAsia"/>
                      <w:bCs/>
                      <w:sz w:val="22"/>
                      <w:szCs w:val="22"/>
                      <w:vertAlign w:val="superscript"/>
                      <w:lang w:val="en-US" w:eastAsia="zh-CN"/>
                    </w:rPr>
                    <w:t>3</w:t>
                  </w:r>
                  <w:r>
                    <w:rPr>
                      <w:rFonts w:hint="eastAsia"/>
                      <w:bCs/>
                      <w:sz w:val="22"/>
                      <w:szCs w:val="22"/>
                    </w:rPr>
                    <w:t>各1口</w:t>
                  </w:r>
                  <w:r>
                    <w:rPr>
                      <w:rFonts w:hint="eastAsia"/>
                      <w:bCs/>
                      <w:sz w:val="22"/>
                      <w:szCs w:val="22"/>
                      <w:lang w:eastAsia="zh-CN"/>
                    </w:rPr>
                    <w:t>），2台LNG高压气化器、1根LNG和CNG放空管等相关设施）</w:t>
                  </w:r>
                </w:p>
              </w:tc>
              <w:tc>
                <w:tcPr>
                  <w:tcW w:w="1095" w:type="dxa"/>
                  <w:tcBorders>
                    <w:top w:val="single" w:color="auto" w:sz="4" w:space="0"/>
                    <w:bottom w:val="single" w:color="auto" w:sz="4" w:space="0"/>
                  </w:tcBorders>
                  <w:shd w:val="clear" w:color="auto" w:fill="auto"/>
                  <w:vAlign w:val="center"/>
                </w:tcPr>
                <w:p w14:paraId="4BB48B43">
                  <w:pPr>
                    <w:jc w:val="center"/>
                    <w:rPr>
                      <w:rFonts w:hint="default" w:ascii="Times New Roman" w:hAnsi="Times New Roman" w:eastAsia="宋体" w:cs="Times New Roman"/>
                      <w:bCs/>
                      <w:kern w:val="2"/>
                      <w:sz w:val="22"/>
                      <w:szCs w:val="22"/>
                      <w:lang w:val="en-US" w:eastAsia="zh-CN" w:bidi="ar-SA"/>
                    </w:rPr>
                  </w:pPr>
                  <w:r>
                    <w:rPr>
                      <w:rFonts w:hint="eastAsia" w:cs="Times New Roman"/>
                      <w:bCs/>
                      <w:kern w:val="2"/>
                      <w:sz w:val="22"/>
                      <w:szCs w:val="22"/>
                      <w:lang w:val="en-US" w:eastAsia="zh-CN" w:bidi="ar-SA"/>
                    </w:rPr>
                    <w:t>拆除相关设施设备后空置，本次评价不涉及</w:t>
                  </w:r>
                </w:p>
              </w:tc>
            </w:tr>
            <w:tr w14:paraId="2E3F9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restart"/>
                  <w:tcBorders>
                    <w:top w:val="single" w:color="auto" w:sz="4" w:space="0"/>
                  </w:tcBorders>
                  <w:vAlign w:val="center"/>
                </w:tcPr>
                <w:p w14:paraId="46AE43A0">
                  <w:pPr>
                    <w:jc w:val="center"/>
                    <w:rPr>
                      <w:sz w:val="22"/>
                      <w:szCs w:val="22"/>
                    </w:rPr>
                  </w:pPr>
                  <w:r>
                    <w:rPr>
                      <w:sz w:val="22"/>
                      <w:szCs w:val="22"/>
                    </w:rPr>
                    <w:t>辅助工程</w:t>
                  </w:r>
                </w:p>
              </w:tc>
              <w:tc>
                <w:tcPr>
                  <w:tcW w:w="1462" w:type="dxa"/>
                  <w:gridSpan w:val="2"/>
                  <w:tcBorders>
                    <w:bottom w:val="single" w:color="auto" w:sz="4" w:space="0"/>
                  </w:tcBorders>
                  <w:vAlign w:val="center"/>
                </w:tcPr>
                <w:p w14:paraId="26653CCD">
                  <w:pPr>
                    <w:jc w:val="center"/>
                    <w:rPr>
                      <w:sz w:val="22"/>
                      <w:szCs w:val="22"/>
                    </w:rPr>
                  </w:pPr>
                  <w:r>
                    <w:rPr>
                      <w:rFonts w:hint="eastAsia"/>
                      <w:sz w:val="22"/>
                      <w:szCs w:val="22"/>
                    </w:rPr>
                    <w:t>站房</w:t>
                  </w:r>
                </w:p>
              </w:tc>
              <w:tc>
                <w:tcPr>
                  <w:tcW w:w="4617" w:type="dxa"/>
                  <w:tcBorders>
                    <w:top w:val="single" w:color="auto" w:sz="4" w:space="0"/>
                    <w:bottom w:val="single" w:color="auto" w:sz="4" w:space="0"/>
                  </w:tcBorders>
                  <w:vAlign w:val="center"/>
                </w:tcPr>
                <w:p w14:paraId="14DA38A0">
                  <w:pPr>
                    <w:rPr>
                      <w:sz w:val="22"/>
                      <w:szCs w:val="22"/>
                    </w:rPr>
                  </w:pPr>
                  <w:r>
                    <w:rPr>
                      <w:kern w:val="0"/>
                      <w:sz w:val="22"/>
                      <w:szCs w:val="22"/>
                    </w:rPr>
                    <w:t>1</w:t>
                  </w:r>
                  <w:r>
                    <w:rPr>
                      <w:rFonts w:hint="eastAsia"/>
                      <w:kern w:val="0"/>
                      <w:sz w:val="22"/>
                      <w:szCs w:val="22"/>
                    </w:rPr>
                    <w:t>栋，位于加油站</w:t>
                  </w:r>
                  <w:r>
                    <w:rPr>
                      <w:rFonts w:hint="eastAsia"/>
                      <w:kern w:val="0"/>
                      <w:sz w:val="22"/>
                      <w:szCs w:val="22"/>
                      <w:lang w:val="en-US" w:eastAsia="zh-CN"/>
                    </w:rPr>
                    <w:t>西侧</w:t>
                  </w:r>
                  <w:r>
                    <w:rPr>
                      <w:rFonts w:hint="eastAsia"/>
                      <w:kern w:val="0"/>
                      <w:sz w:val="22"/>
                      <w:szCs w:val="22"/>
                    </w:rPr>
                    <w:t>，为地上双层砖混建筑，建筑面积约</w:t>
                  </w:r>
                  <w:r>
                    <w:rPr>
                      <w:rFonts w:hint="eastAsia"/>
                      <w:color w:val="auto"/>
                      <w:kern w:val="0"/>
                      <w:sz w:val="22"/>
                      <w:szCs w:val="22"/>
                      <w:lang w:val="en-US" w:eastAsia="zh-CN"/>
                    </w:rPr>
                    <w:t>159</w:t>
                  </w:r>
                  <w:r>
                    <w:rPr>
                      <w:rFonts w:hint="eastAsia"/>
                      <w:color w:val="auto"/>
                      <w:kern w:val="0"/>
                      <w:sz w:val="22"/>
                      <w:szCs w:val="22"/>
                    </w:rPr>
                    <w:t>m</w:t>
                  </w:r>
                  <w:r>
                    <w:rPr>
                      <w:color w:val="auto"/>
                      <w:kern w:val="0"/>
                      <w:sz w:val="22"/>
                      <w:szCs w:val="22"/>
                      <w:vertAlign w:val="superscript"/>
                    </w:rPr>
                    <w:t>2</w:t>
                  </w:r>
                  <w:r>
                    <w:rPr>
                      <w:rFonts w:hint="eastAsia"/>
                      <w:kern w:val="0"/>
                      <w:sz w:val="22"/>
                      <w:szCs w:val="22"/>
                    </w:rPr>
                    <w:t>，其中1</w:t>
                  </w:r>
                  <w:r>
                    <w:rPr>
                      <w:kern w:val="0"/>
                      <w:sz w:val="22"/>
                      <w:szCs w:val="22"/>
                    </w:rPr>
                    <w:t>F</w:t>
                  </w:r>
                  <w:r>
                    <w:rPr>
                      <w:rFonts w:hint="eastAsia"/>
                      <w:kern w:val="0"/>
                      <w:sz w:val="22"/>
                      <w:szCs w:val="22"/>
                    </w:rPr>
                    <w:t>设置了便利店、办公室、储藏室、卫生间、发电间和值班室；</w:t>
                  </w:r>
                  <w:r>
                    <w:rPr>
                      <w:kern w:val="0"/>
                      <w:sz w:val="22"/>
                      <w:szCs w:val="22"/>
                    </w:rPr>
                    <w:t>2F</w:t>
                  </w:r>
                  <w:r>
                    <w:rPr>
                      <w:rFonts w:hint="eastAsia"/>
                      <w:kern w:val="0"/>
                      <w:sz w:val="22"/>
                      <w:szCs w:val="22"/>
                    </w:rPr>
                    <w:t>设置了员工倒班房</w:t>
                  </w:r>
                </w:p>
              </w:tc>
              <w:tc>
                <w:tcPr>
                  <w:tcW w:w="1095" w:type="dxa"/>
                  <w:tcBorders>
                    <w:top w:val="single" w:color="auto" w:sz="4" w:space="0"/>
                    <w:bottom w:val="single" w:color="auto" w:sz="4" w:space="0"/>
                  </w:tcBorders>
                  <w:vAlign w:val="center"/>
                </w:tcPr>
                <w:p w14:paraId="12BB15CA">
                  <w:pPr>
                    <w:jc w:val="center"/>
                    <w:rPr>
                      <w:rFonts w:hint="default" w:eastAsia="宋体"/>
                      <w:bCs/>
                      <w:sz w:val="22"/>
                      <w:szCs w:val="22"/>
                      <w:lang w:val="en-US" w:eastAsia="zh-CN"/>
                    </w:rPr>
                  </w:pPr>
                  <w:r>
                    <w:rPr>
                      <w:rFonts w:hint="eastAsia"/>
                      <w:sz w:val="22"/>
                      <w:szCs w:val="22"/>
                    </w:rPr>
                    <w:t>利旧</w:t>
                  </w:r>
                  <w:r>
                    <w:rPr>
                      <w:rFonts w:hint="eastAsia"/>
                      <w:sz w:val="22"/>
                      <w:szCs w:val="22"/>
                      <w:lang w:eastAsia="zh-CN"/>
                    </w:rPr>
                    <w:t>，</w:t>
                  </w:r>
                  <w:r>
                    <w:rPr>
                      <w:rFonts w:hint="eastAsia"/>
                      <w:sz w:val="22"/>
                      <w:szCs w:val="22"/>
                      <w:lang w:val="en-US" w:eastAsia="zh-CN"/>
                    </w:rPr>
                    <w:t>仅对站房外立面面层进行翻新</w:t>
                  </w:r>
                </w:p>
              </w:tc>
            </w:tr>
            <w:tr w14:paraId="0082B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46072E03">
                  <w:pPr>
                    <w:jc w:val="center"/>
                    <w:rPr>
                      <w:sz w:val="22"/>
                      <w:szCs w:val="22"/>
                    </w:rPr>
                  </w:pPr>
                </w:p>
              </w:tc>
              <w:tc>
                <w:tcPr>
                  <w:tcW w:w="1462" w:type="dxa"/>
                  <w:gridSpan w:val="2"/>
                  <w:tcBorders>
                    <w:bottom w:val="single" w:color="auto" w:sz="4" w:space="0"/>
                  </w:tcBorders>
                  <w:shd w:val="clear" w:color="auto" w:fill="auto"/>
                  <w:vAlign w:val="center"/>
                </w:tcPr>
                <w:p w14:paraId="7CDB01DB">
                  <w:pPr>
                    <w:jc w:val="center"/>
                    <w:rPr>
                      <w:rFonts w:hint="eastAsia" w:ascii="Times New Roman" w:hAnsi="Times New Roman" w:eastAsia="宋体" w:cs="Times New Roman"/>
                      <w:kern w:val="2"/>
                      <w:sz w:val="22"/>
                      <w:szCs w:val="22"/>
                      <w:lang w:val="en-US" w:eastAsia="zh-CN" w:bidi="ar-SA"/>
                    </w:rPr>
                  </w:pPr>
                  <w:r>
                    <w:rPr>
                      <w:rFonts w:hint="eastAsia"/>
                      <w:sz w:val="22"/>
                      <w:szCs w:val="22"/>
                    </w:rPr>
                    <w:t>工艺管线</w:t>
                  </w:r>
                </w:p>
              </w:tc>
              <w:tc>
                <w:tcPr>
                  <w:tcW w:w="4617" w:type="dxa"/>
                  <w:tcBorders>
                    <w:top w:val="single" w:color="auto" w:sz="4" w:space="0"/>
                    <w:bottom w:val="single" w:color="auto" w:sz="4" w:space="0"/>
                  </w:tcBorders>
                  <w:shd w:val="clear" w:color="auto" w:fill="auto"/>
                  <w:vAlign w:val="center"/>
                </w:tcPr>
                <w:p w14:paraId="31DBCA39">
                  <w:pPr>
                    <w:rPr>
                      <w:rFonts w:ascii="Times New Roman" w:hAnsi="Times New Roman" w:eastAsia="宋体" w:cs="Times New Roman"/>
                      <w:kern w:val="2"/>
                      <w:sz w:val="22"/>
                      <w:szCs w:val="22"/>
                      <w:lang w:val="en-US" w:eastAsia="zh-CN" w:bidi="ar-SA"/>
                    </w:rPr>
                  </w:pPr>
                  <w:r>
                    <w:rPr>
                      <w:rFonts w:hint="eastAsia"/>
                      <w:sz w:val="22"/>
                      <w:szCs w:val="22"/>
                    </w:rPr>
                    <w:t>敷设管沟、布置工艺管道，采用双层复合管线</w:t>
                  </w:r>
                </w:p>
              </w:tc>
              <w:tc>
                <w:tcPr>
                  <w:tcW w:w="1095" w:type="dxa"/>
                  <w:tcBorders>
                    <w:top w:val="single" w:color="auto" w:sz="4" w:space="0"/>
                    <w:bottom w:val="single" w:color="auto" w:sz="4" w:space="0"/>
                  </w:tcBorders>
                  <w:shd w:val="clear" w:color="auto" w:fill="auto"/>
                  <w:vAlign w:val="center"/>
                </w:tcPr>
                <w:p w14:paraId="223E8B30">
                  <w:pPr>
                    <w:jc w:val="center"/>
                    <w:rPr>
                      <w:rFonts w:hint="eastAsia" w:ascii="Times New Roman" w:hAnsi="Times New Roman" w:eastAsia="宋体" w:cs="Times New Roman"/>
                      <w:bCs/>
                      <w:kern w:val="2"/>
                      <w:sz w:val="22"/>
                      <w:szCs w:val="22"/>
                      <w:lang w:val="en-US" w:eastAsia="zh-CN" w:bidi="ar-SA"/>
                    </w:rPr>
                  </w:pPr>
                  <w:r>
                    <w:rPr>
                      <w:rFonts w:hint="eastAsia"/>
                      <w:bCs/>
                      <w:sz w:val="22"/>
                      <w:szCs w:val="22"/>
                    </w:rPr>
                    <w:t>更换工艺管线</w:t>
                  </w:r>
                </w:p>
              </w:tc>
            </w:tr>
            <w:tr w14:paraId="6F2AB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34EB494F">
                  <w:pPr>
                    <w:jc w:val="center"/>
                    <w:rPr>
                      <w:sz w:val="22"/>
                      <w:szCs w:val="22"/>
                    </w:rPr>
                  </w:pPr>
                </w:p>
              </w:tc>
              <w:tc>
                <w:tcPr>
                  <w:tcW w:w="1462" w:type="dxa"/>
                  <w:gridSpan w:val="2"/>
                  <w:tcBorders>
                    <w:bottom w:val="single" w:color="auto" w:sz="4" w:space="0"/>
                  </w:tcBorders>
                  <w:vAlign w:val="center"/>
                </w:tcPr>
                <w:p w14:paraId="6E865367">
                  <w:pPr>
                    <w:jc w:val="center"/>
                    <w:rPr>
                      <w:rFonts w:hint="eastAsia" w:eastAsia="宋体"/>
                      <w:sz w:val="22"/>
                      <w:szCs w:val="22"/>
                      <w:lang w:val="en-US" w:eastAsia="zh-CN"/>
                    </w:rPr>
                  </w:pPr>
                  <w:r>
                    <w:rPr>
                      <w:rFonts w:hint="eastAsia"/>
                      <w:sz w:val="22"/>
                      <w:szCs w:val="22"/>
                      <w:lang w:val="en-US" w:eastAsia="zh-CN"/>
                    </w:rPr>
                    <w:t>罩棚</w:t>
                  </w:r>
                </w:p>
              </w:tc>
              <w:tc>
                <w:tcPr>
                  <w:tcW w:w="4617" w:type="dxa"/>
                  <w:tcBorders>
                    <w:top w:val="single" w:color="auto" w:sz="4" w:space="0"/>
                    <w:bottom w:val="single" w:color="auto" w:sz="4" w:space="0"/>
                  </w:tcBorders>
                  <w:vAlign w:val="center"/>
                </w:tcPr>
                <w:p w14:paraId="323A8F21">
                  <w:pPr>
                    <w:rPr>
                      <w:rFonts w:hint="default" w:eastAsia="宋体"/>
                      <w:sz w:val="22"/>
                      <w:szCs w:val="22"/>
                      <w:lang w:val="en-US" w:eastAsia="zh-CN"/>
                    </w:rPr>
                  </w:pPr>
                  <w:r>
                    <w:rPr>
                      <w:rFonts w:hint="eastAsia"/>
                      <w:sz w:val="22"/>
                      <w:szCs w:val="22"/>
                      <w:lang w:val="en-US" w:eastAsia="zh-CN"/>
                    </w:rPr>
                    <w:t>罩棚</w:t>
                  </w:r>
                  <w:r>
                    <w:rPr>
                      <w:rFonts w:hint="eastAsia"/>
                      <w:sz w:val="22"/>
                      <w:szCs w:val="22"/>
                    </w:rPr>
                    <w:t>面积约</w:t>
                  </w:r>
                  <w:r>
                    <w:rPr>
                      <w:sz w:val="22"/>
                      <w:szCs w:val="22"/>
                    </w:rPr>
                    <w:t>8</w:t>
                  </w:r>
                  <w:r>
                    <w:rPr>
                      <w:rFonts w:hint="eastAsia"/>
                      <w:sz w:val="22"/>
                      <w:szCs w:val="22"/>
                      <w:lang w:val="en-US" w:eastAsia="zh-CN"/>
                    </w:rPr>
                    <w:t>80</w:t>
                  </w:r>
                  <w:r>
                    <w:rPr>
                      <w:rFonts w:hint="eastAsia"/>
                      <w:sz w:val="22"/>
                      <w:szCs w:val="22"/>
                    </w:rPr>
                    <w:t>m</w:t>
                  </w:r>
                  <w:r>
                    <w:rPr>
                      <w:sz w:val="22"/>
                      <w:szCs w:val="22"/>
                      <w:vertAlign w:val="superscript"/>
                    </w:rPr>
                    <w:t>2</w:t>
                  </w:r>
                  <w:r>
                    <w:rPr>
                      <w:rFonts w:hint="eastAsia"/>
                      <w:sz w:val="22"/>
                      <w:szCs w:val="22"/>
                    </w:rPr>
                    <w:t>，H</w:t>
                  </w:r>
                  <w:r>
                    <w:rPr>
                      <w:rFonts w:hint="eastAsia"/>
                      <w:sz w:val="22"/>
                      <w:szCs w:val="22"/>
                      <w:lang w:val="en-US" w:eastAsia="zh-CN"/>
                    </w:rPr>
                    <w:t>=</w:t>
                  </w:r>
                  <w:r>
                    <w:rPr>
                      <w:rFonts w:hint="eastAsia"/>
                      <w:sz w:val="22"/>
                      <w:szCs w:val="22"/>
                    </w:rPr>
                    <w:t>10m，轻钢网架结构，位于地块中央；罩棚与站房接口处屋面维修</w:t>
                  </w:r>
                  <w:r>
                    <w:rPr>
                      <w:rFonts w:hint="eastAsia"/>
                      <w:sz w:val="22"/>
                      <w:szCs w:val="22"/>
                      <w:lang w:eastAsia="zh-CN"/>
                    </w:rPr>
                    <w:t>，</w:t>
                  </w:r>
                  <w:r>
                    <w:rPr>
                      <w:rFonts w:hint="eastAsia"/>
                      <w:sz w:val="22"/>
                      <w:szCs w:val="22"/>
                    </w:rPr>
                    <w:t>罩棚檐口翻新，彩钢板换新</w:t>
                  </w:r>
                  <w:r>
                    <w:rPr>
                      <w:rFonts w:hint="eastAsia"/>
                      <w:sz w:val="22"/>
                      <w:szCs w:val="22"/>
                      <w:lang w:eastAsia="zh-CN"/>
                    </w:rPr>
                    <w:t>（</w:t>
                  </w:r>
                  <w:r>
                    <w:rPr>
                      <w:rFonts w:hint="eastAsia"/>
                      <w:sz w:val="22"/>
                      <w:szCs w:val="22"/>
                    </w:rPr>
                    <w:t>880m</w:t>
                  </w:r>
                  <w:r>
                    <w:rPr>
                      <w:rFonts w:hint="eastAsia"/>
                      <w:sz w:val="22"/>
                      <w:szCs w:val="22"/>
                      <w:vertAlign w:val="superscript"/>
                    </w:rPr>
                    <w:t>2</w:t>
                  </w:r>
                  <w:r>
                    <w:rPr>
                      <w:rFonts w:hint="eastAsia"/>
                      <w:sz w:val="22"/>
                      <w:szCs w:val="22"/>
                      <w:lang w:eastAsia="zh-CN"/>
                    </w:rPr>
                    <w:t>），</w:t>
                  </w:r>
                  <w:r>
                    <w:rPr>
                      <w:rFonts w:hint="eastAsia"/>
                      <w:sz w:val="22"/>
                      <w:szCs w:val="22"/>
                    </w:rPr>
                    <w:t>防雷带换新</w:t>
                  </w:r>
                  <w:r>
                    <w:rPr>
                      <w:rFonts w:hint="eastAsia"/>
                      <w:sz w:val="22"/>
                      <w:szCs w:val="22"/>
                      <w:lang w:eastAsia="zh-CN"/>
                    </w:rPr>
                    <w:t>（</w:t>
                  </w:r>
                  <w:r>
                    <w:rPr>
                      <w:rFonts w:hint="eastAsia"/>
                      <w:sz w:val="22"/>
                      <w:szCs w:val="22"/>
                    </w:rPr>
                    <w:t>120m</w:t>
                  </w:r>
                  <w:r>
                    <w:rPr>
                      <w:rFonts w:hint="eastAsia"/>
                      <w:sz w:val="22"/>
                      <w:szCs w:val="22"/>
                      <w:lang w:eastAsia="zh-CN"/>
                    </w:rPr>
                    <w:t>）</w:t>
                  </w:r>
                  <w:r>
                    <w:rPr>
                      <w:rFonts w:hint="eastAsia"/>
                      <w:sz w:val="22"/>
                      <w:szCs w:val="22"/>
                    </w:rPr>
                    <w:t>，钢结构除锈防腐刷漆</w:t>
                  </w:r>
                  <w:r>
                    <w:rPr>
                      <w:rFonts w:hint="eastAsia"/>
                      <w:sz w:val="22"/>
                      <w:szCs w:val="22"/>
                      <w:lang w:eastAsia="zh-CN"/>
                    </w:rPr>
                    <w:t>（</w:t>
                  </w:r>
                  <w:r>
                    <w:rPr>
                      <w:rFonts w:hint="eastAsia"/>
                      <w:sz w:val="22"/>
                      <w:szCs w:val="22"/>
                    </w:rPr>
                    <w:t>450m</w:t>
                  </w:r>
                  <w:r>
                    <w:rPr>
                      <w:rFonts w:hint="eastAsia"/>
                      <w:sz w:val="22"/>
                      <w:szCs w:val="22"/>
                      <w:vertAlign w:val="superscript"/>
                    </w:rPr>
                    <w:t>2</w:t>
                  </w:r>
                  <w:r>
                    <w:rPr>
                      <w:rFonts w:hint="eastAsia"/>
                      <w:sz w:val="22"/>
                      <w:szCs w:val="22"/>
                      <w:lang w:eastAsia="zh-CN"/>
                    </w:rPr>
                    <w:t>）。</w:t>
                  </w:r>
                  <w:r>
                    <w:rPr>
                      <w:rFonts w:hint="eastAsia"/>
                      <w:sz w:val="22"/>
                      <w:szCs w:val="22"/>
                      <w:lang w:val="en-US" w:eastAsia="zh-CN"/>
                    </w:rPr>
                    <w:t>罩棚下地面采用NFJ不发火材质铺设，罩棚的监控摄像头更换为防爆摄像头（9个）</w:t>
                  </w:r>
                </w:p>
              </w:tc>
              <w:tc>
                <w:tcPr>
                  <w:tcW w:w="1095" w:type="dxa"/>
                  <w:tcBorders>
                    <w:top w:val="single" w:color="auto" w:sz="4" w:space="0"/>
                    <w:bottom w:val="single" w:color="auto" w:sz="4" w:space="0"/>
                  </w:tcBorders>
                  <w:vAlign w:val="center"/>
                </w:tcPr>
                <w:p w14:paraId="0B91B072">
                  <w:pPr>
                    <w:jc w:val="center"/>
                    <w:rPr>
                      <w:rFonts w:hint="eastAsia" w:eastAsia="宋体"/>
                      <w:bCs/>
                      <w:sz w:val="22"/>
                      <w:szCs w:val="22"/>
                      <w:lang w:val="en-US" w:eastAsia="zh-CN"/>
                    </w:rPr>
                  </w:pPr>
                  <w:r>
                    <w:rPr>
                      <w:rFonts w:hint="eastAsia"/>
                      <w:bCs/>
                      <w:sz w:val="22"/>
                      <w:szCs w:val="22"/>
                      <w:lang w:val="en-US" w:eastAsia="zh-CN"/>
                    </w:rPr>
                    <w:t>改造</w:t>
                  </w:r>
                </w:p>
              </w:tc>
            </w:tr>
            <w:tr w14:paraId="24B7E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4AC19C07">
                  <w:pPr>
                    <w:jc w:val="center"/>
                    <w:rPr>
                      <w:sz w:val="22"/>
                      <w:szCs w:val="22"/>
                    </w:rPr>
                  </w:pPr>
                </w:p>
              </w:tc>
              <w:tc>
                <w:tcPr>
                  <w:tcW w:w="1462" w:type="dxa"/>
                  <w:gridSpan w:val="2"/>
                  <w:tcBorders>
                    <w:bottom w:val="single" w:color="auto" w:sz="4" w:space="0"/>
                  </w:tcBorders>
                  <w:shd w:val="clear" w:color="auto" w:fill="auto"/>
                  <w:vAlign w:val="center"/>
                </w:tcPr>
                <w:p w14:paraId="4474C41C">
                  <w:pPr>
                    <w:jc w:val="center"/>
                    <w:rPr>
                      <w:rFonts w:hint="eastAsia" w:ascii="Times New Roman" w:hAnsi="Times New Roman" w:eastAsia="宋体" w:cs="Times New Roman"/>
                      <w:kern w:val="2"/>
                      <w:sz w:val="22"/>
                      <w:szCs w:val="22"/>
                      <w:lang w:val="en-US" w:eastAsia="zh-CN" w:bidi="ar-SA"/>
                    </w:rPr>
                  </w:pPr>
                  <w:r>
                    <w:rPr>
                      <w:rFonts w:hint="eastAsia" w:ascii="Times New Roman" w:hAnsi="Times New Roman" w:eastAsia="宋体" w:cs="Times New Roman"/>
                      <w:sz w:val="22"/>
                      <w:szCs w:val="22"/>
                      <w:lang w:val="en-US" w:eastAsia="zh-CN"/>
                    </w:rPr>
                    <w:t>自动洗车区</w:t>
                  </w:r>
                </w:p>
              </w:tc>
              <w:tc>
                <w:tcPr>
                  <w:tcW w:w="4617" w:type="dxa"/>
                  <w:tcBorders>
                    <w:top w:val="single" w:color="auto" w:sz="4" w:space="0"/>
                    <w:bottom w:val="single" w:color="auto" w:sz="4" w:space="0"/>
                  </w:tcBorders>
                  <w:shd w:val="clear" w:color="auto" w:fill="auto"/>
                  <w:vAlign w:val="center"/>
                </w:tcPr>
                <w:p w14:paraId="686C5018">
                  <w:pPr>
                    <w:jc w:val="center"/>
                    <w:rPr>
                      <w:rFonts w:hint="default" w:ascii="Times New Roman" w:hAnsi="Times New Roman" w:eastAsia="宋体" w:cs="Times New Roman"/>
                      <w:kern w:val="2"/>
                      <w:sz w:val="22"/>
                      <w:szCs w:val="22"/>
                      <w:lang w:val="en-US" w:eastAsia="zh-CN" w:bidi="ar-SA"/>
                    </w:rPr>
                  </w:pPr>
                  <w:r>
                    <w:rPr>
                      <w:rFonts w:hint="eastAsia" w:ascii="Times New Roman" w:hAnsi="Times New Roman" w:eastAsia="宋体" w:cs="Times New Roman"/>
                      <w:sz w:val="22"/>
                      <w:szCs w:val="22"/>
                      <w:lang w:val="en-US" w:eastAsia="zh-CN"/>
                    </w:rPr>
                    <w:t>新增设置1</w:t>
                  </w:r>
                  <w:r>
                    <w:rPr>
                      <w:rFonts w:hint="eastAsia" w:cs="Times New Roman"/>
                      <w:sz w:val="22"/>
                      <w:szCs w:val="22"/>
                      <w:lang w:val="en-US" w:eastAsia="zh-CN"/>
                    </w:rPr>
                    <w:t>座</w:t>
                  </w:r>
                  <w:r>
                    <w:rPr>
                      <w:rFonts w:hint="eastAsia" w:ascii="Times New Roman" w:hAnsi="Times New Roman" w:eastAsia="宋体" w:cs="Times New Roman"/>
                      <w:sz w:val="22"/>
                      <w:szCs w:val="22"/>
                      <w:lang w:val="en-US" w:eastAsia="zh-CN"/>
                    </w:rPr>
                    <w:t>全自动洗车间，配备1台洗车机，位于加油站南侧出口处，不涉及维修、保养、钣金等业务，设计最大洗车规模约为30辆/d，洗车剂主要成分为阴离子表面活性剂、去离子水，不含P。洗车剂由生产厂家直接配送成品</w:t>
                  </w:r>
                  <w:r>
                    <w:rPr>
                      <w:rFonts w:hint="eastAsia" w:cs="Times New Roman"/>
                      <w:sz w:val="22"/>
                      <w:szCs w:val="22"/>
                      <w:lang w:val="en-US" w:eastAsia="zh-CN"/>
                    </w:rPr>
                    <w:t>后直接添加使用</w:t>
                  </w:r>
                </w:p>
              </w:tc>
              <w:tc>
                <w:tcPr>
                  <w:tcW w:w="1095" w:type="dxa"/>
                  <w:tcBorders>
                    <w:top w:val="single" w:color="auto" w:sz="4" w:space="0"/>
                    <w:bottom w:val="single" w:color="auto" w:sz="4" w:space="0"/>
                  </w:tcBorders>
                  <w:shd w:val="clear" w:color="auto" w:fill="auto"/>
                  <w:vAlign w:val="center"/>
                </w:tcPr>
                <w:p w14:paraId="5D4D2ECD">
                  <w:pPr>
                    <w:jc w:val="center"/>
                    <w:rPr>
                      <w:rFonts w:hint="eastAsia" w:ascii="Times New Roman" w:hAnsi="Times New Roman" w:eastAsia="宋体" w:cs="Times New Roman"/>
                      <w:bCs/>
                      <w:color w:val="0000FF"/>
                      <w:kern w:val="2"/>
                      <w:sz w:val="22"/>
                      <w:szCs w:val="22"/>
                      <w:lang w:val="en-US" w:eastAsia="zh-CN" w:bidi="ar-SA"/>
                    </w:rPr>
                  </w:pPr>
                  <w:r>
                    <w:rPr>
                      <w:rFonts w:hint="eastAsia"/>
                      <w:color w:val="auto"/>
                      <w:sz w:val="22"/>
                      <w:szCs w:val="22"/>
                      <w:lang w:val="en-US" w:eastAsia="zh-CN"/>
                    </w:rPr>
                    <w:t>新增</w:t>
                  </w:r>
                </w:p>
              </w:tc>
            </w:tr>
            <w:tr w14:paraId="3417E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41D05ADF">
                  <w:pPr>
                    <w:jc w:val="center"/>
                    <w:rPr>
                      <w:sz w:val="22"/>
                      <w:szCs w:val="22"/>
                    </w:rPr>
                  </w:pPr>
                </w:p>
              </w:tc>
              <w:tc>
                <w:tcPr>
                  <w:tcW w:w="1462" w:type="dxa"/>
                  <w:gridSpan w:val="2"/>
                  <w:tcBorders>
                    <w:bottom w:val="single" w:color="auto" w:sz="4" w:space="0"/>
                  </w:tcBorders>
                  <w:vAlign w:val="center"/>
                </w:tcPr>
                <w:p w14:paraId="412BD508">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汽车充电区</w:t>
                  </w:r>
                </w:p>
              </w:tc>
              <w:tc>
                <w:tcPr>
                  <w:tcW w:w="4617" w:type="dxa"/>
                  <w:tcBorders>
                    <w:top w:val="single" w:color="auto" w:sz="4" w:space="0"/>
                    <w:bottom w:val="single" w:color="auto" w:sz="4" w:space="0"/>
                  </w:tcBorders>
                  <w:vAlign w:val="center"/>
                </w:tcPr>
                <w:p w14:paraId="49987563">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位于加油站北侧入口处，设置充电车位10位，配套设置整流柜2座。</w:t>
                  </w:r>
                </w:p>
              </w:tc>
              <w:tc>
                <w:tcPr>
                  <w:tcW w:w="1095" w:type="dxa"/>
                  <w:tcBorders>
                    <w:top w:val="single" w:color="auto" w:sz="4" w:space="0"/>
                    <w:bottom w:val="single" w:color="auto" w:sz="4" w:space="0"/>
                  </w:tcBorders>
                  <w:vAlign w:val="center"/>
                </w:tcPr>
                <w:p w14:paraId="78DC3CDD">
                  <w:pPr>
                    <w:jc w:val="center"/>
                    <w:rPr>
                      <w:rFonts w:hint="default" w:eastAsia="宋体"/>
                      <w:bCs/>
                      <w:color w:val="0000FF"/>
                      <w:sz w:val="22"/>
                      <w:szCs w:val="22"/>
                      <w:lang w:val="en-US" w:eastAsia="zh-CN"/>
                    </w:rPr>
                  </w:pPr>
                  <w:r>
                    <w:rPr>
                      <w:rFonts w:hint="eastAsia"/>
                      <w:bCs/>
                      <w:color w:val="auto"/>
                      <w:sz w:val="22"/>
                      <w:szCs w:val="22"/>
                      <w:lang w:val="en-US" w:eastAsia="zh-CN"/>
                    </w:rPr>
                    <w:t>依托</w:t>
                  </w:r>
                </w:p>
              </w:tc>
            </w:tr>
            <w:tr w14:paraId="7FFB1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739" w:type="dxa"/>
                  <w:vMerge w:val="restart"/>
                  <w:tcBorders>
                    <w:top w:val="single" w:color="auto" w:sz="4" w:space="0"/>
                  </w:tcBorders>
                  <w:vAlign w:val="center"/>
                </w:tcPr>
                <w:p w14:paraId="54827A52">
                  <w:pPr>
                    <w:jc w:val="center"/>
                    <w:rPr>
                      <w:sz w:val="22"/>
                      <w:szCs w:val="22"/>
                    </w:rPr>
                  </w:pPr>
                  <w:r>
                    <w:rPr>
                      <w:sz w:val="22"/>
                      <w:szCs w:val="22"/>
                    </w:rPr>
                    <w:t>公用工程</w:t>
                  </w:r>
                </w:p>
              </w:tc>
              <w:tc>
                <w:tcPr>
                  <w:tcW w:w="1462" w:type="dxa"/>
                  <w:gridSpan w:val="2"/>
                  <w:vAlign w:val="center"/>
                </w:tcPr>
                <w:p w14:paraId="2C9B6EE3">
                  <w:pPr>
                    <w:jc w:val="center"/>
                    <w:rPr>
                      <w:sz w:val="22"/>
                      <w:szCs w:val="22"/>
                    </w:rPr>
                  </w:pPr>
                  <w:r>
                    <w:rPr>
                      <w:rFonts w:hint="eastAsia"/>
                      <w:sz w:val="22"/>
                      <w:szCs w:val="22"/>
                    </w:rPr>
                    <w:t>给</w:t>
                  </w:r>
                  <w:r>
                    <w:rPr>
                      <w:sz w:val="22"/>
                      <w:szCs w:val="22"/>
                    </w:rPr>
                    <w:t>水</w:t>
                  </w:r>
                </w:p>
              </w:tc>
              <w:tc>
                <w:tcPr>
                  <w:tcW w:w="4617" w:type="dxa"/>
                  <w:tcBorders>
                    <w:top w:val="single" w:color="auto" w:sz="4" w:space="0"/>
                  </w:tcBorders>
                  <w:vAlign w:val="center"/>
                </w:tcPr>
                <w:p w14:paraId="61F9BECC">
                  <w:pPr>
                    <w:rPr>
                      <w:sz w:val="22"/>
                      <w:szCs w:val="22"/>
                    </w:rPr>
                  </w:pPr>
                  <w:r>
                    <w:rPr>
                      <w:rFonts w:hint="eastAsia"/>
                      <w:sz w:val="22"/>
                      <w:szCs w:val="22"/>
                    </w:rPr>
                    <w:t>由市政给水管网供给</w:t>
                  </w:r>
                </w:p>
              </w:tc>
              <w:tc>
                <w:tcPr>
                  <w:tcW w:w="1095" w:type="dxa"/>
                  <w:tcBorders>
                    <w:top w:val="single" w:color="auto" w:sz="4" w:space="0"/>
                  </w:tcBorders>
                  <w:vAlign w:val="center"/>
                </w:tcPr>
                <w:p w14:paraId="45198B20">
                  <w:pPr>
                    <w:jc w:val="center"/>
                    <w:rPr>
                      <w:rFonts w:hint="eastAsia" w:eastAsia="宋体"/>
                      <w:sz w:val="22"/>
                      <w:szCs w:val="22"/>
                      <w:lang w:eastAsia="zh-CN"/>
                    </w:rPr>
                  </w:pPr>
                  <w:r>
                    <w:rPr>
                      <w:rFonts w:hint="eastAsia"/>
                      <w:sz w:val="22"/>
                      <w:szCs w:val="22"/>
                      <w:lang w:val="en-US" w:eastAsia="zh-CN"/>
                    </w:rPr>
                    <w:t>依托</w:t>
                  </w:r>
                </w:p>
              </w:tc>
            </w:tr>
            <w:tr w14:paraId="7DAC1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5FA766EE">
                  <w:pPr>
                    <w:jc w:val="center"/>
                    <w:rPr>
                      <w:sz w:val="22"/>
                      <w:szCs w:val="22"/>
                    </w:rPr>
                  </w:pPr>
                </w:p>
              </w:tc>
              <w:tc>
                <w:tcPr>
                  <w:tcW w:w="1462" w:type="dxa"/>
                  <w:gridSpan w:val="2"/>
                  <w:vAlign w:val="center"/>
                </w:tcPr>
                <w:p w14:paraId="3424918D">
                  <w:pPr>
                    <w:jc w:val="center"/>
                    <w:rPr>
                      <w:sz w:val="22"/>
                      <w:szCs w:val="22"/>
                    </w:rPr>
                  </w:pPr>
                  <w:r>
                    <w:rPr>
                      <w:sz w:val="22"/>
                      <w:szCs w:val="22"/>
                    </w:rPr>
                    <w:t>供电</w:t>
                  </w:r>
                </w:p>
              </w:tc>
              <w:tc>
                <w:tcPr>
                  <w:tcW w:w="4617" w:type="dxa"/>
                  <w:vAlign w:val="center"/>
                </w:tcPr>
                <w:p w14:paraId="79F0A6EF">
                  <w:pPr>
                    <w:rPr>
                      <w:sz w:val="22"/>
                      <w:szCs w:val="22"/>
                    </w:rPr>
                  </w:pPr>
                  <w:r>
                    <w:rPr>
                      <w:rFonts w:hint="eastAsia"/>
                      <w:kern w:val="0"/>
                      <w:sz w:val="22"/>
                      <w:szCs w:val="22"/>
                    </w:rPr>
                    <w:t>市政10kV供电系统供给</w:t>
                  </w:r>
                  <w:r>
                    <w:rPr>
                      <w:rFonts w:hint="eastAsia"/>
                      <w:color w:val="0000FF"/>
                      <w:kern w:val="0"/>
                      <w:sz w:val="22"/>
                      <w:szCs w:val="22"/>
                    </w:rPr>
                    <w:t>，</w:t>
                  </w:r>
                  <w:r>
                    <w:rPr>
                      <w:rFonts w:hint="eastAsia"/>
                      <w:color w:val="auto"/>
                      <w:kern w:val="0"/>
                      <w:sz w:val="22"/>
                      <w:szCs w:val="22"/>
                    </w:rPr>
                    <w:t>配置1台3</w:t>
                  </w:r>
                  <w:r>
                    <w:rPr>
                      <w:color w:val="auto"/>
                      <w:kern w:val="0"/>
                      <w:sz w:val="22"/>
                      <w:szCs w:val="22"/>
                    </w:rPr>
                    <w:t>0KW</w:t>
                  </w:r>
                  <w:r>
                    <w:rPr>
                      <w:rFonts w:hint="eastAsia"/>
                      <w:color w:val="auto"/>
                      <w:kern w:val="0"/>
                      <w:sz w:val="22"/>
                      <w:szCs w:val="22"/>
                    </w:rPr>
                    <w:t>备用柴油发电机作为应急备用电源</w:t>
                  </w:r>
                </w:p>
              </w:tc>
              <w:tc>
                <w:tcPr>
                  <w:tcW w:w="1095" w:type="dxa"/>
                  <w:vAlign w:val="center"/>
                </w:tcPr>
                <w:p w14:paraId="2041216D">
                  <w:pPr>
                    <w:jc w:val="center"/>
                    <w:rPr>
                      <w:rFonts w:hint="eastAsia" w:eastAsia="宋体"/>
                      <w:sz w:val="22"/>
                      <w:szCs w:val="22"/>
                      <w:lang w:val="en-US" w:eastAsia="zh-CN"/>
                    </w:rPr>
                  </w:pPr>
                  <w:r>
                    <w:rPr>
                      <w:rFonts w:hint="eastAsia"/>
                      <w:sz w:val="22"/>
                      <w:szCs w:val="22"/>
                      <w:lang w:val="en-US" w:eastAsia="zh-CN"/>
                    </w:rPr>
                    <w:t>依托</w:t>
                  </w:r>
                </w:p>
              </w:tc>
            </w:tr>
            <w:tr w14:paraId="1F9EA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4EE730BE">
                  <w:pPr>
                    <w:jc w:val="center"/>
                    <w:rPr>
                      <w:sz w:val="22"/>
                      <w:szCs w:val="22"/>
                    </w:rPr>
                  </w:pPr>
                </w:p>
              </w:tc>
              <w:tc>
                <w:tcPr>
                  <w:tcW w:w="1462" w:type="dxa"/>
                  <w:gridSpan w:val="2"/>
                  <w:vAlign w:val="center"/>
                </w:tcPr>
                <w:p w14:paraId="1645BF45">
                  <w:pPr>
                    <w:snapToGrid w:val="0"/>
                    <w:jc w:val="center"/>
                    <w:rPr>
                      <w:sz w:val="22"/>
                      <w:szCs w:val="22"/>
                    </w:rPr>
                  </w:pPr>
                  <w:r>
                    <w:rPr>
                      <w:sz w:val="22"/>
                      <w:szCs w:val="22"/>
                    </w:rPr>
                    <w:t>排水</w:t>
                  </w:r>
                </w:p>
              </w:tc>
              <w:tc>
                <w:tcPr>
                  <w:tcW w:w="4617" w:type="dxa"/>
                  <w:vAlign w:val="center"/>
                </w:tcPr>
                <w:p w14:paraId="0CC7702B">
                  <w:pPr>
                    <w:snapToGrid w:val="0"/>
                    <w:rPr>
                      <w:rFonts w:hint="eastAsia" w:eastAsia="宋体"/>
                      <w:sz w:val="22"/>
                      <w:szCs w:val="22"/>
                      <w:lang w:val="en-US" w:eastAsia="zh-CN"/>
                    </w:rPr>
                  </w:pPr>
                  <w:r>
                    <w:rPr>
                      <w:rFonts w:hint="eastAsia"/>
                      <w:sz w:val="22"/>
                      <w:szCs w:val="22"/>
                    </w:rPr>
                    <w:t>实行雨污分流。屋面及罩棚雨水等通过顶部雨水导流管</w:t>
                  </w:r>
                  <w:r>
                    <w:rPr>
                      <w:rFonts w:hint="eastAsia"/>
                      <w:sz w:val="22"/>
                      <w:szCs w:val="22"/>
                      <w:lang w:val="en-US" w:eastAsia="zh-CN"/>
                    </w:rPr>
                    <w:t>引流</w:t>
                  </w:r>
                  <w:r>
                    <w:rPr>
                      <w:rFonts w:hint="eastAsia"/>
                      <w:sz w:val="22"/>
                      <w:szCs w:val="22"/>
                    </w:rPr>
                    <w:t>进入</w:t>
                  </w:r>
                  <w:r>
                    <w:rPr>
                      <w:rFonts w:hint="eastAsia"/>
                      <w:sz w:val="22"/>
                      <w:szCs w:val="22"/>
                      <w:lang w:val="en-US" w:eastAsia="zh-CN"/>
                    </w:rPr>
                    <w:t>加油站</w:t>
                  </w:r>
                  <w:r>
                    <w:rPr>
                      <w:rFonts w:hint="eastAsia"/>
                      <w:sz w:val="22"/>
                      <w:szCs w:val="22"/>
                    </w:rPr>
                    <w:t>东南侧市政雨水管网，</w:t>
                  </w:r>
                  <w:r>
                    <w:rPr>
                      <w:rFonts w:hint="eastAsia"/>
                      <w:sz w:val="22"/>
                      <w:szCs w:val="22"/>
                      <w:lang w:val="en-US" w:eastAsia="zh-CN"/>
                    </w:rPr>
                    <w:t>场地</w:t>
                  </w:r>
                  <w:r>
                    <w:rPr>
                      <w:rFonts w:hint="eastAsia"/>
                      <w:sz w:val="22"/>
                      <w:szCs w:val="22"/>
                    </w:rPr>
                    <w:t>冲洗废水</w:t>
                  </w:r>
                  <w:r>
                    <w:rPr>
                      <w:rFonts w:hint="eastAsia"/>
                      <w:sz w:val="22"/>
                      <w:szCs w:val="22"/>
                      <w:lang w:eastAsia="zh-CN"/>
                    </w:rPr>
                    <w:t>、</w:t>
                  </w:r>
                  <w:r>
                    <w:rPr>
                      <w:rFonts w:hint="eastAsia"/>
                      <w:sz w:val="22"/>
                      <w:szCs w:val="22"/>
                      <w:lang w:val="en-US" w:eastAsia="zh-CN"/>
                    </w:rPr>
                    <w:t>洗车废水和</w:t>
                  </w:r>
                  <w:r>
                    <w:rPr>
                      <w:rFonts w:hint="eastAsia"/>
                      <w:sz w:val="22"/>
                      <w:szCs w:val="22"/>
                    </w:rPr>
                    <w:t>棚外地面初期雨水经</w:t>
                  </w:r>
                  <w:r>
                    <w:rPr>
                      <w:rFonts w:hint="eastAsia"/>
                      <w:sz w:val="22"/>
                      <w:szCs w:val="22"/>
                      <w:lang w:val="en-US" w:eastAsia="zh-CN"/>
                    </w:rPr>
                    <w:t>改造后的</w:t>
                  </w:r>
                  <w:r>
                    <w:rPr>
                      <w:rFonts w:hint="eastAsia"/>
                      <w:sz w:val="22"/>
                      <w:szCs w:val="22"/>
                    </w:rPr>
                    <w:t>雨水收集管沟收集</w:t>
                  </w:r>
                  <w:r>
                    <w:rPr>
                      <w:rFonts w:hint="eastAsia"/>
                      <w:sz w:val="22"/>
                      <w:szCs w:val="22"/>
                      <w:lang w:eastAsia="zh-CN"/>
                    </w:rPr>
                    <w:t>（</w:t>
                  </w:r>
                  <w:r>
                    <w:rPr>
                      <w:rFonts w:hint="eastAsia"/>
                      <w:sz w:val="22"/>
                      <w:szCs w:val="22"/>
                    </w:rPr>
                    <w:t>设置雨水切换阀</w:t>
                  </w:r>
                  <w:r>
                    <w:rPr>
                      <w:rFonts w:hint="eastAsia"/>
                      <w:sz w:val="22"/>
                      <w:szCs w:val="22"/>
                      <w:lang w:eastAsia="zh-CN"/>
                    </w:rPr>
                    <w:t>）</w:t>
                  </w:r>
                  <w:r>
                    <w:rPr>
                      <w:rFonts w:hint="eastAsia"/>
                      <w:sz w:val="22"/>
                      <w:szCs w:val="22"/>
                    </w:rPr>
                    <w:t>进入隔油</w:t>
                  </w:r>
                  <w:r>
                    <w:rPr>
                      <w:rFonts w:hint="eastAsia"/>
                      <w:sz w:val="22"/>
                      <w:szCs w:val="22"/>
                      <w:lang w:val="en-US" w:eastAsia="zh-CN"/>
                    </w:rPr>
                    <w:t>沉淀</w:t>
                  </w:r>
                  <w:r>
                    <w:rPr>
                      <w:rFonts w:hint="eastAsia"/>
                      <w:sz w:val="22"/>
                      <w:szCs w:val="22"/>
                    </w:rPr>
                    <w:t>池</w:t>
                  </w:r>
                  <w:r>
                    <w:rPr>
                      <w:rFonts w:hint="eastAsia"/>
                      <w:sz w:val="22"/>
                      <w:szCs w:val="22"/>
                      <w:lang w:val="en-US" w:eastAsia="zh-CN"/>
                    </w:rPr>
                    <w:t>隔油</w:t>
                  </w:r>
                  <w:r>
                    <w:rPr>
                      <w:rFonts w:hint="eastAsia"/>
                      <w:sz w:val="22"/>
                      <w:szCs w:val="22"/>
                    </w:rPr>
                    <w:t>处理后</w:t>
                  </w:r>
                  <w:r>
                    <w:rPr>
                      <w:rFonts w:hint="eastAsia"/>
                      <w:sz w:val="22"/>
                      <w:szCs w:val="22"/>
                      <w:lang w:val="en-US" w:eastAsia="zh-CN"/>
                    </w:rPr>
                    <w:t>接入水封井后接入市政污水管网，后期雨水切换接入市政雨水管网</w:t>
                  </w:r>
                  <w:r>
                    <w:rPr>
                      <w:rFonts w:hint="eastAsia"/>
                      <w:sz w:val="22"/>
                      <w:szCs w:val="22"/>
                    </w:rPr>
                    <w:t>；员工、司乘人员等产生的生活污水经</w:t>
                  </w:r>
                  <w:r>
                    <w:rPr>
                      <w:rFonts w:hint="eastAsia"/>
                      <w:sz w:val="22"/>
                      <w:szCs w:val="22"/>
                      <w:lang w:val="en-US" w:eastAsia="zh-CN"/>
                    </w:rPr>
                    <w:t>改造后新增的化粪池</w:t>
                  </w:r>
                  <w:r>
                    <w:rPr>
                      <w:rFonts w:hint="eastAsia"/>
                      <w:sz w:val="22"/>
                      <w:szCs w:val="22"/>
                    </w:rPr>
                    <w:t>处理达《污水综合排放标准》（G</w:t>
                  </w:r>
                  <w:r>
                    <w:rPr>
                      <w:sz w:val="22"/>
                      <w:szCs w:val="22"/>
                    </w:rPr>
                    <w:t>B8978-1996</w:t>
                  </w:r>
                  <w:r>
                    <w:rPr>
                      <w:rFonts w:hint="eastAsia"/>
                      <w:sz w:val="22"/>
                      <w:szCs w:val="22"/>
                    </w:rPr>
                    <w:t>）三级标准，进入</w:t>
                  </w:r>
                  <w:r>
                    <w:rPr>
                      <w:rFonts w:hint="eastAsia"/>
                      <w:sz w:val="22"/>
                      <w:szCs w:val="22"/>
                      <w:lang w:val="en-US" w:eastAsia="zh-CN"/>
                    </w:rPr>
                    <w:t>东北</w:t>
                  </w:r>
                  <w:r>
                    <w:rPr>
                      <w:rFonts w:hint="eastAsia"/>
                      <w:sz w:val="22"/>
                      <w:szCs w:val="22"/>
                    </w:rPr>
                    <w:t>侧市政污水管网，最终进入</w:t>
                  </w:r>
                  <w:r>
                    <w:rPr>
                      <w:rFonts w:hint="eastAsia"/>
                      <w:sz w:val="22"/>
                      <w:szCs w:val="22"/>
                      <w:lang w:val="en-US" w:eastAsia="zh-CN"/>
                    </w:rPr>
                    <w:t>大九</w:t>
                  </w:r>
                  <w:r>
                    <w:rPr>
                      <w:rFonts w:hint="eastAsia"/>
                      <w:sz w:val="22"/>
                      <w:szCs w:val="22"/>
                    </w:rPr>
                    <w:t>污水处理厂进一步处理达《城镇污水处理厂污染物排放标准》（GB18918-2002）一级A标准后，最终排入</w:t>
                  </w:r>
                  <w:r>
                    <w:rPr>
                      <w:rFonts w:hint="eastAsia"/>
                      <w:sz w:val="22"/>
                      <w:szCs w:val="22"/>
                      <w:lang w:val="en-US" w:eastAsia="zh-CN"/>
                    </w:rPr>
                    <w:t>跳蹬河。</w:t>
                  </w:r>
                  <w:r>
                    <w:rPr>
                      <w:rFonts w:hint="eastAsia"/>
                      <w:color w:val="auto"/>
                      <w:sz w:val="22"/>
                      <w:szCs w:val="22"/>
                    </w:rPr>
                    <w:t>洗车机</w:t>
                  </w:r>
                  <w:r>
                    <w:rPr>
                      <w:rFonts w:hint="eastAsia"/>
                      <w:color w:val="auto"/>
                      <w:sz w:val="22"/>
                      <w:szCs w:val="22"/>
                      <w:lang w:val="en-US" w:eastAsia="zh-CN"/>
                    </w:rPr>
                    <w:t>洗车过程产生的含</w:t>
                  </w:r>
                  <w:r>
                    <w:rPr>
                      <w:rFonts w:hint="eastAsia"/>
                      <w:color w:val="auto"/>
                      <w:sz w:val="22"/>
                      <w:szCs w:val="22"/>
                    </w:rPr>
                    <w:t>油洗车废水</w:t>
                  </w:r>
                  <w:r>
                    <w:rPr>
                      <w:rFonts w:hint="eastAsia"/>
                      <w:color w:val="auto"/>
                      <w:sz w:val="22"/>
                      <w:szCs w:val="22"/>
                      <w:lang w:val="en-US" w:eastAsia="zh-CN"/>
                    </w:rPr>
                    <w:t>经隔油处理后循环回用后定期引至项目设置的三段式隔油沉淀池处理后接入市政污水管网</w:t>
                  </w:r>
                  <w:r>
                    <w:rPr>
                      <w:rFonts w:hint="eastAsia"/>
                      <w:color w:val="auto"/>
                      <w:sz w:val="22"/>
                      <w:szCs w:val="22"/>
                    </w:rPr>
                    <w:t>。</w:t>
                  </w:r>
                </w:p>
              </w:tc>
              <w:tc>
                <w:tcPr>
                  <w:tcW w:w="1095" w:type="dxa"/>
                  <w:vAlign w:val="center"/>
                </w:tcPr>
                <w:p w14:paraId="5A26DAA4">
                  <w:pPr>
                    <w:snapToGrid w:val="0"/>
                    <w:jc w:val="center"/>
                    <w:rPr>
                      <w:rFonts w:hint="eastAsia" w:eastAsia="宋体"/>
                      <w:sz w:val="22"/>
                      <w:szCs w:val="22"/>
                      <w:lang w:eastAsia="zh-CN"/>
                    </w:rPr>
                  </w:pPr>
                  <w:r>
                    <w:rPr>
                      <w:rFonts w:hint="eastAsia"/>
                      <w:sz w:val="22"/>
                      <w:szCs w:val="22"/>
                      <w:lang w:val="en-US" w:eastAsia="zh-CN"/>
                    </w:rPr>
                    <w:t>部分利旧，部分改造</w:t>
                  </w:r>
                </w:p>
              </w:tc>
            </w:tr>
            <w:tr w14:paraId="3CBEB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24A6EE6A">
                  <w:pPr>
                    <w:jc w:val="center"/>
                    <w:rPr>
                      <w:sz w:val="22"/>
                      <w:szCs w:val="22"/>
                    </w:rPr>
                  </w:pPr>
                </w:p>
              </w:tc>
              <w:tc>
                <w:tcPr>
                  <w:tcW w:w="1462" w:type="dxa"/>
                  <w:gridSpan w:val="2"/>
                  <w:vAlign w:val="center"/>
                </w:tcPr>
                <w:p w14:paraId="33151C18">
                  <w:pPr>
                    <w:snapToGrid w:val="0"/>
                    <w:jc w:val="center"/>
                    <w:rPr>
                      <w:sz w:val="22"/>
                      <w:szCs w:val="22"/>
                    </w:rPr>
                  </w:pPr>
                  <w:r>
                    <w:rPr>
                      <w:rFonts w:hint="eastAsia"/>
                      <w:sz w:val="22"/>
                      <w:szCs w:val="22"/>
                    </w:rPr>
                    <w:t>消防</w:t>
                  </w:r>
                </w:p>
              </w:tc>
              <w:tc>
                <w:tcPr>
                  <w:tcW w:w="4617" w:type="dxa"/>
                  <w:vAlign w:val="center"/>
                </w:tcPr>
                <w:p w14:paraId="4BE3986A">
                  <w:pPr>
                    <w:snapToGrid w:val="0"/>
                    <w:rPr>
                      <w:rFonts w:hint="default" w:eastAsia="宋体"/>
                      <w:sz w:val="22"/>
                      <w:szCs w:val="22"/>
                      <w:lang w:val="en-US" w:eastAsia="zh-CN"/>
                    </w:rPr>
                  </w:pPr>
                  <w:r>
                    <w:rPr>
                      <w:rFonts w:hint="eastAsia"/>
                      <w:kern w:val="0"/>
                      <w:sz w:val="22"/>
                      <w:szCs w:val="22"/>
                      <w:lang w:val="en-US" w:eastAsia="zh-CN"/>
                    </w:rPr>
                    <w:t>加油区</w:t>
                  </w:r>
                  <w:r>
                    <w:rPr>
                      <w:rFonts w:hint="eastAsia"/>
                      <w:kern w:val="0"/>
                      <w:sz w:val="22"/>
                      <w:szCs w:val="22"/>
                    </w:rPr>
                    <w:t>设置</w:t>
                  </w:r>
                  <w:r>
                    <w:rPr>
                      <w:rFonts w:hint="eastAsia"/>
                      <w:kern w:val="0"/>
                      <w:sz w:val="22"/>
                      <w:szCs w:val="22"/>
                      <w:lang w:val="en-US" w:eastAsia="zh-CN"/>
                    </w:rPr>
                    <w:t>5</w:t>
                  </w:r>
                  <w:r>
                    <w:rPr>
                      <w:rFonts w:hint="eastAsia"/>
                      <w:kern w:val="0"/>
                      <w:sz w:val="22"/>
                      <w:szCs w:val="22"/>
                    </w:rPr>
                    <w:t>kg手提式干粉灭火器</w:t>
                  </w:r>
                  <w:r>
                    <w:rPr>
                      <w:rFonts w:hint="eastAsia"/>
                      <w:kern w:val="0"/>
                      <w:sz w:val="22"/>
                      <w:szCs w:val="22"/>
                      <w:lang w:val="en-US" w:eastAsia="zh-CN"/>
                    </w:rPr>
                    <w:t>17具</w:t>
                  </w:r>
                  <w:r>
                    <w:rPr>
                      <w:rFonts w:hint="eastAsia"/>
                      <w:kern w:val="0"/>
                      <w:sz w:val="22"/>
                      <w:szCs w:val="22"/>
                    </w:rPr>
                    <w:t>；在临近</w:t>
                  </w:r>
                  <w:r>
                    <w:rPr>
                      <w:rFonts w:hint="eastAsia"/>
                      <w:kern w:val="0"/>
                      <w:sz w:val="22"/>
                      <w:szCs w:val="22"/>
                      <w:lang w:val="en-US" w:eastAsia="zh-CN"/>
                    </w:rPr>
                    <w:t>卸油</w:t>
                  </w:r>
                  <w:r>
                    <w:rPr>
                      <w:rFonts w:hint="eastAsia"/>
                      <w:kern w:val="0"/>
                      <w:sz w:val="22"/>
                      <w:szCs w:val="22"/>
                    </w:rPr>
                    <w:t>区</w:t>
                  </w:r>
                  <w:r>
                    <w:rPr>
                      <w:rFonts w:hint="eastAsia"/>
                      <w:kern w:val="0"/>
                      <w:sz w:val="22"/>
                      <w:szCs w:val="22"/>
                      <w:lang w:val="en-US" w:eastAsia="zh-CN"/>
                    </w:rPr>
                    <w:t>处</w:t>
                  </w:r>
                  <w:r>
                    <w:rPr>
                      <w:rFonts w:hint="eastAsia"/>
                      <w:kern w:val="0"/>
                      <w:sz w:val="22"/>
                      <w:szCs w:val="22"/>
                    </w:rPr>
                    <w:t>设置1</w:t>
                  </w:r>
                  <w:r>
                    <w:rPr>
                      <w:rFonts w:hint="eastAsia"/>
                      <w:kern w:val="0"/>
                      <w:sz w:val="22"/>
                      <w:szCs w:val="22"/>
                      <w:lang w:val="en-US" w:eastAsia="zh-CN"/>
                    </w:rPr>
                    <w:t>座</w:t>
                  </w:r>
                  <w:r>
                    <w:rPr>
                      <w:rFonts w:hint="eastAsia"/>
                      <w:kern w:val="0"/>
                      <w:sz w:val="22"/>
                      <w:szCs w:val="22"/>
                    </w:rPr>
                    <w:t>2m</w:t>
                  </w:r>
                  <w:r>
                    <w:rPr>
                      <w:kern w:val="0"/>
                      <w:sz w:val="22"/>
                      <w:szCs w:val="22"/>
                      <w:vertAlign w:val="superscript"/>
                    </w:rPr>
                    <w:t>3</w:t>
                  </w:r>
                  <w:r>
                    <w:rPr>
                      <w:rFonts w:hint="eastAsia"/>
                      <w:kern w:val="0"/>
                      <w:sz w:val="22"/>
                      <w:szCs w:val="22"/>
                    </w:rPr>
                    <w:t>消防沙池，并配备了1台3</w:t>
                  </w:r>
                  <w:r>
                    <w:rPr>
                      <w:kern w:val="0"/>
                      <w:sz w:val="22"/>
                      <w:szCs w:val="22"/>
                    </w:rPr>
                    <w:t>5</w:t>
                  </w:r>
                  <w:r>
                    <w:rPr>
                      <w:rFonts w:hint="eastAsia"/>
                      <w:kern w:val="0"/>
                      <w:sz w:val="22"/>
                      <w:szCs w:val="22"/>
                    </w:rPr>
                    <w:t>kg推车式干粉灭火器及</w:t>
                  </w:r>
                  <w:r>
                    <w:rPr>
                      <w:rFonts w:hint="eastAsia"/>
                      <w:kern w:val="0"/>
                      <w:sz w:val="22"/>
                      <w:szCs w:val="22"/>
                      <w:lang w:val="en-US" w:eastAsia="zh-CN"/>
                    </w:rPr>
                    <w:t>5</w:t>
                  </w:r>
                  <w:r>
                    <w:rPr>
                      <w:rFonts w:hint="eastAsia"/>
                      <w:kern w:val="0"/>
                      <w:sz w:val="22"/>
                      <w:szCs w:val="22"/>
                    </w:rPr>
                    <w:t>块灭火毯</w:t>
                  </w:r>
                  <w:r>
                    <w:rPr>
                      <w:rFonts w:hint="eastAsia"/>
                      <w:kern w:val="0"/>
                      <w:sz w:val="22"/>
                      <w:szCs w:val="22"/>
                      <w:lang w:eastAsia="zh-CN"/>
                    </w:rPr>
                    <w:t>、</w:t>
                  </w:r>
                  <w:r>
                    <w:rPr>
                      <w:rFonts w:hint="eastAsia"/>
                      <w:kern w:val="0"/>
                      <w:sz w:val="22"/>
                      <w:szCs w:val="22"/>
                      <w:lang w:val="en-US" w:eastAsia="zh-CN"/>
                    </w:rPr>
                    <w:t>消防铲5把和消防桶5个</w:t>
                  </w:r>
                </w:p>
              </w:tc>
              <w:tc>
                <w:tcPr>
                  <w:tcW w:w="1095" w:type="dxa"/>
                  <w:vAlign w:val="center"/>
                </w:tcPr>
                <w:p w14:paraId="755AF039">
                  <w:pPr>
                    <w:snapToGrid w:val="0"/>
                    <w:jc w:val="center"/>
                    <w:rPr>
                      <w:rFonts w:hint="default" w:eastAsia="宋体"/>
                      <w:sz w:val="22"/>
                      <w:szCs w:val="22"/>
                      <w:lang w:val="en-US" w:eastAsia="zh-CN"/>
                    </w:rPr>
                  </w:pPr>
                  <w:r>
                    <w:rPr>
                      <w:rFonts w:hint="eastAsia"/>
                      <w:kern w:val="0"/>
                      <w:sz w:val="22"/>
                      <w:szCs w:val="22"/>
                      <w:lang w:val="en-US" w:eastAsia="zh-CN"/>
                    </w:rPr>
                    <w:t>更新补充</w:t>
                  </w:r>
                </w:p>
              </w:tc>
            </w:tr>
            <w:tr w14:paraId="58329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7AEA5BD7">
                  <w:pPr>
                    <w:jc w:val="center"/>
                    <w:rPr>
                      <w:sz w:val="22"/>
                      <w:szCs w:val="22"/>
                    </w:rPr>
                  </w:pPr>
                </w:p>
              </w:tc>
              <w:tc>
                <w:tcPr>
                  <w:tcW w:w="1462" w:type="dxa"/>
                  <w:gridSpan w:val="2"/>
                  <w:vAlign w:val="center"/>
                </w:tcPr>
                <w:p w14:paraId="0BD22E0F">
                  <w:pPr>
                    <w:snapToGrid w:val="0"/>
                    <w:jc w:val="center"/>
                    <w:rPr>
                      <w:sz w:val="22"/>
                      <w:szCs w:val="22"/>
                    </w:rPr>
                  </w:pPr>
                  <w:r>
                    <w:rPr>
                      <w:rFonts w:hint="eastAsia"/>
                      <w:sz w:val="22"/>
                      <w:szCs w:val="22"/>
                    </w:rPr>
                    <w:t>通风及空调</w:t>
                  </w:r>
                </w:p>
              </w:tc>
              <w:tc>
                <w:tcPr>
                  <w:tcW w:w="4617" w:type="dxa"/>
                  <w:vAlign w:val="center"/>
                </w:tcPr>
                <w:p w14:paraId="193DBF1B">
                  <w:pPr>
                    <w:snapToGrid w:val="0"/>
                    <w:rPr>
                      <w:sz w:val="22"/>
                      <w:szCs w:val="22"/>
                    </w:rPr>
                  </w:pPr>
                  <w:r>
                    <w:rPr>
                      <w:rFonts w:hint="eastAsia"/>
                      <w:sz w:val="22"/>
                      <w:szCs w:val="22"/>
                    </w:rPr>
                    <w:t>办公设分体空凋</w:t>
                  </w:r>
                </w:p>
              </w:tc>
              <w:tc>
                <w:tcPr>
                  <w:tcW w:w="1095" w:type="dxa"/>
                  <w:vAlign w:val="center"/>
                </w:tcPr>
                <w:p w14:paraId="70D9377D">
                  <w:pPr>
                    <w:snapToGrid w:val="0"/>
                    <w:jc w:val="center"/>
                    <w:rPr>
                      <w:sz w:val="22"/>
                      <w:szCs w:val="22"/>
                    </w:rPr>
                  </w:pPr>
                  <w:r>
                    <w:rPr>
                      <w:rFonts w:hint="eastAsia"/>
                      <w:sz w:val="22"/>
                      <w:szCs w:val="22"/>
                    </w:rPr>
                    <w:t>利旧</w:t>
                  </w:r>
                </w:p>
              </w:tc>
            </w:tr>
            <w:tr w14:paraId="2F60F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27EE6C53">
                  <w:pPr>
                    <w:jc w:val="center"/>
                    <w:rPr>
                      <w:sz w:val="22"/>
                      <w:szCs w:val="22"/>
                    </w:rPr>
                  </w:pPr>
                </w:p>
              </w:tc>
              <w:tc>
                <w:tcPr>
                  <w:tcW w:w="1462" w:type="dxa"/>
                  <w:gridSpan w:val="2"/>
                  <w:vAlign w:val="center"/>
                </w:tcPr>
                <w:p w14:paraId="00BE7849">
                  <w:pPr>
                    <w:jc w:val="center"/>
                    <w:rPr>
                      <w:sz w:val="22"/>
                      <w:szCs w:val="22"/>
                    </w:rPr>
                  </w:pPr>
                  <w:r>
                    <w:rPr>
                      <w:rFonts w:hint="eastAsia"/>
                      <w:sz w:val="22"/>
                      <w:szCs w:val="22"/>
                    </w:rPr>
                    <w:t>防雷及静电</w:t>
                  </w:r>
                </w:p>
              </w:tc>
              <w:tc>
                <w:tcPr>
                  <w:tcW w:w="4617" w:type="dxa"/>
                  <w:vAlign w:val="center"/>
                </w:tcPr>
                <w:p w14:paraId="26192A9D">
                  <w:pPr>
                    <w:rPr>
                      <w:sz w:val="22"/>
                      <w:szCs w:val="22"/>
                    </w:rPr>
                  </w:pPr>
                  <w:r>
                    <w:rPr>
                      <w:rFonts w:hint="eastAsia"/>
                      <w:sz w:val="22"/>
                      <w:szCs w:val="22"/>
                    </w:rPr>
                    <w:t>站区设置1套避雷针和防雷接地网、静电接地仪、人体静电消除仪</w:t>
                  </w:r>
                </w:p>
              </w:tc>
              <w:tc>
                <w:tcPr>
                  <w:tcW w:w="1095" w:type="dxa"/>
                  <w:vAlign w:val="center"/>
                </w:tcPr>
                <w:p w14:paraId="2E849551">
                  <w:pPr>
                    <w:jc w:val="center"/>
                    <w:rPr>
                      <w:sz w:val="22"/>
                      <w:szCs w:val="22"/>
                    </w:rPr>
                  </w:pPr>
                  <w:r>
                    <w:rPr>
                      <w:rFonts w:hint="eastAsia"/>
                      <w:sz w:val="22"/>
                      <w:szCs w:val="22"/>
                    </w:rPr>
                    <w:t>利旧</w:t>
                  </w:r>
                </w:p>
              </w:tc>
            </w:tr>
            <w:tr w14:paraId="644A5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739" w:type="dxa"/>
                  <w:vMerge w:val="restart"/>
                  <w:tcBorders>
                    <w:top w:val="single" w:color="auto" w:sz="4" w:space="0"/>
                  </w:tcBorders>
                  <w:vAlign w:val="center"/>
                </w:tcPr>
                <w:p w14:paraId="37482CB0">
                  <w:pPr>
                    <w:jc w:val="center"/>
                    <w:rPr>
                      <w:sz w:val="22"/>
                      <w:szCs w:val="22"/>
                    </w:rPr>
                  </w:pPr>
                  <w:r>
                    <w:rPr>
                      <w:sz w:val="22"/>
                      <w:szCs w:val="22"/>
                    </w:rPr>
                    <w:t>环保</w:t>
                  </w:r>
                </w:p>
                <w:p w14:paraId="66E7337D">
                  <w:pPr>
                    <w:jc w:val="center"/>
                    <w:rPr>
                      <w:sz w:val="22"/>
                      <w:szCs w:val="22"/>
                    </w:rPr>
                  </w:pPr>
                  <w:r>
                    <w:rPr>
                      <w:sz w:val="22"/>
                      <w:szCs w:val="22"/>
                    </w:rPr>
                    <w:t>工程</w:t>
                  </w:r>
                </w:p>
              </w:tc>
              <w:tc>
                <w:tcPr>
                  <w:tcW w:w="439" w:type="dxa"/>
                  <w:vMerge w:val="restart"/>
                  <w:vAlign w:val="center"/>
                </w:tcPr>
                <w:p w14:paraId="4EAF38F2">
                  <w:pPr>
                    <w:jc w:val="center"/>
                    <w:rPr>
                      <w:sz w:val="22"/>
                      <w:szCs w:val="22"/>
                    </w:rPr>
                  </w:pPr>
                  <w:r>
                    <w:rPr>
                      <w:rFonts w:hint="eastAsia"/>
                      <w:sz w:val="22"/>
                      <w:szCs w:val="22"/>
                    </w:rPr>
                    <w:t>废水</w:t>
                  </w:r>
                </w:p>
              </w:tc>
              <w:tc>
                <w:tcPr>
                  <w:tcW w:w="1023" w:type="dxa"/>
                  <w:vAlign w:val="center"/>
                </w:tcPr>
                <w:p w14:paraId="33288364">
                  <w:pPr>
                    <w:jc w:val="center"/>
                    <w:rPr>
                      <w:rFonts w:hint="eastAsia" w:eastAsia="宋体"/>
                      <w:sz w:val="22"/>
                      <w:szCs w:val="22"/>
                      <w:lang w:eastAsia="zh-CN"/>
                    </w:rPr>
                  </w:pPr>
                  <w:r>
                    <w:rPr>
                      <w:rFonts w:hint="eastAsia"/>
                      <w:sz w:val="22"/>
                      <w:szCs w:val="22"/>
                      <w:lang w:eastAsia="zh-CN"/>
                    </w:rPr>
                    <w:t>化粪池</w:t>
                  </w:r>
                </w:p>
              </w:tc>
              <w:tc>
                <w:tcPr>
                  <w:tcW w:w="4617" w:type="dxa"/>
                  <w:vAlign w:val="center"/>
                </w:tcPr>
                <w:p w14:paraId="34456740">
                  <w:pPr>
                    <w:rPr>
                      <w:rFonts w:hint="default" w:eastAsia="宋体"/>
                      <w:sz w:val="22"/>
                      <w:szCs w:val="22"/>
                      <w:lang w:val="en-US" w:eastAsia="zh-CN"/>
                    </w:rPr>
                  </w:pPr>
                  <w:r>
                    <w:rPr>
                      <w:rFonts w:hint="eastAsia"/>
                      <w:sz w:val="22"/>
                      <w:szCs w:val="22"/>
                    </w:rPr>
                    <w:t>生活污水经</w:t>
                  </w:r>
                  <w:r>
                    <w:rPr>
                      <w:rFonts w:hint="eastAsia"/>
                      <w:sz w:val="22"/>
                      <w:szCs w:val="22"/>
                      <w:lang w:val="en-US" w:eastAsia="zh-CN"/>
                    </w:rPr>
                    <w:t>改造后新增的化粪池</w:t>
                  </w:r>
                  <w:r>
                    <w:rPr>
                      <w:rFonts w:hint="eastAsia"/>
                      <w:sz w:val="22"/>
                      <w:szCs w:val="22"/>
                    </w:rPr>
                    <w:t>处理达标后排入市政污水管网，</w:t>
                  </w:r>
                  <w:r>
                    <w:rPr>
                      <w:rFonts w:hint="eastAsia"/>
                      <w:sz w:val="22"/>
                      <w:szCs w:val="22"/>
                      <w:lang w:val="en-US" w:eastAsia="zh-CN"/>
                    </w:rPr>
                    <w:t>化粪池</w:t>
                  </w:r>
                  <w:r>
                    <w:rPr>
                      <w:rFonts w:hint="eastAsia"/>
                      <w:sz w:val="22"/>
                      <w:szCs w:val="22"/>
                    </w:rPr>
                    <w:t>处理能力为</w:t>
                  </w:r>
                  <w:r>
                    <w:rPr>
                      <w:rFonts w:hint="eastAsia"/>
                      <w:sz w:val="22"/>
                      <w:szCs w:val="22"/>
                      <w:lang w:val="en-US" w:eastAsia="zh-CN"/>
                    </w:rPr>
                    <w:t>4</w:t>
                  </w:r>
                  <w:r>
                    <w:rPr>
                      <w:sz w:val="22"/>
                      <w:szCs w:val="22"/>
                    </w:rPr>
                    <w:t>m</w:t>
                  </w:r>
                  <w:r>
                    <w:rPr>
                      <w:sz w:val="22"/>
                      <w:szCs w:val="22"/>
                      <w:vertAlign w:val="superscript"/>
                    </w:rPr>
                    <w:t>3</w:t>
                  </w:r>
                  <w:r>
                    <w:rPr>
                      <w:sz w:val="22"/>
                      <w:szCs w:val="22"/>
                    </w:rPr>
                    <w:t>/d</w:t>
                  </w:r>
                  <w:r>
                    <w:rPr>
                      <w:rFonts w:hint="eastAsia"/>
                      <w:sz w:val="22"/>
                      <w:szCs w:val="22"/>
                    </w:rPr>
                    <w:t>，位于站区</w:t>
                  </w:r>
                  <w:r>
                    <w:rPr>
                      <w:rFonts w:hint="eastAsia"/>
                      <w:sz w:val="22"/>
                      <w:szCs w:val="22"/>
                      <w:lang w:val="en-US" w:eastAsia="zh-CN"/>
                    </w:rPr>
                    <w:t>东北</w:t>
                  </w:r>
                  <w:r>
                    <w:rPr>
                      <w:rFonts w:hint="eastAsia"/>
                      <w:sz w:val="22"/>
                      <w:szCs w:val="22"/>
                    </w:rPr>
                    <w:t>侧</w:t>
                  </w:r>
                  <w:r>
                    <w:rPr>
                      <w:rFonts w:hint="eastAsia"/>
                      <w:sz w:val="22"/>
                      <w:szCs w:val="22"/>
                      <w:lang w:val="en-US" w:eastAsia="zh-CN"/>
                    </w:rPr>
                    <w:t>入口旁。</w:t>
                  </w:r>
                  <w:r>
                    <w:rPr>
                      <w:rFonts w:hint="eastAsia"/>
                      <w:color w:val="FF0000"/>
                      <w:sz w:val="22"/>
                      <w:szCs w:val="22"/>
                      <w:lang w:val="en-US" w:eastAsia="zh-CN"/>
                    </w:rPr>
                    <w:t>现有化粪池进行拆除</w:t>
                  </w:r>
                </w:p>
              </w:tc>
              <w:tc>
                <w:tcPr>
                  <w:tcW w:w="1095" w:type="dxa"/>
                  <w:vAlign w:val="center"/>
                </w:tcPr>
                <w:p w14:paraId="6596C682">
                  <w:pPr>
                    <w:jc w:val="center"/>
                    <w:rPr>
                      <w:rFonts w:hint="default" w:eastAsia="宋体"/>
                      <w:sz w:val="22"/>
                      <w:szCs w:val="22"/>
                      <w:lang w:val="en-US" w:eastAsia="zh-CN"/>
                    </w:rPr>
                  </w:pPr>
                  <w:r>
                    <w:rPr>
                      <w:rFonts w:hint="eastAsia"/>
                      <w:sz w:val="22"/>
                      <w:szCs w:val="22"/>
                      <w:lang w:val="en-US" w:eastAsia="zh-CN"/>
                    </w:rPr>
                    <w:t>改造后新增</w:t>
                  </w:r>
                </w:p>
              </w:tc>
            </w:tr>
            <w:tr w14:paraId="745F3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39" w:type="dxa"/>
                  <w:vMerge w:val="continue"/>
                  <w:vAlign w:val="center"/>
                </w:tcPr>
                <w:p w14:paraId="12B6356D">
                  <w:pPr>
                    <w:jc w:val="center"/>
                    <w:rPr>
                      <w:sz w:val="22"/>
                      <w:szCs w:val="22"/>
                    </w:rPr>
                  </w:pPr>
                </w:p>
              </w:tc>
              <w:tc>
                <w:tcPr>
                  <w:tcW w:w="439" w:type="dxa"/>
                  <w:vMerge w:val="continue"/>
                  <w:vAlign w:val="center"/>
                </w:tcPr>
                <w:p w14:paraId="732C45A6">
                  <w:pPr>
                    <w:jc w:val="center"/>
                    <w:rPr>
                      <w:sz w:val="22"/>
                      <w:szCs w:val="22"/>
                    </w:rPr>
                  </w:pPr>
                </w:p>
              </w:tc>
              <w:tc>
                <w:tcPr>
                  <w:tcW w:w="1023" w:type="dxa"/>
                  <w:vAlign w:val="center"/>
                </w:tcPr>
                <w:p w14:paraId="0478F435">
                  <w:pPr>
                    <w:jc w:val="center"/>
                    <w:rPr>
                      <w:sz w:val="22"/>
                      <w:szCs w:val="22"/>
                    </w:rPr>
                  </w:pPr>
                  <w:r>
                    <w:rPr>
                      <w:rFonts w:hint="eastAsia"/>
                      <w:sz w:val="22"/>
                      <w:szCs w:val="22"/>
                    </w:rPr>
                    <w:t>隔油池</w:t>
                  </w:r>
                </w:p>
              </w:tc>
              <w:tc>
                <w:tcPr>
                  <w:tcW w:w="4617" w:type="dxa"/>
                  <w:vAlign w:val="center"/>
                </w:tcPr>
                <w:p w14:paraId="2F3D5552">
                  <w:pPr>
                    <w:rPr>
                      <w:rFonts w:hint="default" w:eastAsia="宋体"/>
                      <w:lang w:val="en-US" w:eastAsia="zh-CN"/>
                    </w:rPr>
                  </w:pPr>
                  <w:r>
                    <w:rPr>
                      <w:rFonts w:hint="eastAsia"/>
                      <w:bCs/>
                      <w:sz w:val="22"/>
                      <w:szCs w:val="22"/>
                      <w:lang w:val="en-US" w:eastAsia="zh-CN"/>
                    </w:rPr>
                    <w:t>场地</w:t>
                  </w:r>
                  <w:r>
                    <w:rPr>
                      <w:rFonts w:hint="eastAsia"/>
                      <w:bCs/>
                      <w:sz w:val="22"/>
                      <w:szCs w:val="22"/>
                    </w:rPr>
                    <w:t>冲洗废水</w:t>
                  </w:r>
                  <w:r>
                    <w:rPr>
                      <w:rFonts w:hint="eastAsia"/>
                      <w:bCs/>
                      <w:sz w:val="22"/>
                      <w:szCs w:val="22"/>
                      <w:lang w:eastAsia="zh-CN"/>
                    </w:rPr>
                    <w:t>、</w:t>
                  </w:r>
                  <w:r>
                    <w:rPr>
                      <w:rFonts w:hint="eastAsia"/>
                      <w:bCs/>
                      <w:sz w:val="22"/>
                      <w:szCs w:val="22"/>
                      <w:lang w:val="en-US" w:eastAsia="zh-CN"/>
                    </w:rPr>
                    <w:t>洗车废水及</w:t>
                  </w:r>
                  <w:r>
                    <w:rPr>
                      <w:rFonts w:hint="eastAsia"/>
                      <w:bCs/>
                      <w:sz w:val="22"/>
                      <w:szCs w:val="22"/>
                    </w:rPr>
                    <w:t>棚外初期地面雨水经导流沟引入</w:t>
                  </w:r>
                  <w:r>
                    <w:rPr>
                      <w:rFonts w:hint="eastAsia"/>
                      <w:bCs/>
                      <w:sz w:val="22"/>
                      <w:szCs w:val="22"/>
                      <w:lang w:val="en-US" w:eastAsia="zh-CN"/>
                    </w:rPr>
                    <w:t>改造后新增的</w:t>
                  </w:r>
                  <w:r>
                    <w:rPr>
                      <w:rFonts w:hint="eastAsia"/>
                      <w:bCs/>
                      <w:sz w:val="22"/>
                      <w:szCs w:val="22"/>
                    </w:rPr>
                    <w:t>隔油</w:t>
                  </w:r>
                  <w:r>
                    <w:rPr>
                      <w:rFonts w:hint="eastAsia"/>
                      <w:bCs/>
                      <w:sz w:val="22"/>
                      <w:szCs w:val="22"/>
                      <w:lang w:val="en-US" w:eastAsia="zh-CN"/>
                    </w:rPr>
                    <w:t>沉淀</w:t>
                  </w:r>
                  <w:r>
                    <w:rPr>
                      <w:rFonts w:hint="eastAsia"/>
                      <w:bCs/>
                      <w:sz w:val="22"/>
                      <w:szCs w:val="22"/>
                    </w:rPr>
                    <w:t>池</w:t>
                  </w:r>
                  <w:r>
                    <w:rPr>
                      <w:rFonts w:hint="eastAsia"/>
                      <w:bCs/>
                      <w:sz w:val="22"/>
                      <w:szCs w:val="22"/>
                      <w:lang w:val="en-US" w:eastAsia="zh-CN"/>
                    </w:rPr>
                    <w:t>隔油</w:t>
                  </w:r>
                  <w:r>
                    <w:rPr>
                      <w:rFonts w:hint="eastAsia"/>
                      <w:bCs/>
                      <w:sz w:val="22"/>
                      <w:szCs w:val="22"/>
                    </w:rPr>
                    <w:t>处理后</w:t>
                  </w:r>
                  <w:r>
                    <w:rPr>
                      <w:rFonts w:hint="eastAsia"/>
                      <w:bCs/>
                      <w:sz w:val="22"/>
                      <w:szCs w:val="22"/>
                      <w:lang w:val="en-US" w:eastAsia="zh-CN"/>
                    </w:rPr>
                    <w:t>进入水封井</w:t>
                  </w:r>
                  <w:r>
                    <w:rPr>
                      <w:rFonts w:hint="eastAsia"/>
                      <w:bCs/>
                      <w:sz w:val="22"/>
                      <w:szCs w:val="22"/>
                    </w:rPr>
                    <w:t>与处理</w:t>
                  </w:r>
                  <w:r>
                    <w:rPr>
                      <w:rFonts w:hint="eastAsia"/>
                      <w:bCs/>
                      <w:sz w:val="22"/>
                      <w:szCs w:val="22"/>
                      <w:lang w:val="en-US" w:eastAsia="zh-CN"/>
                    </w:rPr>
                    <w:t>达标</w:t>
                  </w:r>
                  <w:r>
                    <w:rPr>
                      <w:rFonts w:hint="eastAsia"/>
                      <w:bCs/>
                      <w:sz w:val="22"/>
                      <w:szCs w:val="22"/>
                    </w:rPr>
                    <w:t>后的生活污水一并进入市政污水管网，隔油池处理能力为5</w:t>
                  </w:r>
                  <w:r>
                    <w:rPr>
                      <w:rFonts w:hint="eastAsia"/>
                      <w:bCs/>
                      <w:sz w:val="22"/>
                      <w:szCs w:val="22"/>
                      <w:lang w:val="en-US" w:eastAsia="zh-CN"/>
                    </w:rPr>
                    <w:t>.4</w:t>
                  </w:r>
                  <w:r>
                    <w:rPr>
                      <w:bCs/>
                      <w:sz w:val="22"/>
                      <w:szCs w:val="22"/>
                    </w:rPr>
                    <w:t>m</w:t>
                  </w:r>
                  <w:r>
                    <w:rPr>
                      <w:bCs/>
                      <w:sz w:val="22"/>
                      <w:szCs w:val="22"/>
                      <w:vertAlign w:val="superscript"/>
                    </w:rPr>
                    <w:t>3</w:t>
                  </w:r>
                  <w:r>
                    <w:rPr>
                      <w:bCs/>
                      <w:sz w:val="22"/>
                      <w:szCs w:val="22"/>
                    </w:rPr>
                    <w:t>/d</w:t>
                  </w:r>
                  <w:r>
                    <w:rPr>
                      <w:rFonts w:hint="eastAsia"/>
                      <w:bCs/>
                      <w:sz w:val="22"/>
                      <w:szCs w:val="22"/>
                    </w:rPr>
                    <w:t>，位于站区东侧；</w:t>
                  </w:r>
                  <w:r>
                    <w:rPr>
                      <w:rFonts w:hint="eastAsia"/>
                      <w:bCs/>
                      <w:color w:val="FF0000"/>
                      <w:sz w:val="22"/>
                      <w:szCs w:val="22"/>
                      <w:lang w:val="en-US" w:eastAsia="zh-CN"/>
                    </w:rPr>
                    <w:t>现有隔油池进行拆除</w:t>
                  </w:r>
                </w:p>
              </w:tc>
              <w:tc>
                <w:tcPr>
                  <w:tcW w:w="1095" w:type="dxa"/>
                  <w:vAlign w:val="center"/>
                </w:tcPr>
                <w:p w14:paraId="5EFEE9E1">
                  <w:pPr>
                    <w:jc w:val="center"/>
                    <w:rPr>
                      <w:rFonts w:hint="default" w:eastAsia="宋体"/>
                      <w:sz w:val="22"/>
                      <w:szCs w:val="22"/>
                      <w:lang w:val="en-US" w:eastAsia="zh-CN"/>
                    </w:rPr>
                  </w:pPr>
                  <w:r>
                    <w:rPr>
                      <w:rFonts w:hint="eastAsia"/>
                      <w:sz w:val="22"/>
                      <w:szCs w:val="22"/>
                      <w:lang w:val="en-US" w:eastAsia="zh-CN"/>
                    </w:rPr>
                    <w:t>改造后新增</w:t>
                  </w:r>
                </w:p>
              </w:tc>
            </w:tr>
            <w:tr w14:paraId="79C10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8" w:hRule="atLeast"/>
                <w:jc w:val="center"/>
              </w:trPr>
              <w:tc>
                <w:tcPr>
                  <w:tcW w:w="739" w:type="dxa"/>
                  <w:vMerge w:val="continue"/>
                  <w:vAlign w:val="center"/>
                </w:tcPr>
                <w:p w14:paraId="477687BC">
                  <w:pPr>
                    <w:jc w:val="center"/>
                    <w:rPr>
                      <w:sz w:val="22"/>
                      <w:szCs w:val="22"/>
                    </w:rPr>
                  </w:pPr>
                </w:p>
              </w:tc>
              <w:tc>
                <w:tcPr>
                  <w:tcW w:w="439" w:type="dxa"/>
                  <w:vMerge w:val="restart"/>
                  <w:vAlign w:val="center"/>
                </w:tcPr>
                <w:p w14:paraId="300D425C">
                  <w:pPr>
                    <w:snapToGrid w:val="0"/>
                    <w:jc w:val="center"/>
                    <w:rPr>
                      <w:sz w:val="22"/>
                      <w:szCs w:val="22"/>
                    </w:rPr>
                  </w:pPr>
                  <w:r>
                    <w:rPr>
                      <w:sz w:val="22"/>
                      <w:szCs w:val="22"/>
                    </w:rPr>
                    <w:t>废气</w:t>
                  </w:r>
                </w:p>
              </w:tc>
              <w:tc>
                <w:tcPr>
                  <w:tcW w:w="1023" w:type="dxa"/>
                  <w:vMerge w:val="restart"/>
                  <w:vAlign w:val="center"/>
                </w:tcPr>
                <w:p w14:paraId="07B78669">
                  <w:pPr>
                    <w:snapToGrid w:val="0"/>
                    <w:jc w:val="center"/>
                    <w:rPr>
                      <w:sz w:val="22"/>
                      <w:szCs w:val="22"/>
                    </w:rPr>
                  </w:pPr>
                  <w:r>
                    <w:rPr>
                      <w:rFonts w:hint="eastAsia"/>
                      <w:sz w:val="22"/>
                      <w:szCs w:val="22"/>
                    </w:rPr>
                    <w:t>油气回收系统</w:t>
                  </w:r>
                </w:p>
              </w:tc>
              <w:tc>
                <w:tcPr>
                  <w:tcW w:w="4617" w:type="dxa"/>
                  <w:vAlign w:val="center"/>
                </w:tcPr>
                <w:p w14:paraId="363254D4">
                  <w:pPr>
                    <w:snapToGrid w:val="0"/>
                    <w:rPr>
                      <w:sz w:val="22"/>
                      <w:szCs w:val="22"/>
                    </w:rPr>
                  </w:pPr>
                  <w:r>
                    <w:rPr>
                      <w:rFonts w:hint="eastAsia"/>
                      <w:sz w:val="22"/>
                      <w:szCs w:val="22"/>
                    </w:rPr>
                    <w:t>卸油区：9</w:t>
                  </w:r>
                  <w:r>
                    <w:rPr>
                      <w:sz w:val="22"/>
                      <w:szCs w:val="22"/>
                    </w:rPr>
                    <w:t>2</w:t>
                  </w:r>
                  <w:r>
                    <w:rPr>
                      <w:rFonts w:hint="eastAsia"/>
                      <w:sz w:val="22"/>
                      <w:szCs w:val="22"/>
                    </w:rPr>
                    <w:t>#汽油、9</w:t>
                  </w:r>
                  <w:r>
                    <w:rPr>
                      <w:sz w:val="22"/>
                      <w:szCs w:val="22"/>
                    </w:rPr>
                    <w:t>5#</w:t>
                  </w:r>
                  <w:r>
                    <w:rPr>
                      <w:rFonts w:hint="eastAsia"/>
                      <w:sz w:val="22"/>
                      <w:szCs w:val="22"/>
                    </w:rPr>
                    <w:t>汽油及98#汽油储油罐安装卸油油气回收系统（即一次油气回收系统），包括设置回气管线快速接头、油罐安装卸油防溢阀和浮球阀以及通气管顶部真空压力帽，卸油时，油罐内的油气由卸油油气回收管经快速接头排入油罐车；</w:t>
                  </w:r>
                </w:p>
              </w:tc>
              <w:tc>
                <w:tcPr>
                  <w:tcW w:w="1095" w:type="dxa"/>
                  <w:vAlign w:val="center"/>
                </w:tcPr>
                <w:p w14:paraId="43ED1811">
                  <w:pPr>
                    <w:snapToGrid w:val="0"/>
                    <w:jc w:val="center"/>
                    <w:rPr>
                      <w:rFonts w:hint="default" w:eastAsia="宋体"/>
                      <w:sz w:val="22"/>
                      <w:szCs w:val="22"/>
                      <w:lang w:val="en-US" w:eastAsia="zh-CN"/>
                    </w:rPr>
                  </w:pPr>
                  <w:r>
                    <w:rPr>
                      <w:rFonts w:hint="eastAsia"/>
                      <w:sz w:val="22"/>
                      <w:szCs w:val="22"/>
                      <w:lang w:val="en-US" w:eastAsia="zh-CN"/>
                    </w:rPr>
                    <w:t>部分改造，部分新增</w:t>
                  </w:r>
                </w:p>
              </w:tc>
            </w:tr>
            <w:tr w14:paraId="4185C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8" w:hRule="atLeast"/>
                <w:jc w:val="center"/>
              </w:trPr>
              <w:tc>
                <w:tcPr>
                  <w:tcW w:w="739" w:type="dxa"/>
                  <w:vMerge w:val="continue"/>
                  <w:vAlign w:val="center"/>
                </w:tcPr>
                <w:p w14:paraId="25E2B032">
                  <w:pPr>
                    <w:jc w:val="center"/>
                    <w:rPr>
                      <w:sz w:val="22"/>
                      <w:szCs w:val="22"/>
                    </w:rPr>
                  </w:pPr>
                </w:p>
              </w:tc>
              <w:tc>
                <w:tcPr>
                  <w:tcW w:w="439" w:type="dxa"/>
                  <w:vMerge w:val="continue"/>
                  <w:vAlign w:val="center"/>
                </w:tcPr>
                <w:p w14:paraId="0C7E35A0">
                  <w:pPr>
                    <w:snapToGrid w:val="0"/>
                    <w:jc w:val="center"/>
                    <w:rPr>
                      <w:sz w:val="22"/>
                      <w:szCs w:val="22"/>
                    </w:rPr>
                  </w:pPr>
                </w:p>
              </w:tc>
              <w:tc>
                <w:tcPr>
                  <w:tcW w:w="1023" w:type="dxa"/>
                  <w:vMerge w:val="continue"/>
                  <w:vAlign w:val="center"/>
                </w:tcPr>
                <w:p w14:paraId="7D6D9FCA">
                  <w:pPr>
                    <w:snapToGrid w:val="0"/>
                    <w:jc w:val="center"/>
                    <w:rPr>
                      <w:rFonts w:hint="eastAsia"/>
                      <w:sz w:val="22"/>
                      <w:szCs w:val="22"/>
                    </w:rPr>
                  </w:pPr>
                </w:p>
              </w:tc>
              <w:tc>
                <w:tcPr>
                  <w:tcW w:w="4617" w:type="dxa"/>
                  <w:vAlign w:val="center"/>
                </w:tcPr>
                <w:p w14:paraId="79182826">
                  <w:pPr>
                    <w:snapToGrid w:val="0"/>
                    <w:rPr>
                      <w:rFonts w:hint="eastAsia" w:eastAsia="宋体"/>
                      <w:sz w:val="22"/>
                      <w:szCs w:val="22"/>
                      <w:lang w:val="en-US" w:eastAsia="zh-CN"/>
                    </w:rPr>
                  </w:pPr>
                  <w:r>
                    <w:rPr>
                      <w:rFonts w:hint="eastAsia"/>
                      <w:sz w:val="22"/>
                      <w:szCs w:val="22"/>
                      <w:lang w:val="en-US" w:eastAsia="zh-CN"/>
                    </w:rPr>
                    <w:t>储油区：</w:t>
                  </w:r>
                  <w:r>
                    <w:rPr>
                      <w:rFonts w:hint="eastAsia"/>
                      <w:sz w:val="22"/>
                      <w:szCs w:val="22"/>
                    </w:rPr>
                    <w:t>新增三次油气回收，在地埋式油罐设置</w:t>
                  </w:r>
                  <w:r>
                    <w:rPr>
                      <w:rFonts w:hint="eastAsia"/>
                      <w:sz w:val="22"/>
                      <w:szCs w:val="22"/>
                      <w:lang w:val="en-US" w:eastAsia="zh-CN"/>
                    </w:rPr>
                    <w:t>抽气泵（压缩机）+冷凝器+膜组件</w:t>
                  </w:r>
                  <w:r>
                    <w:rPr>
                      <w:rFonts w:hint="eastAsia"/>
                      <w:sz w:val="22"/>
                      <w:szCs w:val="22"/>
                    </w:rPr>
                    <w:t>对</w:t>
                  </w:r>
                  <w:r>
                    <w:rPr>
                      <w:rFonts w:hint="eastAsia"/>
                      <w:sz w:val="22"/>
                      <w:szCs w:val="22"/>
                      <w:lang w:val="en-US" w:eastAsia="zh-CN"/>
                    </w:rPr>
                    <w:t>高浓度</w:t>
                  </w:r>
                  <w:r>
                    <w:rPr>
                      <w:rFonts w:hint="eastAsia"/>
                      <w:sz w:val="22"/>
                      <w:szCs w:val="22"/>
                    </w:rPr>
                    <w:t>油气进行回收处理</w:t>
                  </w:r>
                </w:p>
              </w:tc>
              <w:tc>
                <w:tcPr>
                  <w:tcW w:w="1095" w:type="dxa"/>
                  <w:vAlign w:val="center"/>
                </w:tcPr>
                <w:p w14:paraId="69278EB4">
                  <w:pPr>
                    <w:snapToGrid w:val="0"/>
                    <w:jc w:val="center"/>
                    <w:rPr>
                      <w:rFonts w:hint="default"/>
                      <w:sz w:val="22"/>
                      <w:szCs w:val="22"/>
                      <w:lang w:val="en-US" w:eastAsia="zh-CN"/>
                    </w:rPr>
                  </w:pPr>
                  <w:r>
                    <w:rPr>
                      <w:rFonts w:hint="eastAsia"/>
                      <w:sz w:val="22"/>
                      <w:szCs w:val="22"/>
                      <w:lang w:val="en-US" w:eastAsia="zh-CN"/>
                    </w:rPr>
                    <w:t>新增</w:t>
                  </w:r>
                </w:p>
              </w:tc>
            </w:tr>
            <w:tr w14:paraId="4BBF6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1" w:hRule="atLeast"/>
                <w:jc w:val="center"/>
              </w:trPr>
              <w:tc>
                <w:tcPr>
                  <w:tcW w:w="739" w:type="dxa"/>
                  <w:vMerge w:val="continue"/>
                  <w:vAlign w:val="center"/>
                </w:tcPr>
                <w:p w14:paraId="13F347AE">
                  <w:pPr>
                    <w:jc w:val="center"/>
                    <w:rPr>
                      <w:sz w:val="22"/>
                      <w:szCs w:val="22"/>
                    </w:rPr>
                  </w:pPr>
                </w:p>
              </w:tc>
              <w:tc>
                <w:tcPr>
                  <w:tcW w:w="439" w:type="dxa"/>
                  <w:vMerge w:val="continue"/>
                  <w:vAlign w:val="center"/>
                </w:tcPr>
                <w:p w14:paraId="03CFD04B">
                  <w:pPr>
                    <w:snapToGrid w:val="0"/>
                    <w:jc w:val="center"/>
                    <w:rPr>
                      <w:sz w:val="22"/>
                      <w:szCs w:val="22"/>
                    </w:rPr>
                  </w:pPr>
                </w:p>
              </w:tc>
              <w:tc>
                <w:tcPr>
                  <w:tcW w:w="1023" w:type="dxa"/>
                  <w:vMerge w:val="continue"/>
                  <w:vAlign w:val="center"/>
                </w:tcPr>
                <w:p w14:paraId="56768045">
                  <w:pPr>
                    <w:snapToGrid w:val="0"/>
                    <w:jc w:val="center"/>
                    <w:rPr>
                      <w:sz w:val="22"/>
                      <w:szCs w:val="22"/>
                    </w:rPr>
                  </w:pPr>
                </w:p>
              </w:tc>
              <w:tc>
                <w:tcPr>
                  <w:tcW w:w="4617" w:type="dxa"/>
                  <w:vAlign w:val="center"/>
                </w:tcPr>
                <w:p w14:paraId="1B23CBA8">
                  <w:pPr>
                    <w:snapToGrid w:val="0"/>
                    <w:rPr>
                      <w:sz w:val="22"/>
                      <w:szCs w:val="22"/>
                    </w:rPr>
                  </w:pPr>
                  <w:r>
                    <w:rPr>
                      <w:rFonts w:hint="eastAsia"/>
                      <w:sz w:val="22"/>
                      <w:szCs w:val="22"/>
                    </w:rPr>
                    <w:t>加油区：采用具有油气回收功能自封式税控加油机（即二次油气回收系统），加油时油气通过油气分离阀、油气过滤器后，通过加油机内油气回收泵将油气输回油罐</w:t>
                  </w:r>
                </w:p>
              </w:tc>
              <w:tc>
                <w:tcPr>
                  <w:tcW w:w="1095" w:type="dxa"/>
                  <w:vAlign w:val="center"/>
                </w:tcPr>
                <w:p w14:paraId="4748B7C9">
                  <w:pPr>
                    <w:snapToGrid w:val="0"/>
                    <w:jc w:val="center"/>
                    <w:rPr>
                      <w:rFonts w:hint="eastAsia" w:eastAsia="宋体"/>
                      <w:sz w:val="22"/>
                      <w:szCs w:val="22"/>
                      <w:lang w:eastAsia="zh-CN"/>
                    </w:rPr>
                  </w:pPr>
                  <w:r>
                    <w:rPr>
                      <w:rFonts w:hint="eastAsia"/>
                      <w:sz w:val="22"/>
                      <w:szCs w:val="22"/>
                      <w:lang w:val="en-US" w:eastAsia="zh-CN"/>
                    </w:rPr>
                    <w:t>改造</w:t>
                  </w:r>
                </w:p>
              </w:tc>
            </w:tr>
            <w:tr w14:paraId="6BC18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7E8A0990">
                  <w:pPr>
                    <w:jc w:val="center"/>
                    <w:rPr>
                      <w:sz w:val="22"/>
                      <w:szCs w:val="22"/>
                    </w:rPr>
                  </w:pPr>
                </w:p>
              </w:tc>
              <w:tc>
                <w:tcPr>
                  <w:tcW w:w="439" w:type="dxa"/>
                  <w:vMerge w:val="continue"/>
                  <w:vAlign w:val="center"/>
                </w:tcPr>
                <w:p w14:paraId="109DE4C2">
                  <w:pPr>
                    <w:snapToGrid w:val="0"/>
                    <w:jc w:val="center"/>
                    <w:rPr>
                      <w:sz w:val="22"/>
                      <w:szCs w:val="22"/>
                    </w:rPr>
                  </w:pPr>
                </w:p>
              </w:tc>
              <w:tc>
                <w:tcPr>
                  <w:tcW w:w="1023" w:type="dxa"/>
                  <w:vAlign w:val="center"/>
                </w:tcPr>
                <w:p w14:paraId="145D9B4E">
                  <w:pPr>
                    <w:snapToGrid w:val="0"/>
                    <w:jc w:val="center"/>
                    <w:rPr>
                      <w:sz w:val="22"/>
                      <w:szCs w:val="22"/>
                    </w:rPr>
                  </w:pPr>
                  <w:r>
                    <w:rPr>
                      <w:rFonts w:hint="eastAsia"/>
                      <w:sz w:val="22"/>
                      <w:szCs w:val="22"/>
                    </w:rPr>
                    <w:t>通气放气管</w:t>
                  </w:r>
                </w:p>
              </w:tc>
              <w:tc>
                <w:tcPr>
                  <w:tcW w:w="4617" w:type="dxa"/>
                  <w:vAlign w:val="center"/>
                </w:tcPr>
                <w:p w14:paraId="661BB4FC">
                  <w:pPr>
                    <w:snapToGrid w:val="0"/>
                    <w:rPr>
                      <w:sz w:val="22"/>
                      <w:szCs w:val="22"/>
                    </w:rPr>
                  </w:pPr>
                  <w:r>
                    <w:rPr>
                      <w:rFonts w:hint="eastAsia"/>
                      <w:sz w:val="22"/>
                      <w:szCs w:val="22"/>
                      <w:lang w:val="en-US" w:eastAsia="zh-CN"/>
                    </w:rPr>
                    <w:t>利旧</w:t>
                  </w:r>
                  <w:r>
                    <w:rPr>
                      <w:rFonts w:hint="eastAsia"/>
                      <w:sz w:val="22"/>
                      <w:szCs w:val="22"/>
                    </w:rPr>
                    <w:t>原有</w:t>
                  </w:r>
                  <w:r>
                    <w:rPr>
                      <w:rFonts w:hint="eastAsia"/>
                      <w:sz w:val="22"/>
                      <w:szCs w:val="22"/>
                      <w:lang w:val="en-US" w:eastAsia="zh-CN"/>
                    </w:rPr>
                    <w:t>4根</w:t>
                  </w:r>
                  <w:r>
                    <w:rPr>
                      <w:rFonts w:hint="eastAsia"/>
                      <w:sz w:val="22"/>
                      <w:szCs w:val="22"/>
                    </w:rPr>
                    <w:t>通气立管</w:t>
                  </w:r>
                  <w:r>
                    <w:rPr>
                      <w:rFonts w:hint="eastAsia"/>
                      <w:sz w:val="22"/>
                      <w:szCs w:val="22"/>
                      <w:lang w:eastAsia="zh-CN"/>
                    </w:rPr>
                    <w:t>，</w:t>
                  </w:r>
                  <w:r>
                    <w:rPr>
                      <w:rFonts w:hint="eastAsia"/>
                      <w:sz w:val="22"/>
                      <w:szCs w:val="22"/>
                    </w:rPr>
                    <w:t>通气管口设有P</w:t>
                  </w:r>
                  <w:r>
                    <w:rPr>
                      <w:sz w:val="22"/>
                      <w:szCs w:val="22"/>
                    </w:rPr>
                    <w:t>/V</w:t>
                  </w:r>
                  <w:r>
                    <w:rPr>
                      <w:rFonts w:hint="eastAsia"/>
                      <w:sz w:val="22"/>
                      <w:szCs w:val="22"/>
                    </w:rPr>
                    <w:t>呼吸阀和阻火器，其中9</w:t>
                  </w:r>
                  <w:r>
                    <w:rPr>
                      <w:sz w:val="22"/>
                      <w:szCs w:val="22"/>
                    </w:rPr>
                    <w:t>2</w:t>
                  </w:r>
                  <w:r>
                    <w:rPr>
                      <w:rFonts w:hint="eastAsia"/>
                      <w:sz w:val="22"/>
                      <w:szCs w:val="22"/>
                    </w:rPr>
                    <w:t>#、9</w:t>
                  </w:r>
                  <w:r>
                    <w:rPr>
                      <w:sz w:val="22"/>
                      <w:szCs w:val="22"/>
                    </w:rPr>
                    <w:t>5</w:t>
                  </w:r>
                  <w:r>
                    <w:rPr>
                      <w:rFonts w:hint="eastAsia"/>
                      <w:sz w:val="22"/>
                      <w:szCs w:val="22"/>
                    </w:rPr>
                    <w:t>#、98#汽油罐各1根，柴油罐1根，</w:t>
                  </w:r>
                  <w:r>
                    <w:rPr>
                      <w:rFonts w:hint="eastAsia"/>
                      <w:sz w:val="22"/>
                      <w:szCs w:val="22"/>
                      <w:lang w:val="en-US" w:eastAsia="zh-CN"/>
                    </w:rPr>
                    <w:t>另设置</w:t>
                  </w:r>
                  <w:r>
                    <w:rPr>
                      <w:rFonts w:hint="eastAsia"/>
                      <w:color w:val="auto"/>
                      <w:sz w:val="22"/>
                      <w:szCs w:val="22"/>
                    </w:rPr>
                    <w:t>紧急放空阀1根</w:t>
                  </w:r>
                  <w:r>
                    <w:rPr>
                      <w:rFonts w:hint="eastAsia"/>
                      <w:sz w:val="22"/>
                      <w:szCs w:val="22"/>
                    </w:rPr>
                    <w:t>，高度</w:t>
                  </w:r>
                  <w:r>
                    <w:rPr>
                      <w:sz w:val="22"/>
                      <w:szCs w:val="22"/>
                    </w:rPr>
                    <w:t>≥4m</w:t>
                  </w:r>
                </w:p>
              </w:tc>
              <w:tc>
                <w:tcPr>
                  <w:tcW w:w="1095" w:type="dxa"/>
                  <w:vAlign w:val="center"/>
                </w:tcPr>
                <w:p w14:paraId="4FFB037C">
                  <w:pPr>
                    <w:snapToGrid w:val="0"/>
                    <w:jc w:val="center"/>
                    <w:rPr>
                      <w:rFonts w:hint="default" w:eastAsia="宋体"/>
                      <w:sz w:val="22"/>
                      <w:szCs w:val="22"/>
                      <w:lang w:val="en-US" w:eastAsia="zh-CN"/>
                    </w:rPr>
                  </w:pPr>
                  <w:r>
                    <w:rPr>
                      <w:rFonts w:hint="eastAsia"/>
                      <w:sz w:val="22"/>
                      <w:szCs w:val="22"/>
                      <w:lang w:val="en-US" w:eastAsia="zh-CN"/>
                    </w:rPr>
                    <w:t>改造后利旧</w:t>
                  </w:r>
                </w:p>
              </w:tc>
            </w:tr>
            <w:tr w14:paraId="04CAA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39" w:type="dxa"/>
                  <w:vMerge w:val="continue"/>
                  <w:vAlign w:val="center"/>
                </w:tcPr>
                <w:p w14:paraId="75AD6873">
                  <w:pPr>
                    <w:jc w:val="center"/>
                    <w:rPr>
                      <w:sz w:val="22"/>
                      <w:szCs w:val="22"/>
                    </w:rPr>
                  </w:pPr>
                </w:p>
              </w:tc>
              <w:tc>
                <w:tcPr>
                  <w:tcW w:w="439" w:type="dxa"/>
                  <w:vMerge w:val="continue"/>
                  <w:vAlign w:val="center"/>
                </w:tcPr>
                <w:p w14:paraId="188CEA22">
                  <w:pPr>
                    <w:snapToGrid w:val="0"/>
                    <w:jc w:val="center"/>
                    <w:rPr>
                      <w:sz w:val="22"/>
                      <w:szCs w:val="22"/>
                    </w:rPr>
                  </w:pPr>
                </w:p>
              </w:tc>
              <w:tc>
                <w:tcPr>
                  <w:tcW w:w="1023" w:type="dxa"/>
                  <w:vAlign w:val="center"/>
                </w:tcPr>
                <w:p w14:paraId="70FED29F">
                  <w:pPr>
                    <w:snapToGrid w:val="0"/>
                    <w:jc w:val="center"/>
                    <w:rPr>
                      <w:color w:val="auto"/>
                      <w:sz w:val="22"/>
                      <w:szCs w:val="22"/>
                    </w:rPr>
                  </w:pPr>
                  <w:r>
                    <w:rPr>
                      <w:rFonts w:hint="eastAsia"/>
                      <w:color w:val="auto"/>
                      <w:sz w:val="22"/>
                      <w:szCs w:val="22"/>
                    </w:rPr>
                    <w:t>柴油发电机废气</w:t>
                  </w:r>
                </w:p>
              </w:tc>
              <w:tc>
                <w:tcPr>
                  <w:tcW w:w="4617" w:type="dxa"/>
                  <w:vAlign w:val="center"/>
                </w:tcPr>
                <w:p w14:paraId="7AE30768">
                  <w:pPr>
                    <w:snapToGrid w:val="0"/>
                    <w:rPr>
                      <w:color w:val="auto"/>
                      <w:sz w:val="22"/>
                      <w:szCs w:val="22"/>
                    </w:rPr>
                  </w:pPr>
                  <w:bookmarkStart w:id="3" w:name="_Hlk68800375"/>
                  <w:r>
                    <w:rPr>
                      <w:rFonts w:hint="eastAsia"/>
                      <w:color w:val="auto"/>
                      <w:sz w:val="22"/>
                      <w:szCs w:val="22"/>
                      <w:lang w:val="en-US" w:eastAsia="zh-CN"/>
                    </w:rPr>
                    <w:t>配置1台</w:t>
                  </w:r>
                  <w:r>
                    <w:rPr>
                      <w:rFonts w:hint="eastAsia"/>
                      <w:color w:val="auto"/>
                      <w:kern w:val="0"/>
                      <w:sz w:val="22"/>
                      <w:szCs w:val="22"/>
                    </w:rPr>
                    <w:t>3</w:t>
                  </w:r>
                  <w:r>
                    <w:rPr>
                      <w:color w:val="auto"/>
                      <w:kern w:val="0"/>
                      <w:sz w:val="22"/>
                      <w:szCs w:val="22"/>
                    </w:rPr>
                    <w:t>0KW</w:t>
                  </w:r>
                  <w:r>
                    <w:rPr>
                      <w:rFonts w:hint="eastAsia"/>
                      <w:color w:val="auto"/>
                      <w:sz w:val="22"/>
                      <w:szCs w:val="22"/>
                      <w:lang w:val="en-US" w:eastAsia="zh-CN"/>
                    </w:rPr>
                    <w:t>备用</w:t>
                  </w:r>
                  <w:r>
                    <w:rPr>
                      <w:rFonts w:hint="eastAsia"/>
                      <w:color w:val="auto"/>
                      <w:sz w:val="22"/>
                      <w:szCs w:val="22"/>
                    </w:rPr>
                    <w:t>柴油发电机</w:t>
                  </w:r>
                  <w:r>
                    <w:rPr>
                      <w:rFonts w:hint="eastAsia"/>
                      <w:color w:val="auto"/>
                      <w:sz w:val="22"/>
                      <w:szCs w:val="22"/>
                      <w:lang w:eastAsia="zh-CN"/>
                    </w:rPr>
                    <w:t>，</w:t>
                  </w:r>
                  <w:r>
                    <w:rPr>
                      <w:rFonts w:hint="eastAsia"/>
                      <w:color w:val="auto"/>
                      <w:sz w:val="22"/>
                      <w:szCs w:val="22"/>
                      <w:lang w:val="en-US" w:eastAsia="zh-CN"/>
                    </w:rPr>
                    <w:t>运行时产生的</w:t>
                  </w:r>
                  <w:r>
                    <w:rPr>
                      <w:rFonts w:hint="eastAsia"/>
                      <w:color w:val="auto"/>
                      <w:sz w:val="22"/>
                      <w:szCs w:val="22"/>
                    </w:rPr>
                    <w:t>废气</w:t>
                  </w:r>
                  <w:bookmarkEnd w:id="3"/>
                  <w:r>
                    <w:rPr>
                      <w:rFonts w:hint="eastAsia"/>
                      <w:color w:val="auto"/>
                      <w:sz w:val="22"/>
                      <w:szCs w:val="22"/>
                    </w:rPr>
                    <w:t>经专用尾气管引至站房外排放</w:t>
                  </w:r>
                </w:p>
              </w:tc>
              <w:tc>
                <w:tcPr>
                  <w:tcW w:w="1095" w:type="dxa"/>
                  <w:vAlign w:val="center"/>
                </w:tcPr>
                <w:p w14:paraId="72A0257A">
                  <w:pPr>
                    <w:snapToGrid w:val="0"/>
                    <w:jc w:val="center"/>
                    <w:rPr>
                      <w:color w:val="auto"/>
                      <w:sz w:val="22"/>
                      <w:szCs w:val="22"/>
                    </w:rPr>
                  </w:pPr>
                  <w:r>
                    <w:rPr>
                      <w:rFonts w:hint="eastAsia"/>
                      <w:color w:val="auto"/>
                      <w:sz w:val="22"/>
                      <w:szCs w:val="22"/>
                    </w:rPr>
                    <w:t>利旧</w:t>
                  </w:r>
                </w:p>
              </w:tc>
            </w:tr>
            <w:tr w14:paraId="6700D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9" w:type="dxa"/>
                  <w:vMerge w:val="continue"/>
                  <w:vAlign w:val="center"/>
                </w:tcPr>
                <w:p w14:paraId="6E70301E">
                  <w:pPr>
                    <w:jc w:val="center"/>
                    <w:rPr>
                      <w:sz w:val="22"/>
                      <w:szCs w:val="22"/>
                    </w:rPr>
                  </w:pPr>
                </w:p>
              </w:tc>
              <w:tc>
                <w:tcPr>
                  <w:tcW w:w="439" w:type="dxa"/>
                  <w:vMerge w:val="restart"/>
                  <w:vAlign w:val="center"/>
                </w:tcPr>
                <w:p w14:paraId="60F2D673">
                  <w:pPr>
                    <w:snapToGrid w:val="0"/>
                    <w:jc w:val="center"/>
                    <w:rPr>
                      <w:sz w:val="22"/>
                      <w:szCs w:val="22"/>
                    </w:rPr>
                  </w:pPr>
                  <w:r>
                    <w:rPr>
                      <w:sz w:val="22"/>
                      <w:szCs w:val="22"/>
                    </w:rPr>
                    <w:t>固废</w:t>
                  </w:r>
                </w:p>
              </w:tc>
              <w:tc>
                <w:tcPr>
                  <w:tcW w:w="1023" w:type="dxa"/>
                  <w:vAlign w:val="center"/>
                </w:tcPr>
                <w:p w14:paraId="4A36DE6F">
                  <w:pPr>
                    <w:snapToGrid w:val="0"/>
                    <w:jc w:val="center"/>
                    <w:rPr>
                      <w:sz w:val="22"/>
                      <w:szCs w:val="22"/>
                    </w:rPr>
                  </w:pPr>
                  <w:r>
                    <w:rPr>
                      <w:sz w:val="22"/>
                      <w:szCs w:val="22"/>
                    </w:rPr>
                    <w:t>生活</w:t>
                  </w:r>
                </w:p>
                <w:p w14:paraId="5F19D4D0">
                  <w:pPr>
                    <w:snapToGrid w:val="0"/>
                    <w:jc w:val="center"/>
                    <w:rPr>
                      <w:sz w:val="22"/>
                      <w:szCs w:val="22"/>
                    </w:rPr>
                  </w:pPr>
                  <w:r>
                    <w:rPr>
                      <w:sz w:val="22"/>
                      <w:szCs w:val="22"/>
                    </w:rPr>
                    <w:t>垃圾</w:t>
                  </w:r>
                </w:p>
              </w:tc>
              <w:tc>
                <w:tcPr>
                  <w:tcW w:w="4617" w:type="dxa"/>
                  <w:vAlign w:val="center"/>
                </w:tcPr>
                <w:p w14:paraId="7D0623FF">
                  <w:pPr>
                    <w:snapToGrid w:val="0"/>
                    <w:rPr>
                      <w:sz w:val="22"/>
                      <w:szCs w:val="22"/>
                    </w:rPr>
                  </w:pPr>
                  <w:r>
                    <w:rPr>
                      <w:rFonts w:hint="eastAsia"/>
                      <w:sz w:val="22"/>
                      <w:szCs w:val="22"/>
                    </w:rPr>
                    <w:t>设置生活垃圾收集桶，收集后定期交由环卫部门统一清运处置</w:t>
                  </w:r>
                </w:p>
              </w:tc>
              <w:tc>
                <w:tcPr>
                  <w:tcW w:w="1095" w:type="dxa"/>
                  <w:vAlign w:val="center"/>
                </w:tcPr>
                <w:p w14:paraId="6F9FF82D">
                  <w:pPr>
                    <w:snapToGrid w:val="0"/>
                    <w:jc w:val="center"/>
                    <w:rPr>
                      <w:sz w:val="22"/>
                      <w:szCs w:val="22"/>
                    </w:rPr>
                  </w:pPr>
                  <w:r>
                    <w:rPr>
                      <w:rFonts w:hint="eastAsia"/>
                      <w:sz w:val="22"/>
                      <w:szCs w:val="22"/>
                    </w:rPr>
                    <w:t>利旧</w:t>
                  </w:r>
                </w:p>
              </w:tc>
            </w:tr>
            <w:tr w14:paraId="7EB5A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9" w:type="dxa"/>
                  <w:vMerge w:val="continue"/>
                  <w:vAlign w:val="center"/>
                </w:tcPr>
                <w:p w14:paraId="6458AFA9">
                  <w:pPr>
                    <w:jc w:val="center"/>
                    <w:rPr>
                      <w:sz w:val="22"/>
                      <w:szCs w:val="22"/>
                    </w:rPr>
                  </w:pPr>
                </w:p>
              </w:tc>
              <w:tc>
                <w:tcPr>
                  <w:tcW w:w="439" w:type="dxa"/>
                  <w:vMerge w:val="continue"/>
                  <w:vAlign w:val="center"/>
                </w:tcPr>
                <w:p w14:paraId="1424453F">
                  <w:pPr>
                    <w:snapToGrid w:val="0"/>
                    <w:jc w:val="center"/>
                    <w:rPr>
                      <w:sz w:val="22"/>
                      <w:szCs w:val="22"/>
                    </w:rPr>
                  </w:pPr>
                </w:p>
              </w:tc>
              <w:tc>
                <w:tcPr>
                  <w:tcW w:w="1023" w:type="dxa"/>
                  <w:vAlign w:val="center"/>
                </w:tcPr>
                <w:p w14:paraId="39750E1C">
                  <w:pPr>
                    <w:snapToGrid w:val="0"/>
                    <w:jc w:val="center"/>
                    <w:rPr>
                      <w:rFonts w:hint="default" w:eastAsia="宋体"/>
                      <w:sz w:val="22"/>
                      <w:szCs w:val="22"/>
                      <w:lang w:val="en-US" w:eastAsia="zh-CN"/>
                    </w:rPr>
                  </w:pPr>
                  <w:r>
                    <w:rPr>
                      <w:rFonts w:hint="eastAsia"/>
                      <w:sz w:val="22"/>
                      <w:szCs w:val="22"/>
                      <w:lang w:val="en-US" w:eastAsia="zh-CN"/>
                    </w:rPr>
                    <w:t>一般工业固废</w:t>
                  </w:r>
                </w:p>
              </w:tc>
              <w:tc>
                <w:tcPr>
                  <w:tcW w:w="4617" w:type="dxa"/>
                  <w:vAlign w:val="center"/>
                </w:tcPr>
                <w:p w14:paraId="170670F7">
                  <w:pPr>
                    <w:snapToGrid w:val="0"/>
                    <w:rPr>
                      <w:rFonts w:hint="eastAsia" w:eastAsia="宋体"/>
                      <w:sz w:val="22"/>
                      <w:szCs w:val="22"/>
                      <w:lang w:val="en-US" w:eastAsia="zh-CN"/>
                    </w:rPr>
                  </w:pPr>
                  <w:r>
                    <w:rPr>
                      <w:rFonts w:hint="eastAsia"/>
                      <w:sz w:val="22"/>
                      <w:szCs w:val="22"/>
                      <w:lang w:val="en-US" w:eastAsia="zh-CN"/>
                    </w:rPr>
                    <w:t>化粪池定期清掏，交由环卫部门统一清运处置</w:t>
                  </w:r>
                </w:p>
              </w:tc>
              <w:tc>
                <w:tcPr>
                  <w:tcW w:w="1095" w:type="dxa"/>
                  <w:vAlign w:val="center"/>
                </w:tcPr>
                <w:p w14:paraId="7ED63670">
                  <w:pPr>
                    <w:snapToGrid w:val="0"/>
                    <w:jc w:val="center"/>
                    <w:rPr>
                      <w:rFonts w:hint="eastAsia"/>
                      <w:sz w:val="22"/>
                      <w:szCs w:val="22"/>
                    </w:rPr>
                  </w:pPr>
                </w:p>
              </w:tc>
            </w:tr>
            <w:tr w14:paraId="70E80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9" w:type="dxa"/>
                  <w:vMerge w:val="continue"/>
                  <w:vAlign w:val="center"/>
                </w:tcPr>
                <w:p w14:paraId="3B4F4527">
                  <w:pPr>
                    <w:jc w:val="center"/>
                    <w:rPr>
                      <w:sz w:val="22"/>
                      <w:szCs w:val="22"/>
                    </w:rPr>
                  </w:pPr>
                </w:p>
              </w:tc>
              <w:tc>
                <w:tcPr>
                  <w:tcW w:w="439" w:type="dxa"/>
                  <w:vMerge w:val="continue"/>
                  <w:vAlign w:val="center"/>
                </w:tcPr>
                <w:p w14:paraId="47BE5E8B">
                  <w:pPr>
                    <w:snapToGrid w:val="0"/>
                    <w:jc w:val="center"/>
                    <w:rPr>
                      <w:sz w:val="22"/>
                      <w:szCs w:val="22"/>
                    </w:rPr>
                  </w:pPr>
                </w:p>
              </w:tc>
              <w:tc>
                <w:tcPr>
                  <w:tcW w:w="1023" w:type="dxa"/>
                  <w:vAlign w:val="center"/>
                </w:tcPr>
                <w:p w14:paraId="6D3DCF3D">
                  <w:pPr>
                    <w:snapToGrid w:val="0"/>
                    <w:jc w:val="center"/>
                    <w:rPr>
                      <w:rFonts w:hint="default" w:eastAsia="宋体"/>
                      <w:sz w:val="22"/>
                      <w:szCs w:val="22"/>
                      <w:lang w:val="en-US" w:eastAsia="zh-CN"/>
                    </w:rPr>
                  </w:pPr>
                  <w:r>
                    <w:rPr>
                      <w:rFonts w:hint="eastAsia"/>
                      <w:sz w:val="22"/>
                      <w:szCs w:val="22"/>
                      <w:lang w:val="en-US" w:eastAsia="zh-CN"/>
                    </w:rPr>
                    <w:t>危险废物</w:t>
                  </w:r>
                </w:p>
              </w:tc>
              <w:tc>
                <w:tcPr>
                  <w:tcW w:w="4617" w:type="dxa"/>
                  <w:vAlign w:val="center"/>
                </w:tcPr>
                <w:p w14:paraId="774441B5">
                  <w:pPr>
                    <w:snapToGrid w:val="0"/>
                    <w:rPr>
                      <w:sz w:val="22"/>
                      <w:szCs w:val="22"/>
                    </w:rPr>
                  </w:pPr>
                  <w:r>
                    <w:rPr>
                      <w:rFonts w:hint="eastAsia"/>
                      <w:sz w:val="22"/>
                      <w:szCs w:val="22"/>
                      <w:lang w:val="en-US" w:eastAsia="zh-CN"/>
                    </w:rPr>
                    <w:t>依托现有危废贮存点1座，建筑面积为2m</w:t>
                  </w:r>
                  <w:r>
                    <w:rPr>
                      <w:rFonts w:hint="eastAsia"/>
                      <w:sz w:val="22"/>
                      <w:szCs w:val="22"/>
                      <w:vertAlign w:val="superscript"/>
                      <w:lang w:val="en-US" w:eastAsia="zh-CN"/>
                    </w:rPr>
                    <w:t>2</w:t>
                  </w:r>
                  <w:r>
                    <w:rPr>
                      <w:rFonts w:hint="eastAsia"/>
                      <w:sz w:val="22"/>
                      <w:szCs w:val="22"/>
                      <w:lang w:val="en-US" w:eastAsia="zh-CN"/>
                    </w:rPr>
                    <w:t>，</w:t>
                  </w:r>
                  <w:r>
                    <w:rPr>
                      <w:rFonts w:hint="eastAsia"/>
                      <w:sz w:val="22"/>
                      <w:szCs w:val="22"/>
                    </w:rPr>
                    <w:t>位于</w:t>
                  </w:r>
                  <w:r>
                    <w:rPr>
                      <w:rFonts w:hint="eastAsia"/>
                      <w:sz w:val="22"/>
                      <w:szCs w:val="22"/>
                      <w:lang w:val="en-US" w:eastAsia="zh-CN"/>
                    </w:rPr>
                    <w:t>站房西侧</w:t>
                  </w:r>
                  <w:r>
                    <w:rPr>
                      <w:rFonts w:hint="eastAsia"/>
                      <w:sz w:val="22"/>
                      <w:szCs w:val="22"/>
                    </w:rPr>
                    <w:t>，采用不锈钢一体式结构，无焊缝，正面</w:t>
                  </w:r>
                  <w:r>
                    <w:rPr>
                      <w:rFonts w:hint="eastAsia"/>
                      <w:sz w:val="22"/>
                      <w:szCs w:val="22"/>
                      <w:lang w:val="en-US" w:eastAsia="zh-CN"/>
                    </w:rPr>
                    <w:t>设置</w:t>
                  </w:r>
                  <w:r>
                    <w:rPr>
                      <w:rFonts w:hint="eastAsia"/>
                      <w:sz w:val="22"/>
                      <w:szCs w:val="22"/>
                    </w:rPr>
                    <w:t>危险废物标识牌，用于临时暂存</w:t>
                  </w:r>
                  <w:r>
                    <w:rPr>
                      <w:rFonts w:hint="eastAsia"/>
                      <w:sz w:val="22"/>
                      <w:szCs w:val="22"/>
                      <w:lang w:val="en-US" w:eastAsia="zh-CN"/>
                    </w:rPr>
                    <w:t>设备检修废物</w:t>
                  </w:r>
                  <w:r>
                    <w:rPr>
                      <w:rFonts w:hint="eastAsia"/>
                      <w:sz w:val="22"/>
                      <w:szCs w:val="22"/>
                    </w:rPr>
                    <w:t>等危险废物</w:t>
                  </w:r>
                  <w:r>
                    <w:rPr>
                      <w:rFonts w:hint="eastAsia"/>
                      <w:sz w:val="22"/>
                      <w:szCs w:val="22"/>
                      <w:lang w:eastAsia="zh-CN"/>
                    </w:rPr>
                    <w:t>，</w:t>
                  </w:r>
                  <w:r>
                    <w:rPr>
                      <w:rFonts w:hint="eastAsia"/>
                      <w:sz w:val="22"/>
                      <w:szCs w:val="22"/>
                    </w:rPr>
                    <w:t>定期交由</w:t>
                  </w:r>
                  <w:r>
                    <w:rPr>
                      <w:rFonts w:hint="eastAsia"/>
                      <w:sz w:val="22"/>
                      <w:szCs w:val="22"/>
                      <w:lang w:val="en-US" w:eastAsia="zh-CN"/>
                    </w:rPr>
                    <w:t>有</w:t>
                  </w:r>
                  <w:r>
                    <w:rPr>
                      <w:rFonts w:hint="eastAsia"/>
                      <w:sz w:val="22"/>
                      <w:szCs w:val="22"/>
                    </w:rPr>
                    <w:t>危险废物处置资质单位进行</w:t>
                  </w:r>
                  <w:r>
                    <w:rPr>
                      <w:rFonts w:hint="eastAsia"/>
                      <w:sz w:val="22"/>
                      <w:szCs w:val="22"/>
                      <w:lang w:val="en-US" w:eastAsia="zh-CN"/>
                    </w:rPr>
                    <w:t>清运</w:t>
                  </w:r>
                  <w:r>
                    <w:rPr>
                      <w:rFonts w:hint="eastAsia"/>
                      <w:sz w:val="22"/>
                      <w:szCs w:val="22"/>
                    </w:rPr>
                    <w:t>处置</w:t>
                  </w:r>
                </w:p>
              </w:tc>
              <w:tc>
                <w:tcPr>
                  <w:tcW w:w="1095" w:type="dxa"/>
                  <w:vAlign w:val="center"/>
                </w:tcPr>
                <w:p w14:paraId="1099A1FC">
                  <w:pPr>
                    <w:snapToGrid w:val="0"/>
                    <w:jc w:val="center"/>
                    <w:rPr>
                      <w:sz w:val="22"/>
                      <w:szCs w:val="22"/>
                    </w:rPr>
                  </w:pPr>
                  <w:r>
                    <w:rPr>
                      <w:rFonts w:hint="eastAsia"/>
                      <w:sz w:val="22"/>
                      <w:szCs w:val="22"/>
                    </w:rPr>
                    <w:t>利旧</w:t>
                  </w:r>
                </w:p>
              </w:tc>
            </w:tr>
            <w:tr w14:paraId="55773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9" w:type="dxa"/>
                  <w:vMerge w:val="continue"/>
                  <w:vAlign w:val="center"/>
                </w:tcPr>
                <w:p w14:paraId="0FD3C179">
                  <w:pPr>
                    <w:jc w:val="center"/>
                    <w:rPr>
                      <w:sz w:val="22"/>
                      <w:szCs w:val="22"/>
                    </w:rPr>
                  </w:pPr>
                </w:p>
              </w:tc>
              <w:tc>
                <w:tcPr>
                  <w:tcW w:w="1462" w:type="dxa"/>
                  <w:gridSpan w:val="2"/>
                  <w:vAlign w:val="center"/>
                </w:tcPr>
                <w:p w14:paraId="49B1F56E">
                  <w:pPr>
                    <w:snapToGrid w:val="0"/>
                    <w:jc w:val="center"/>
                    <w:rPr>
                      <w:sz w:val="22"/>
                      <w:szCs w:val="22"/>
                    </w:rPr>
                  </w:pPr>
                  <w:r>
                    <w:rPr>
                      <w:sz w:val="22"/>
                      <w:szCs w:val="22"/>
                    </w:rPr>
                    <w:t>噪声</w:t>
                  </w:r>
                </w:p>
              </w:tc>
              <w:tc>
                <w:tcPr>
                  <w:tcW w:w="4617" w:type="dxa"/>
                  <w:vAlign w:val="center"/>
                </w:tcPr>
                <w:p w14:paraId="4B2158D3">
                  <w:pPr>
                    <w:snapToGrid w:val="0"/>
                    <w:rPr>
                      <w:sz w:val="22"/>
                      <w:szCs w:val="22"/>
                    </w:rPr>
                  </w:pPr>
                  <w:r>
                    <w:rPr>
                      <w:rFonts w:hint="eastAsia"/>
                      <w:sz w:val="22"/>
                      <w:szCs w:val="22"/>
                    </w:rPr>
                    <w:t>各类泵采取隔声、减振措施；加强设备维护与管理；进出口设置减速及严禁鸣笛等标志</w:t>
                  </w:r>
                </w:p>
              </w:tc>
              <w:tc>
                <w:tcPr>
                  <w:tcW w:w="1095" w:type="dxa"/>
                  <w:vAlign w:val="center"/>
                </w:tcPr>
                <w:p w14:paraId="595964A7">
                  <w:pPr>
                    <w:snapToGrid w:val="0"/>
                    <w:jc w:val="center"/>
                    <w:rPr>
                      <w:sz w:val="22"/>
                      <w:szCs w:val="22"/>
                    </w:rPr>
                  </w:pPr>
                  <w:r>
                    <w:rPr>
                      <w:rFonts w:hint="eastAsia"/>
                      <w:sz w:val="22"/>
                      <w:szCs w:val="22"/>
                    </w:rPr>
                    <w:t>利旧</w:t>
                  </w:r>
                </w:p>
              </w:tc>
            </w:tr>
            <w:tr w14:paraId="629F3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9" w:type="dxa"/>
                  <w:vMerge w:val="continue"/>
                  <w:vAlign w:val="center"/>
                </w:tcPr>
                <w:p w14:paraId="7FEE4982">
                  <w:pPr>
                    <w:jc w:val="center"/>
                    <w:rPr>
                      <w:sz w:val="22"/>
                      <w:szCs w:val="22"/>
                    </w:rPr>
                  </w:pPr>
                </w:p>
              </w:tc>
              <w:tc>
                <w:tcPr>
                  <w:tcW w:w="1462" w:type="dxa"/>
                  <w:gridSpan w:val="2"/>
                  <w:vAlign w:val="center"/>
                </w:tcPr>
                <w:p w14:paraId="73870B5E">
                  <w:pPr>
                    <w:snapToGrid w:val="0"/>
                    <w:jc w:val="center"/>
                    <w:rPr>
                      <w:sz w:val="22"/>
                      <w:szCs w:val="22"/>
                    </w:rPr>
                  </w:pPr>
                  <w:r>
                    <w:rPr>
                      <w:rFonts w:hint="eastAsia"/>
                      <w:sz w:val="22"/>
                      <w:szCs w:val="22"/>
                    </w:rPr>
                    <w:t>环境风险</w:t>
                  </w:r>
                </w:p>
              </w:tc>
              <w:tc>
                <w:tcPr>
                  <w:tcW w:w="4617" w:type="dxa"/>
                  <w:vAlign w:val="center"/>
                </w:tcPr>
                <w:p w14:paraId="1ECBFAD4">
                  <w:pPr>
                    <w:snapToGrid w:val="0"/>
                    <w:rPr>
                      <w:sz w:val="22"/>
                      <w:szCs w:val="22"/>
                    </w:rPr>
                  </w:pPr>
                  <w:r>
                    <w:rPr>
                      <w:rFonts w:hint="eastAsia"/>
                      <w:kern w:val="0"/>
                      <w:sz w:val="22"/>
                      <w:szCs w:val="22"/>
                    </w:rPr>
                    <w:t>淘汰单层钢制罐，新建双层SF防渗油罐；加油机设置泄漏自动切断阀；加油区及储油罐区均设置视频监控；卸油区和加油区均配置相应数量消防器材；加油作业区及进、出站口设置截流沟并接入隔油池；站内设置渗漏探测系统、液位仪系统以及防雷防静电接地系统</w:t>
                  </w:r>
                </w:p>
              </w:tc>
              <w:tc>
                <w:tcPr>
                  <w:tcW w:w="1095" w:type="dxa"/>
                  <w:vAlign w:val="center"/>
                </w:tcPr>
                <w:p w14:paraId="12625D3A">
                  <w:pPr>
                    <w:snapToGrid w:val="0"/>
                    <w:jc w:val="center"/>
                    <w:rPr>
                      <w:rFonts w:hint="default" w:eastAsia="宋体"/>
                      <w:sz w:val="22"/>
                      <w:szCs w:val="22"/>
                      <w:lang w:val="en-US" w:eastAsia="zh-CN"/>
                    </w:rPr>
                  </w:pPr>
                  <w:r>
                    <w:rPr>
                      <w:rFonts w:hint="eastAsia"/>
                      <w:sz w:val="22"/>
                      <w:szCs w:val="22"/>
                    </w:rPr>
                    <w:t>改造</w:t>
                  </w:r>
                  <w:r>
                    <w:rPr>
                      <w:rFonts w:hint="eastAsia"/>
                      <w:sz w:val="22"/>
                      <w:szCs w:val="22"/>
                      <w:lang w:val="en-US" w:eastAsia="zh-CN"/>
                    </w:rPr>
                    <w:t>后新建</w:t>
                  </w:r>
                </w:p>
              </w:tc>
            </w:tr>
          </w:tbl>
          <w:p w14:paraId="4ABB7FA9">
            <w:pPr>
              <w:adjustRightInd w:val="0"/>
              <w:snapToGrid w:val="0"/>
              <w:jc w:val="left"/>
              <w:rPr>
                <w:rFonts w:hint="default" w:eastAsia="宋体"/>
                <w:b/>
                <w:bCs w:val="0"/>
                <w:sz w:val="26"/>
                <w:szCs w:val="26"/>
                <w:lang w:val="en-US" w:eastAsia="zh-CN"/>
              </w:rPr>
            </w:pPr>
            <w:r>
              <w:rPr>
                <w:rFonts w:hint="eastAsia"/>
                <w:b/>
                <w:bCs w:val="0"/>
                <w:sz w:val="26"/>
                <w:szCs w:val="26"/>
                <w:lang w:val="en-US" w:eastAsia="zh-CN"/>
              </w:rPr>
              <w:t>2.3.3销售规模及产品方案</w:t>
            </w:r>
          </w:p>
          <w:p w14:paraId="2AEE49B0">
            <w:pPr>
              <w:adjustRightInd w:val="0"/>
              <w:snapToGrid w:val="0"/>
              <w:spacing w:line="460" w:lineRule="exact"/>
              <w:ind w:firstLine="520" w:firstLineChars="200"/>
              <w:rPr>
                <w:rFonts w:hint="eastAsia"/>
                <w:kern w:val="0"/>
                <w:sz w:val="26"/>
                <w:szCs w:val="26"/>
              </w:rPr>
            </w:pPr>
            <w:r>
              <w:rPr>
                <w:rFonts w:hint="eastAsia"/>
                <w:kern w:val="0"/>
                <w:sz w:val="26"/>
                <w:szCs w:val="26"/>
                <w:lang w:val="en-US" w:eastAsia="zh-CN"/>
              </w:rPr>
              <w:t>本项目改造后</w:t>
            </w:r>
            <w:r>
              <w:rPr>
                <w:rFonts w:hint="eastAsia"/>
                <w:kern w:val="0"/>
                <w:sz w:val="26"/>
                <w:szCs w:val="26"/>
              </w:rPr>
              <w:t>主要从事油品销售</w:t>
            </w:r>
            <w:r>
              <w:rPr>
                <w:rFonts w:hint="eastAsia"/>
                <w:kern w:val="0"/>
                <w:sz w:val="26"/>
                <w:szCs w:val="26"/>
                <w:lang w:val="en-US" w:eastAsia="zh-CN"/>
              </w:rPr>
              <w:t>以及自动洗车服务</w:t>
            </w:r>
            <w:r>
              <w:rPr>
                <w:rFonts w:hint="eastAsia"/>
                <w:kern w:val="0"/>
                <w:sz w:val="26"/>
                <w:szCs w:val="26"/>
                <w:lang w:eastAsia="zh-CN"/>
              </w:rPr>
              <w:t>，</w:t>
            </w:r>
            <w:r>
              <w:rPr>
                <w:rFonts w:hint="eastAsia"/>
                <w:kern w:val="0"/>
                <w:sz w:val="26"/>
                <w:szCs w:val="26"/>
                <w:lang w:val="en-US" w:eastAsia="zh-CN"/>
              </w:rPr>
              <w:t>改扩建完成前后</w:t>
            </w:r>
            <w:r>
              <w:rPr>
                <w:rFonts w:hint="eastAsia"/>
                <w:kern w:val="0"/>
                <w:sz w:val="26"/>
                <w:szCs w:val="26"/>
              </w:rPr>
              <w:t>产品方案</w:t>
            </w:r>
            <w:r>
              <w:rPr>
                <w:rFonts w:hint="eastAsia"/>
                <w:kern w:val="0"/>
                <w:sz w:val="26"/>
                <w:szCs w:val="26"/>
                <w:lang w:val="en-US" w:eastAsia="zh-CN"/>
              </w:rPr>
              <w:t>及销售规模</w:t>
            </w:r>
            <w:r>
              <w:rPr>
                <w:rFonts w:hint="eastAsia"/>
                <w:kern w:val="0"/>
                <w:sz w:val="26"/>
                <w:szCs w:val="26"/>
              </w:rPr>
              <w:t>见下表。</w:t>
            </w:r>
          </w:p>
          <w:p w14:paraId="3A69D890">
            <w:pPr>
              <w:pStyle w:val="5"/>
              <w:ind w:left="0" w:leftChars="0" w:firstLine="0" w:firstLineChars="0"/>
              <w:jc w:val="center"/>
              <w:rPr>
                <w:rFonts w:hint="eastAsia" w:eastAsia="宋体"/>
                <w:kern w:val="0"/>
                <w:sz w:val="22"/>
                <w:szCs w:val="22"/>
                <w:lang w:val="en-US" w:eastAsia="zh-CN"/>
              </w:rPr>
            </w:pPr>
            <w:r>
              <w:rPr>
                <w:rFonts w:hint="eastAsia"/>
                <w:kern w:val="0"/>
                <w:sz w:val="22"/>
                <w:szCs w:val="22"/>
              </w:rPr>
              <w:t>表2</w:t>
            </w:r>
            <w:r>
              <w:rPr>
                <w:rFonts w:hint="eastAsia"/>
                <w:kern w:val="0"/>
                <w:sz w:val="22"/>
                <w:szCs w:val="22"/>
                <w:lang w:val="en-US" w:eastAsia="zh-CN"/>
              </w:rPr>
              <w:t xml:space="preserve">.3-2  </w:t>
            </w:r>
            <w:r>
              <w:rPr>
                <w:rFonts w:hint="eastAsia"/>
                <w:kern w:val="0"/>
                <w:sz w:val="22"/>
                <w:szCs w:val="22"/>
              </w:rPr>
              <w:t>拟建项目产品方案</w:t>
            </w:r>
            <w:r>
              <w:rPr>
                <w:rFonts w:hint="eastAsia"/>
                <w:kern w:val="0"/>
                <w:sz w:val="22"/>
                <w:szCs w:val="22"/>
                <w:lang w:val="en-US" w:eastAsia="zh-CN"/>
              </w:rPr>
              <w:t>及销售规模一览表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979"/>
              <w:gridCol w:w="2193"/>
              <w:gridCol w:w="2193"/>
              <w:gridCol w:w="1437"/>
            </w:tblGrid>
            <w:tr w14:paraId="0576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pct"/>
                  <w:gridSpan w:val="2"/>
                  <w:vAlign w:val="center"/>
                </w:tcPr>
                <w:p w14:paraId="47282197">
                  <w:pPr>
                    <w:jc w:val="center"/>
                    <w:rPr>
                      <w:rFonts w:hint="eastAsia" w:eastAsia="宋体"/>
                      <w:color w:val="FF0000"/>
                      <w:kern w:val="0"/>
                      <w:sz w:val="22"/>
                      <w:szCs w:val="22"/>
                      <w:vertAlign w:val="baseline"/>
                      <w:lang w:val="en-US" w:eastAsia="zh-CN"/>
                    </w:rPr>
                  </w:pPr>
                  <w:r>
                    <w:rPr>
                      <w:rFonts w:hint="eastAsia"/>
                      <w:color w:val="FF0000"/>
                      <w:kern w:val="0"/>
                      <w:sz w:val="22"/>
                      <w:szCs w:val="22"/>
                      <w:vertAlign w:val="baseline"/>
                      <w:lang w:val="en-US" w:eastAsia="zh-CN"/>
                    </w:rPr>
                    <w:t>分类</w:t>
                  </w:r>
                </w:p>
              </w:tc>
              <w:tc>
                <w:tcPr>
                  <w:tcW w:w="1371" w:type="pct"/>
                  <w:vAlign w:val="center"/>
                </w:tcPr>
                <w:p w14:paraId="360BF800">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项目改造前的销售规模</w:t>
                  </w:r>
                </w:p>
              </w:tc>
              <w:tc>
                <w:tcPr>
                  <w:tcW w:w="1371" w:type="pct"/>
                  <w:shd w:val="clear" w:color="auto" w:fill="auto"/>
                  <w:vAlign w:val="center"/>
                </w:tcPr>
                <w:p w14:paraId="202A002A">
                  <w:pPr>
                    <w:jc w:val="center"/>
                    <w:rPr>
                      <w:rFonts w:hint="default" w:ascii="Times New Roman" w:hAnsi="Times New Roman" w:eastAsia="宋体" w:cs="Times New Roman"/>
                      <w:color w:val="FF0000"/>
                      <w:kern w:val="0"/>
                      <w:sz w:val="22"/>
                      <w:szCs w:val="22"/>
                      <w:vertAlign w:val="baseline"/>
                      <w:lang w:val="en-US" w:eastAsia="zh-CN" w:bidi="ar-SA"/>
                    </w:rPr>
                  </w:pPr>
                  <w:r>
                    <w:rPr>
                      <w:rFonts w:hint="eastAsia"/>
                      <w:color w:val="FF0000"/>
                      <w:kern w:val="0"/>
                      <w:sz w:val="22"/>
                      <w:szCs w:val="22"/>
                      <w:vertAlign w:val="baseline"/>
                      <w:lang w:val="en-US" w:eastAsia="zh-CN"/>
                    </w:rPr>
                    <w:t>项目改造后的销售规模</w:t>
                  </w:r>
                </w:p>
              </w:tc>
              <w:tc>
                <w:tcPr>
                  <w:tcW w:w="898" w:type="pct"/>
                  <w:vAlign w:val="center"/>
                </w:tcPr>
                <w:p w14:paraId="3BDB72B1">
                  <w:pPr>
                    <w:jc w:val="center"/>
                    <w:rPr>
                      <w:rFonts w:hint="eastAsia" w:eastAsia="宋体"/>
                      <w:color w:val="FF0000"/>
                      <w:kern w:val="0"/>
                      <w:sz w:val="22"/>
                      <w:szCs w:val="22"/>
                      <w:vertAlign w:val="baseline"/>
                      <w:lang w:val="en-US" w:eastAsia="zh-CN"/>
                    </w:rPr>
                  </w:pPr>
                  <w:r>
                    <w:rPr>
                      <w:rFonts w:hint="eastAsia"/>
                      <w:color w:val="FF0000"/>
                      <w:kern w:val="0"/>
                      <w:sz w:val="22"/>
                      <w:szCs w:val="22"/>
                      <w:vertAlign w:val="baseline"/>
                      <w:lang w:val="en-US" w:eastAsia="zh-CN"/>
                    </w:rPr>
                    <w:t>备注</w:t>
                  </w:r>
                </w:p>
              </w:tc>
            </w:tr>
            <w:tr w14:paraId="6F75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Merge w:val="restart"/>
                  <w:vAlign w:val="center"/>
                </w:tcPr>
                <w:p w14:paraId="1C93892E">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油品销售</w:t>
                  </w:r>
                </w:p>
              </w:tc>
              <w:tc>
                <w:tcPr>
                  <w:tcW w:w="612" w:type="pct"/>
                  <w:vAlign w:val="center"/>
                </w:tcPr>
                <w:p w14:paraId="17C2626B">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0#</w:t>
                  </w:r>
                </w:p>
              </w:tc>
              <w:tc>
                <w:tcPr>
                  <w:tcW w:w="1371" w:type="pct"/>
                  <w:vAlign w:val="center"/>
                </w:tcPr>
                <w:p w14:paraId="3B26D055">
                  <w:pPr>
                    <w:jc w:val="center"/>
                    <w:rPr>
                      <w:rFonts w:hint="eastAsia"/>
                      <w:color w:val="FF0000"/>
                      <w:kern w:val="0"/>
                      <w:sz w:val="22"/>
                      <w:szCs w:val="22"/>
                      <w:vertAlign w:val="baseline"/>
                    </w:rPr>
                  </w:pPr>
                  <w:r>
                    <w:rPr>
                      <w:rFonts w:hint="eastAsia"/>
                      <w:color w:val="FF0000"/>
                      <w:kern w:val="0"/>
                      <w:sz w:val="22"/>
                      <w:szCs w:val="22"/>
                      <w:vertAlign w:val="baseline"/>
                      <w:lang w:val="en-US" w:eastAsia="zh-CN"/>
                    </w:rPr>
                    <w:t>1.3</w:t>
                  </w:r>
                  <w:r>
                    <w:rPr>
                      <w:rFonts w:hint="eastAsia"/>
                      <w:color w:val="FF0000"/>
                      <w:kern w:val="0"/>
                      <w:sz w:val="22"/>
                      <w:szCs w:val="22"/>
                      <w:vertAlign w:val="baseline"/>
                    </w:rPr>
                    <w:t>t/d（</w:t>
                  </w:r>
                  <w:r>
                    <w:rPr>
                      <w:rFonts w:hint="eastAsia"/>
                      <w:color w:val="FF0000"/>
                      <w:kern w:val="0"/>
                      <w:sz w:val="22"/>
                      <w:szCs w:val="22"/>
                      <w:vertAlign w:val="baseline"/>
                      <w:lang w:val="en-US" w:eastAsia="zh-CN"/>
                    </w:rPr>
                    <w:t>490</w:t>
                  </w:r>
                  <w:r>
                    <w:rPr>
                      <w:rFonts w:hint="eastAsia"/>
                      <w:color w:val="FF0000"/>
                      <w:kern w:val="0"/>
                      <w:sz w:val="22"/>
                      <w:szCs w:val="22"/>
                      <w:vertAlign w:val="baseline"/>
                    </w:rPr>
                    <w:t>/a）</w:t>
                  </w:r>
                </w:p>
              </w:tc>
              <w:tc>
                <w:tcPr>
                  <w:tcW w:w="1371" w:type="pct"/>
                  <w:shd w:val="clear" w:color="auto" w:fill="auto"/>
                  <w:vAlign w:val="center"/>
                </w:tcPr>
                <w:p w14:paraId="119D979A">
                  <w:pPr>
                    <w:jc w:val="center"/>
                    <w:rPr>
                      <w:rFonts w:hint="eastAsia" w:ascii="Times New Roman" w:hAnsi="Times New Roman" w:eastAsia="宋体" w:cs="Times New Roman"/>
                      <w:color w:val="FF0000"/>
                      <w:kern w:val="0"/>
                      <w:sz w:val="22"/>
                      <w:szCs w:val="22"/>
                      <w:vertAlign w:val="baseline"/>
                      <w:lang w:val="en-US" w:eastAsia="zh-CN" w:bidi="ar-SA"/>
                    </w:rPr>
                  </w:pPr>
                  <w:r>
                    <w:rPr>
                      <w:rFonts w:hint="eastAsia"/>
                      <w:color w:val="FF0000"/>
                      <w:kern w:val="0"/>
                      <w:sz w:val="22"/>
                      <w:szCs w:val="22"/>
                      <w:vertAlign w:val="baseline"/>
                      <w:lang w:val="en-US" w:eastAsia="zh-CN"/>
                    </w:rPr>
                    <w:t>1.4</w:t>
                  </w:r>
                  <w:r>
                    <w:rPr>
                      <w:rFonts w:hint="eastAsia"/>
                      <w:color w:val="FF0000"/>
                      <w:kern w:val="0"/>
                      <w:sz w:val="22"/>
                      <w:szCs w:val="22"/>
                      <w:vertAlign w:val="baseline"/>
                    </w:rPr>
                    <w:t>t/d（</w:t>
                  </w:r>
                  <w:r>
                    <w:rPr>
                      <w:rFonts w:hint="eastAsia"/>
                      <w:color w:val="FF0000"/>
                      <w:kern w:val="0"/>
                      <w:sz w:val="22"/>
                      <w:szCs w:val="22"/>
                      <w:vertAlign w:val="baseline"/>
                      <w:lang w:val="en-US" w:eastAsia="zh-CN"/>
                    </w:rPr>
                    <w:t>520</w:t>
                  </w:r>
                  <w:r>
                    <w:rPr>
                      <w:rFonts w:hint="eastAsia"/>
                      <w:color w:val="FF0000"/>
                      <w:kern w:val="0"/>
                      <w:sz w:val="22"/>
                      <w:szCs w:val="22"/>
                      <w:vertAlign w:val="baseline"/>
                    </w:rPr>
                    <w:t>/a）</w:t>
                  </w:r>
                </w:p>
              </w:tc>
              <w:tc>
                <w:tcPr>
                  <w:tcW w:w="898" w:type="pct"/>
                  <w:vAlign w:val="center"/>
                </w:tcPr>
                <w:p w14:paraId="642A0077">
                  <w:pPr>
                    <w:jc w:val="center"/>
                    <w:rPr>
                      <w:rFonts w:hint="eastAsia" w:eastAsia="宋体"/>
                      <w:color w:val="FF0000"/>
                      <w:kern w:val="0"/>
                      <w:sz w:val="22"/>
                      <w:szCs w:val="22"/>
                      <w:vertAlign w:val="baseline"/>
                      <w:lang w:val="en-US" w:eastAsia="zh-CN"/>
                    </w:rPr>
                  </w:pPr>
                  <w:r>
                    <w:rPr>
                      <w:rFonts w:hint="eastAsia"/>
                      <w:color w:val="FF0000"/>
                      <w:kern w:val="0"/>
                      <w:sz w:val="22"/>
                      <w:szCs w:val="22"/>
                      <w:vertAlign w:val="baseline"/>
                      <w:lang w:val="en-US" w:eastAsia="zh-CN"/>
                    </w:rPr>
                    <w:t>/</w:t>
                  </w:r>
                </w:p>
              </w:tc>
            </w:tr>
            <w:tr w14:paraId="3D47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Merge w:val="continue"/>
                  <w:vAlign w:val="center"/>
                </w:tcPr>
                <w:p w14:paraId="375119E5">
                  <w:pPr>
                    <w:jc w:val="center"/>
                    <w:rPr>
                      <w:rFonts w:hint="eastAsia"/>
                      <w:color w:val="FF0000"/>
                      <w:kern w:val="0"/>
                      <w:sz w:val="22"/>
                      <w:szCs w:val="22"/>
                      <w:vertAlign w:val="baseline"/>
                    </w:rPr>
                  </w:pPr>
                </w:p>
              </w:tc>
              <w:tc>
                <w:tcPr>
                  <w:tcW w:w="612" w:type="pct"/>
                  <w:vAlign w:val="center"/>
                </w:tcPr>
                <w:p w14:paraId="185D7913">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92#</w:t>
                  </w:r>
                </w:p>
              </w:tc>
              <w:tc>
                <w:tcPr>
                  <w:tcW w:w="1371" w:type="pct"/>
                  <w:vAlign w:val="center"/>
                </w:tcPr>
                <w:p w14:paraId="15AB4EC7">
                  <w:pPr>
                    <w:jc w:val="center"/>
                    <w:rPr>
                      <w:rFonts w:hint="eastAsia"/>
                      <w:color w:val="FF0000"/>
                      <w:kern w:val="0"/>
                      <w:sz w:val="22"/>
                      <w:szCs w:val="22"/>
                      <w:vertAlign w:val="baseline"/>
                    </w:rPr>
                  </w:pPr>
                  <w:r>
                    <w:rPr>
                      <w:rFonts w:hint="eastAsia"/>
                      <w:color w:val="FF0000"/>
                      <w:kern w:val="0"/>
                      <w:sz w:val="22"/>
                      <w:szCs w:val="22"/>
                      <w:vertAlign w:val="baseline"/>
                    </w:rPr>
                    <w:t>5.</w:t>
                  </w:r>
                  <w:r>
                    <w:rPr>
                      <w:rFonts w:hint="eastAsia"/>
                      <w:color w:val="FF0000"/>
                      <w:kern w:val="0"/>
                      <w:sz w:val="22"/>
                      <w:szCs w:val="22"/>
                      <w:vertAlign w:val="baseline"/>
                      <w:lang w:val="en-US" w:eastAsia="zh-CN"/>
                    </w:rPr>
                    <w:t>9</w:t>
                  </w:r>
                  <w:r>
                    <w:rPr>
                      <w:rFonts w:hint="eastAsia"/>
                      <w:color w:val="FF0000"/>
                      <w:kern w:val="0"/>
                      <w:sz w:val="22"/>
                      <w:szCs w:val="22"/>
                      <w:vertAlign w:val="baseline"/>
                    </w:rPr>
                    <w:t>t/d（</w:t>
                  </w:r>
                  <w:r>
                    <w:rPr>
                      <w:rFonts w:hint="eastAsia"/>
                      <w:color w:val="FF0000"/>
                      <w:kern w:val="0"/>
                      <w:sz w:val="22"/>
                      <w:szCs w:val="22"/>
                      <w:vertAlign w:val="baseline"/>
                      <w:lang w:val="en-US" w:eastAsia="zh-CN"/>
                    </w:rPr>
                    <w:t>2150</w:t>
                  </w:r>
                  <w:r>
                    <w:rPr>
                      <w:rFonts w:hint="eastAsia"/>
                      <w:color w:val="FF0000"/>
                      <w:kern w:val="0"/>
                      <w:sz w:val="22"/>
                      <w:szCs w:val="22"/>
                      <w:vertAlign w:val="baseline"/>
                    </w:rPr>
                    <w:t>/a）</w:t>
                  </w:r>
                </w:p>
              </w:tc>
              <w:tc>
                <w:tcPr>
                  <w:tcW w:w="1371" w:type="pct"/>
                  <w:shd w:val="clear" w:color="auto" w:fill="auto"/>
                  <w:vAlign w:val="center"/>
                </w:tcPr>
                <w:p w14:paraId="1DD4F4FE">
                  <w:pPr>
                    <w:jc w:val="center"/>
                    <w:rPr>
                      <w:rFonts w:hint="eastAsia" w:ascii="Times New Roman" w:hAnsi="Times New Roman" w:eastAsia="宋体" w:cs="Times New Roman"/>
                      <w:color w:val="FF0000"/>
                      <w:kern w:val="0"/>
                      <w:sz w:val="22"/>
                      <w:szCs w:val="22"/>
                      <w:vertAlign w:val="baseline"/>
                      <w:lang w:val="en-US" w:eastAsia="zh-CN" w:bidi="ar-SA"/>
                    </w:rPr>
                  </w:pPr>
                  <w:r>
                    <w:rPr>
                      <w:rFonts w:hint="eastAsia"/>
                      <w:color w:val="FF0000"/>
                      <w:kern w:val="0"/>
                      <w:sz w:val="22"/>
                      <w:szCs w:val="22"/>
                      <w:vertAlign w:val="baseline"/>
                      <w:lang w:val="en-US" w:eastAsia="zh-CN"/>
                    </w:rPr>
                    <w:t>6.3</w:t>
                  </w:r>
                  <w:r>
                    <w:rPr>
                      <w:rFonts w:hint="eastAsia"/>
                      <w:color w:val="FF0000"/>
                      <w:kern w:val="0"/>
                      <w:sz w:val="22"/>
                      <w:szCs w:val="22"/>
                      <w:vertAlign w:val="baseline"/>
                    </w:rPr>
                    <w:t>t/d（</w:t>
                  </w:r>
                  <w:r>
                    <w:rPr>
                      <w:rFonts w:hint="eastAsia"/>
                      <w:color w:val="FF0000"/>
                      <w:kern w:val="0"/>
                      <w:sz w:val="22"/>
                      <w:szCs w:val="22"/>
                      <w:vertAlign w:val="baseline"/>
                      <w:lang w:val="en-US" w:eastAsia="zh-CN"/>
                    </w:rPr>
                    <w:t>2300</w:t>
                  </w:r>
                  <w:r>
                    <w:rPr>
                      <w:rFonts w:hint="eastAsia"/>
                      <w:color w:val="FF0000"/>
                      <w:kern w:val="0"/>
                      <w:sz w:val="22"/>
                      <w:szCs w:val="22"/>
                      <w:vertAlign w:val="baseline"/>
                    </w:rPr>
                    <w:t>/a）</w:t>
                  </w:r>
                </w:p>
              </w:tc>
              <w:tc>
                <w:tcPr>
                  <w:tcW w:w="898" w:type="pct"/>
                  <w:vAlign w:val="center"/>
                </w:tcPr>
                <w:p w14:paraId="49D54F90">
                  <w:pPr>
                    <w:jc w:val="center"/>
                    <w:rPr>
                      <w:rFonts w:hint="eastAsia" w:eastAsia="宋体"/>
                      <w:color w:val="FF0000"/>
                      <w:kern w:val="0"/>
                      <w:sz w:val="22"/>
                      <w:szCs w:val="22"/>
                      <w:vertAlign w:val="baseline"/>
                      <w:lang w:val="en-US" w:eastAsia="zh-CN"/>
                    </w:rPr>
                  </w:pPr>
                  <w:r>
                    <w:rPr>
                      <w:rFonts w:hint="eastAsia"/>
                      <w:color w:val="FF0000"/>
                      <w:kern w:val="0"/>
                      <w:sz w:val="22"/>
                      <w:szCs w:val="22"/>
                      <w:vertAlign w:val="baseline"/>
                      <w:lang w:val="en-US" w:eastAsia="zh-CN"/>
                    </w:rPr>
                    <w:t>/</w:t>
                  </w:r>
                </w:p>
              </w:tc>
            </w:tr>
            <w:tr w14:paraId="0E2D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Merge w:val="continue"/>
                  <w:vAlign w:val="center"/>
                </w:tcPr>
                <w:p w14:paraId="2780728C">
                  <w:pPr>
                    <w:jc w:val="center"/>
                    <w:rPr>
                      <w:rFonts w:hint="eastAsia"/>
                      <w:color w:val="FF0000"/>
                      <w:kern w:val="0"/>
                      <w:sz w:val="22"/>
                      <w:szCs w:val="22"/>
                      <w:vertAlign w:val="baseline"/>
                    </w:rPr>
                  </w:pPr>
                </w:p>
              </w:tc>
              <w:tc>
                <w:tcPr>
                  <w:tcW w:w="612" w:type="pct"/>
                  <w:vAlign w:val="center"/>
                </w:tcPr>
                <w:p w14:paraId="293D6F79">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95#</w:t>
                  </w:r>
                </w:p>
              </w:tc>
              <w:tc>
                <w:tcPr>
                  <w:tcW w:w="1371" w:type="pct"/>
                  <w:vAlign w:val="center"/>
                </w:tcPr>
                <w:p w14:paraId="605A47EB">
                  <w:pPr>
                    <w:jc w:val="center"/>
                    <w:rPr>
                      <w:rFonts w:hint="eastAsia"/>
                      <w:color w:val="FF0000"/>
                      <w:kern w:val="0"/>
                      <w:sz w:val="22"/>
                      <w:szCs w:val="22"/>
                      <w:vertAlign w:val="baseline"/>
                    </w:rPr>
                  </w:pPr>
                  <w:r>
                    <w:rPr>
                      <w:rFonts w:hint="eastAsia"/>
                      <w:color w:val="FF0000"/>
                      <w:kern w:val="0"/>
                      <w:sz w:val="22"/>
                      <w:szCs w:val="22"/>
                      <w:vertAlign w:val="baseline"/>
                      <w:lang w:val="en-US" w:eastAsia="zh-CN"/>
                    </w:rPr>
                    <w:t>3</w:t>
                  </w:r>
                  <w:r>
                    <w:rPr>
                      <w:rFonts w:hint="eastAsia"/>
                      <w:color w:val="FF0000"/>
                      <w:kern w:val="0"/>
                      <w:sz w:val="22"/>
                      <w:szCs w:val="22"/>
                      <w:vertAlign w:val="baseline"/>
                    </w:rPr>
                    <w:t>.</w:t>
                  </w:r>
                  <w:r>
                    <w:rPr>
                      <w:rFonts w:hint="eastAsia"/>
                      <w:color w:val="FF0000"/>
                      <w:kern w:val="0"/>
                      <w:sz w:val="22"/>
                      <w:szCs w:val="22"/>
                      <w:vertAlign w:val="baseline"/>
                      <w:lang w:val="en-US" w:eastAsia="zh-CN"/>
                    </w:rPr>
                    <w:t>7</w:t>
                  </w:r>
                  <w:r>
                    <w:rPr>
                      <w:rFonts w:hint="eastAsia"/>
                      <w:color w:val="FF0000"/>
                      <w:kern w:val="0"/>
                      <w:sz w:val="22"/>
                      <w:szCs w:val="22"/>
                      <w:vertAlign w:val="baseline"/>
                    </w:rPr>
                    <w:t>t/d（</w:t>
                  </w:r>
                  <w:r>
                    <w:rPr>
                      <w:rFonts w:hint="eastAsia"/>
                      <w:color w:val="FF0000"/>
                      <w:kern w:val="0"/>
                      <w:sz w:val="22"/>
                      <w:szCs w:val="22"/>
                      <w:vertAlign w:val="baseline"/>
                      <w:lang w:val="en-US" w:eastAsia="zh-CN"/>
                    </w:rPr>
                    <w:t>1360</w:t>
                  </w:r>
                  <w:r>
                    <w:rPr>
                      <w:rFonts w:hint="eastAsia"/>
                      <w:color w:val="FF0000"/>
                      <w:kern w:val="0"/>
                      <w:sz w:val="22"/>
                      <w:szCs w:val="22"/>
                      <w:vertAlign w:val="baseline"/>
                    </w:rPr>
                    <w:t>/a）</w:t>
                  </w:r>
                </w:p>
              </w:tc>
              <w:tc>
                <w:tcPr>
                  <w:tcW w:w="1371" w:type="pct"/>
                  <w:shd w:val="clear" w:color="auto" w:fill="auto"/>
                  <w:vAlign w:val="center"/>
                </w:tcPr>
                <w:p w14:paraId="76E4407A">
                  <w:pPr>
                    <w:jc w:val="center"/>
                    <w:rPr>
                      <w:rFonts w:hint="eastAsia" w:ascii="Times New Roman" w:hAnsi="Times New Roman" w:eastAsia="宋体" w:cs="Times New Roman"/>
                      <w:color w:val="FF0000"/>
                      <w:kern w:val="0"/>
                      <w:sz w:val="22"/>
                      <w:szCs w:val="22"/>
                      <w:vertAlign w:val="baseline"/>
                      <w:lang w:val="en-US" w:eastAsia="zh-CN" w:bidi="ar-SA"/>
                    </w:rPr>
                  </w:pPr>
                  <w:r>
                    <w:rPr>
                      <w:rFonts w:hint="eastAsia"/>
                      <w:color w:val="FF0000"/>
                      <w:kern w:val="0"/>
                      <w:sz w:val="22"/>
                      <w:szCs w:val="22"/>
                      <w:vertAlign w:val="baseline"/>
                      <w:lang w:val="en-US" w:eastAsia="zh-CN"/>
                    </w:rPr>
                    <w:t>3</w:t>
                  </w:r>
                  <w:r>
                    <w:rPr>
                      <w:rFonts w:hint="eastAsia"/>
                      <w:color w:val="FF0000"/>
                      <w:kern w:val="0"/>
                      <w:sz w:val="22"/>
                      <w:szCs w:val="22"/>
                      <w:vertAlign w:val="baseline"/>
                    </w:rPr>
                    <w:t>.</w:t>
                  </w:r>
                  <w:r>
                    <w:rPr>
                      <w:rFonts w:hint="eastAsia"/>
                      <w:color w:val="FF0000"/>
                      <w:kern w:val="0"/>
                      <w:sz w:val="22"/>
                      <w:szCs w:val="22"/>
                      <w:vertAlign w:val="baseline"/>
                      <w:lang w:val="en-US" w:eastAsia="zh-CN"/>
                    </w:rPr>
                    <w:t>8</w:t>
                  </w:r>
                  <w:r>
                    <w:rPr>
                      <w:rFonts w:hint="eastAsia"/>
                      <w:color w:val="FF0000"/>
                      <w:kern w:val="0"/>
                      <w:sz w:val="22"/>
                      <w:szCs w:val="22"/>
                      <w:vertAlign w:val="baseline"/>
                    </w:rPr>
                    <w:t>t/d（</w:t>
                  </w:r>
                  <w:r>
                    <w:rPr>
                      <w:rFonts w:hint="eastAsia"/>
                      <w:color w:val="FF0000"/>
                      <w:kern w:val="0"/>
                      <w:sz w:val="22"/>
                      <w:szCs w:val="22"/>
                      <w:vertAlign w:val="baseline"/>
                      <w:lang w:val="en-US" w:eastAsia="zh-CN"/>
                    </w:rPr>
                    <w:t>1400</w:t>
                  </w:r>
                  <w:r>
                    <w:rPr>
                      <w:rFonts w:hint="eastAsia"/>
                      <w:color w:val="FF0000"/>
                      <w:kern w:val="0"/>
                      <w:sz w:val="22"/>
                      <w:szCs w:val="22"/>
                      <w:vertAlign w:val="baseline"/>
                    </w:rPr>
                    <w:t>/a）</w:t>
                  </w:r>
                </w:p>
              </w:tc>
              <w:tc>
                <w:tcPr>
                  <w:tcW w:w="898" w:type="pct"/>
                  <w:vAlign w:val="center"/>
                </w:tcPr>
                <w:p w14:paraId="79082FB4">
                  <w:pPr>
                    <w:jc w:val="center"/>
                    <w:rPr>
                      <w:rFonts w:hint="eastAsia" w:eastAsia="宋体"/>
                      <w:color w:val="FF0000"/>
                      <w:kern w:val="0"/>
                      <w:sz w:val="22"/>
                      <w:szCs w:val="22"/>
                      <w:vertAlign w:val="baseline"/>
                      <w:lang w:val="en-US" w:eastAsia="zh-CN"/>
                    </w:rPr>
                  </w:pPr>
                  <w:r>
                    <w:rPr>
                      <w:rFonts w:hint="eastAsia"/>
                      <w:color w:val="FF0000"/>
                      <w:kern w:val="0"/>
                      <w:sz w:val="22"/>
                      <w:szCs w:val="22"/>
                      <w:vertAlign w:val="baseline"/>
                      <w:lang w:val="en-US" w:eastAsia="zh-CN"/>
                    </w:rPr>
                    <w:t>/</w:t>
                  </w:r>
                </w:p>
              </w:tc>
            </w:tr>
            <w:tr w14:paraId="3A3E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47" w:type="pct"/>
                  <w:vMerge w:val="continue"/>
                  <w:vAlign w:val="center"/>
                </w:tcPr>
                <w:p w14:paraId="2C97185B">
                  <w:pPr>
                    <w:jc w:val="center"/>
                    <w:rPr>
                      <w:rFonts w:hint="eastAsia"/>
                      <w:color w:val="FF0000"/>
                      <w:kern w:val="0"/>
                      <w:sz w:val="22"/>
                      <w:szCs w:val="22"/>
                      <w:vertAlign w:val="baseline"/>
                    </w:rPr>
                  </w:pPr>
                </w:p>
              </w:tc>
              <w:tc>
                <w:tcPr>
                  <w:tcW w:w="612" w:type="pct"/>
                  <w:vAlign w:val="center"/>
                </w:tcPr>
                <w:p w14:paraId="5F744FF8">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98#</w:t>
                  </w:r>
                </w:p>
              </w:tc>
              <w:tc>
                <w:tcPr>
                  <w:tcW w:w="1371" w:type="pct"/>
                  <w:vAlign w:val="center"/>
                </w:tcPr>
                <w:p w14:paraId="1941D095">
                  <w:pPr>
                    <w:jc w:val="center"/>
                    <w:rPr>
                      <w:rFonts w:hint="eastAsia"/>
                      <w:color w:val="FF0000"/>
                      <w:kern w:val="0"/>
                      <w:sz w:val="22"/>
                      <w:szCs w:val="22"/>
                      <w:vertAlign w:val="baseline"/>
                    </w:rPr>
                  </w:pPr>
                  <w:r>
                    <w:rPr>
                      <w:rFonts w:hint="eastAsia"/>
                      <w:color w:val="FF0000"/>
                      <w:kern w:val="0"/>
                      <w:sz w:val="22"/>
                      <w:szCs w:val="22"/>
                      <w:vertAlign w:val="baseline"/>
                      <w:lang w:val="en-US" w:eastAsia="zh-CN"/>
                    </w:rPr>
                    <w:t>0</w:t>
                  </w:r>
                </w:p>
              </w:tc>
              <w:tc>
                <w:tcPr>
                  <w:tcW w:w="1371" w:type="pct"/>
                  <w:shd w:val="clear" w:color="auto" w:fill="auto"/>
                  <w:vAlign w:val="center"/>
                </w:tcPr>
                <w:p w14:paraId="27EAE983">
                  <w:pPr>
                    <w:jc w:val="center"/>
                    <w:rPr>
                      <w:rFonts w:hint="eastAsia" w:ascii="Times New Roman" w:hAnsi="Times New Roman" w:eastAsia="宋体" w:cs="Times New Roman"/>
                      <w:color w:val="FF0000"/>
                      <w:kern w:val="0"/>
                      <w:sz w:val="22"/>
                      <w:szCs w:val="22"/>
                      <w:vertAlign w:val="baseline"/>
                      <w:lang w:val="en-US" w:eastAsia="zh-CN" w:bidi="ar-SA"/>
                    </w:rPr>
                  </w:pPr>
                  <w:r>
                    <w:rPr>
                      <w:rFonts w:hint="eastAsia"/>
                      <w:color w:val="FF0000"/>
                      <w:kern w:val="0"/>
                      <w:sz w:val="22"/>
                      <w:szCs w:val="22"/>
                      <w:vertAlign w:val="baseline"/>
                      <w:lang w:val="en-US" w:eastAsia="zh-CN"/>
                    </w:rPr>
                    <w:t>1.2</w:t>
                  </w:r>
                  <w:r>
                    <w:rPr>
                      <w:rFonts w:hint="eastAsia"/>
                      <w:color w:val="FF0000"/>
                      <w:kern w:val="0"/>
                      <w:sz w:val="22"/>
                      <w:szCs w:val="22"/>
                      <w:vertAlign w:val="baseline"/>
                    </w:rPr>
                    <w:t>t/d（</w:t>
                  </w:r>
                  <w:r>
                    <w:rPr>
                      <w:rFonts w:hint="eastAsia"/>
                      <w:color w:val="FF0000"/>
                      <w:kern w:val="0"/>
                      <w:sz w:val="22"/>
                      <w:szCs w:val="22"/>
                      <w:vertAlign w:val="baseline"/>
                      <w:lang w:val="en-US" w:eastAsia="zh-CN"/>
                    </w:rPr>
                    <w:t>450</w:t>
                  </w:r>
                  <w:r>
                    <w:rPr>
                      <w:rFonts w:hint="eastAsia"/>
                      <w:color w:val="FF0000"/>
                      <w:kern w:val="0"/>
                      <w:sz w:val="22"/>
                      <w:szCs w:val="22"/>
                      <w:vertAlign w:val="baseline"/>
                    </w:rPr>
                    <w:t>/a）</w:t>
                  </w:r>
                </w:p>
              </w:tc>
              <w:tc>
                <w:tcPr>
                  <w:tcW w:w="898" w:type="pct"/>
                  <w:vAlign w:val="center"/>
                </w:tcPr>
                <w:p w14:paraId="57A843D5">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本次新增</w:t>
                  </w:r>
                </w:p>
              </w:tc>
            </w:tr>
            <w:tr w14:paraId="6793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pct"/>
                  <w:gridSpan w:val="2"/>
                  <w:vAlign w:val="center"/>
                </w:tcPr>
                <w:p w14:paraId="6F7AD1DC">
                  <w:pPr>
                    <w:jc w:val="center"/>
                    <w:rPr>
                      <w:rFonts w:hint="default"/>
                      <w:color w:val="FF0000"/>
                      <w:kern w:val="0"/>
                      <w:sz w:val="22"/>
                      <w:szCs w:val="22"/>
                      <w:vertAlign w:val="baseline"/>
                      <w:lang w:val="en-US"/>
                    </w:rPr>
                  </w:pPr>
                  <w:r>
                    <w:rPr>
                      <w:rFonts w:hint="eastAsia"/>
                      <w:color w:val="FF0000"/>
                      <w:kern w:val="0"/>
                      <w:sz w:val="22"/>
                      <w:szCs w:val="22"/>
                      <w:vertAlign w:val="baseline"/>
                      <w:lang w:val="en-US" w:eastAsia="zh-CN"/>
                    </w:rPr>
                    <w:t>洗车服务</w:t>
                  </w:r>
                </w:p>
              </w:tc>
              <w:tc>
                <w:tcPr>
                  <w:tcW w:w="1371" w:type="pct"/>
                  <w:vAlign w:val="center"/>
                </w:tcPr>
                <w:p w14:paraId="10E90C2A">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0</w:t>
                  </w:r>
                </w:p>
              </w:tc>
              <w:tc>
                <w:tcPr>
                  <w:tcW w:w="1371" w:type="pct"/>
                  <w:shd w:val="clear" w:color="auto" w:fill="auto"/>
                  <w:vAlign w:val="center"/>
                </w:tcPr>
                <w:p w14:paraId="22111C3B">
                  <w:pPr>
                    <w:jc w:val="center"/>
                    <w:rPr>
                      <w:rFonts w:hint="eastAsia" w:ascii="Times New Roman" w:hAnsi="Times New Roman" w:eastAsia="宋体" w:cs="Times New Roman"/>
                      <w:color w:val="FF0000"/>
                      <w:kern w:val="0"/>
                      <w:sz w:val="22"/>
                      <w:szCs w:val="22"/>
                      <w:vertAlign w:val="baseline"/>
                      <w:lang w:val="en-US" w:eastAsia="zh-CN" w:bidi="ar-SA"/>
                    </w:rPr>
                  </w:pPr>
                  <w:r>
                    <w:rPr>
                      <w:rFonts w:hint="eastAsia"/>
                      <w:color w:val="FF0000"/>
                      <w:kern w:val="0"/>
                      <w:sz w:val="22"/>
                      <w:szCs w:val="22"/>
                      <w:vertAlign w:val="baseline"/>
                      <w:lang w:val="en-US" w:eastAsia="zh-CN"/>
                    </w:rPr>
                    <w:t>30辆/d（10950辆/a）</w:t>
                  </w:r>
                </w:p>
              </w:tc>
              <w:tc>
                <w:tcPr>
                  <w:tcW w:w="898" w:type="pct"/>
                  <w:vAlign w:val="center"/>
                </w:tcPr>
                <w:p w14:paraId="311BB5B9">
                  <w:pPr>
                    <w:jc w:val="center"/>
                    <w:rPr>
                      <w:rFonts w:hint="default" w:eastAsia="宋体"/>
                      <w:color w:val="FF0000"/>
                      <w:kern w:val="0"/>
                      <w:sz w:val="22"/>
                      <w:szCs w:val="22"/>
                      <w:vertAlign w:val="baseline"/>
                      <w:lang w:val="en-US" w:eastAsia="zh-CN"/>
                    </w:rPr>
                  </w:pPr>
                  <w:r>
                    <w:rPr>
                      <w:rFonts w:hint="eastAsia"/>
                      <w:color w:val="FF0000"/>
                      <w:kern w:val="0"/>
                      <w:sz w:val="22"/>
                      <w:szCs w:val="22"/>
                      <w:vertAlign w:val="baseline"/>
                      <w:lang w:val="en-US" w:eastAsia="zh-CN"/>
                    </w:rPr>
                    <w:t>本次新增</w:t>
                  </w:r>
                </w:p>
              </w:tc>
            </w:tr>
          </w:tbl>
          <w:p w14:paraId="079C6F8D">
            <w:pPr>
              <w:adjustRightInd w:val="0"/>
              <w:snapToGrid w:val="0"/>
              <w:spacing w:line="460" w:lineRule="exact"/>
              <w:jc w:val="left"/>
              <w:rPr>
                <w:b/>
                <w:sz w:val="26"/>
                <w:szCs w:val="26"/>
              </w:rPr>
            </w:pPr>
            <w:r>
              <w:rPr>
                <w:b/>
                <w:sz w:val="26"/>
                <w:szCs w:val="26"/>
              </w:rPr>
              <w:t>2.</w:t>
            </w:r>
            <w:r>
              <w:rPr>
                <w:rFonts w:hint="eastAsia"/>
                <w:b/>
                <w:sz w:val="26"/>
                <w:szCs w:val="26"/>
                <w:lang w:val="en-US" w:eastAsia="zh-CN"/>
              </w:rPr>
              <w:t>4</w:t>
            </w:r>
            <w:r>
              <w:rPr>
                <w:b/>
                <w:sz w:val="26"/>
                <w:szCs w:val="26"/>
              </w:rPr>
              <w:t>主要</w:t>
            </w:r>
            <w:r>
              <w:rPr>
                <w:rFonts w:hint="eastAsia"/>
                <w:b/>
                <w:sz w:val="26"/>
                <w:szCs w:val="26"/>
              </w:rPr>
              <w:t>设</w:t>
            </w:r>
            <w:r>
              <w:rPr>
                <w:b/>
                <w:sz w:val="26"/>
                <w:szCs w:val="26"/>
              </w:rPr>
              <w:t>备</w:t>
            </w:r>
          </w:p>
          <w:p w14:paraId="117F26B9">
            <w:pPr>
              <w:adjustRightInd w:val="0"/>
              <w:snapToGrid w:val="0"/>
              <w:spacing w:line="460" w:lineRule="exact"/>
              <w:ind w:firstLine="520" w:firstLineChars="200"/>
              <w:rPr>
                <w:bCs/>
                <w:sz w:val="26"/>
                <w:szCs w:val="26"/>
              </w:rPr>
            </w:pPr>
            <w:r>
              <w:rPr>
                <w:bCs/>
                <w:sz w:val="26"/>
                <w:szCs w:val="26"/>
              </w:rPr>
              <w:t>对照《产业结构调整指导目录（20</w:t>
            </w:r>
            <w:r>
              <w:rPr>
                <w:rFonts w:hint="eastAsia"/>
                <w:bCs/>
                <w:sz w:val="26"/>
                <w:szCs w:val="26"/>
              </w:rPr>
              <w:t>24</w:t>
            </w:r>
            <w:r>
              <w:rPr>
                <w:bCs/>
                <w:sz w:val="26"/>
                <w:szCs w:val="26"/>
              </w:rPr>
              <w:t>年本）》、工信部《高耗能落后机电设备（产品）淘汰目录》及工信部工产业〔2010〕第122号《部分工业行业淘汰落后生产工艺装备和产品指导目录（2010年本）》，本项目所用设备</w:t>
            </w:r>
            <w:r>
              <w:rPr>
                <w:rFonts w:hint="eastAsia"/>
                <w:bCs/>
                <w:sz w:val="26"/>
                <w:szCs w:val="26"/>
                <w:lang w:val="en-US" w:eastAsia="zh-CN"/>
              </w:rPr>
              <w:t>均</w:t>
            </w:r>
            <w:r>
              <w:rPr>
                <w:bCs/>
                <w:sz w:val="26"/>
                <w:szCs w:val="26"/>
              </w:rPr>
              <w:t>不属于淘汰落后设备。</w:t>
            </w:r>
            <w:r>
              <w:rPr>
                <w:rFonts w:hint="eastAsia"/>
                <w:bCs/>
                <w:sz w:val="26"/>
                <w:szCs w:val="26"/>
              </w:rPr>
              <w:t>本项目</w:t>
            </w:r>
            <w:r>
              <w:rPr>
                <w:rFonts w:hint="eastAsia"/>
                <w:bCs/>
                <w:sz w:val="26"/>
                <w:szCs w:val="26"/>
                <w:lang w:val="en-US" w:eastAsia="zh-CN"/>
              </w:rPr>
              <w:t>现有</w:t>
            </w:r>
            <w:r>
              <w:rPr>
                <w:rFonts w:hint="eastAsia"/>
                <w:bCs/>
                <w:sz w:val="26"/>
                <w:szCs w:val="26"/>
              </w:rPr>
              <w:t>工程</w:t>
            </w:r>
            <w:r>
              <w:rPr>
                <w:rFonts w:hint="eastAsia"/>
                <w:bCs/>
                <w:sz w:val="26"/>
                <w:szCs w:val="26"/>
                <w:lang w:val="en-US" w:eastAsia="zh-CN"/>
              </w:rPr>
              <w:t>改造更新</w:t>
            </w:r>
            <w:r>
              <w:rPr>
                <w:rFonts w:hint="eastAsia"/>
                <w:bCs/>
                <w:sz w:val="26"/>
                <w:szCs w:val="26"/>
              </w:rPr>
              <w:t>设备及本项目新增设备情况</w:t>
            </w:r>
            <w:r>
              <w:rPr>
                <w:bCs/>
                <w:sz w:val="26"/>
                <w:szCs w:val="26"/>
              </w:rPr>
              <w:t>如下表：</w:t>
            </w:r>
          </w:p>
          <w:p w14:paraId="22BA9037">
            <w:pPr>
              <w:adjustRightInd w:val="0"/>
              <w:snapToGrid w:val="0"/>
              <w:spacing w:line="240" w:lineRule="auto"/>
              <w:jc w:val="center"/>
              <w:rPr>
                <w:kern w:val="0"/>
                <w:sz w:val="26"/>
                <w:szCs w:val="26"/>
              </w:rPr>
            </w:pPr>
            <w:r>
              <w:rPr>
                <w:rFonts w:hint="eastAsia"/>
                <w:kern w:val="0"/>
                <w:sz w:val="22"/>
                <w:szCs w:val="22"/>
              </w:rPr>
              <w:t>表2.3-</w:t>
            </w:r>
            <w:r>
              <w:rPr>
                <w:rFonts w:hint="eastAsia"/>
                <w:kern w:val="0"/>
                <w:sz w:val="22"/>
                <w:szCs w:val="22"/>
                <w:lang w:val="en-US" w:eastAsia="zh-CN"/>
              </w:rPr>
              <w:t>3  改扩建项目</w:t>
            </w:r>
            <w:r>
              <w:rPr>
                <w:rFonts w:hint="eastAsia"/>
                <w:kern w:val="0"/>
                <w:sz w:val="22"/>
                <w:szCs w:val="22"/>
              </w:rPr>
              <w:t>主要设备一览表</w:t>
            </w:r>
            <w:r>
              <w:rPr>
                <w:rFonts w:hint="eastAsia"/>
                <w:kern w:val="0"/>
                <w:sz w:val="22"/>
                <w:szCs w:val="22"/>
                <w:lang w:val="en-US" w:eastAsia="zh-CN"/>
              </w:rPr>
              <w:t xml:space="preserve">  </w:t>
            </w:r>
            <w:r>
              <w:rPr>
                <w:rFonts w:hint="eastAsia"/>
                <w:kern w:val="0"/>
                <w:sz w:val="22"/>
                <w:szCs w:val="22"/>
              </w:rPr>
              <w:t>单位：台</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682"/>
              <w:gridCol w:w="1867"/>
              <w:gridCol w:w="715"/>
              <w:gridCol w:w="1048"/>
              <w:gridCol w:w="700"/>
              <w:gridCol w:w="1048"/>
              <w:gridCol w:w="1340"/>
            </w:tblGrid>
            <w:tr w14:paraId="2BED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restart"/>
                  <w:vAlign w:val="center"/>
                </w:tcPr>
                <w:p w14:paraId="453346B8">
                  <w:pPr>
                    <w:adjustRightInd w:val="0"/>
                    <w:snapToGrid w:val="0"/>
                    <w:jc w:val="center"/>
                    <w:rPr>
                      <w:kern w:val="0"/>
                      <w:sz w:val="22"/>
                      <w:szCs w:val="22"/>
                    </w:rPr>
                  </w:pPr>
                  <w:r>
                    <w:rPr>
                      <w:kern w:val="0"/>
                      <w:sz w:val="22"/>
                      <w:szCs w:val="22"/>
                    </w:rPr>
                    <w:t>序号</w:t>
                  </w:r>
                </w:p>
              </w:tc>
              <w:tc>
                <w:tcPr>
                  <w:tcW w:w="714" w:type="dxa"/>
                  <w:vMerge w:val="restart"/>
                  <w:vAlign w:val="center"/>
                </w:tcPr>
                <w:p w14:paraId="5B2CC8B3">
                  <w:pPr>
                    <w:adjustRightInd w:val="0"/>
                    <w:snapToGrid w:val="0"/>
                    <w:jc w:val="center"/>
                    <w:rPr>
                      <w:kern w:val="0"/>
                      <w:sz w:val="22"/>
                      <w:szCs w:val="22"/>
                    </w:rPr>
                  </w:pPr>
                  <w:r>
                    <w:rPr>
                      <w:kern w:val="0"/>
                      <w:sz w:val="22"/>
                      <w:szCs w:val="22"/>
                    </w:rPr>
                    <w:t>设备类型</w:t>
                  </w:r>
                </w:p>
              </w:tc>
              <w:tc>
                <w:tcPr>
                  <w:tcW w:w="2027" w:type="dxa"/>
                  <w:vMerge w:val="restart"/>
                  <w:vAlign w:val="center"/>
                </w:tcPr>
                <w:p w14:paraId="601C5C48">
                  <w:pPr>
                    <w:adjustRightInd w:val="0"/>
                    <w:snapToGrid w:val="0"/>
                    <w:jc w:val="center"/>
                    <w:rPr>
                      <w:kern w:val="0"/>
                      <w:sz w:val="22"/>
                      <w:szCs w:val="22"/>
                    </w:rPr>
                  </w:pPr>
                  <w:r>
                    <w:rPr>
                      <w:kern w:val="0"/>
                      <w:sz w:val="22"/>
                      <w:szCs w:val="22"/>
                    </w:rPr>
                    <w:t>设备名称</w:t>
                  </w:r>
                </w:p>
              </w:tc>
              <w:tc>
                <w:tcPr>
                  <w:tcW w:w="1617" w:type="dxa"/>
                  <w:gridSpan w:val="2"/>
                  <w:vAlign w:val="center"/>
                </w:tcPr>
                <w:p w14:paraId="0398085C">
                  <w:pPr>
                    <w:adjustRightInd w:val="0"/>
                    <w:snapToGrid w:val="0"/>
                    <w:jc w:val="center"/>
                    <w:rPr>
                      <w:color w:val="FF0000"/>
                      <w:kern w:val="0"/>
                      <w:sz w:val="22"/>
                      <w:szCs w:val="22"/>
                    </w:rPr>
                  </w:pPr>
                  <w:r>
                    <w:rPr>
                      <w:rFonts w:hint="eastAsia"/>
                      <w:color w:val="FF0000"/>
                      <w:kern w:val="0"/>
                      <w:sz w:val="22"/>
                      <w:szCs w:val="22"/>
                      <w:lang w:val="en-US" w:eastAsia="zh-CN"/>
                    </w:rPr>
                    <w:t>项目改造前</w:t>
                  </w:r>
                </w:p>
              </w:tc>
              <w:tc>
                <w:tcPr>
                  <w:tcW w:w="1644" w:type="dxa"/>
                  <w:gridSpan w:val="2"/>
                  <w:vAlign w:val="center"/>
                </w:tcPr>
                <w:p w14:paraId="0E8E4BF2">
                  <w:pPr>
                    <w:adjustRightInd w:val="0"/>
                    <w:snapToGrid w:val="0"/>
                    <w:jc w:val="center"/>
                    <w:rPr>
                      <w:rFonts w:hint="eastAsia"/>
                      <w:color w:val="FF0000"/>
                      <w:kern w:val="0"/>
                      <w:sz w:val="22"/>
                      <w:szCs w:val="22"/>
                      <w:lang w:val="en-US" w:eastAsia="zh-CN"/>
                    </w:rPr>
                  </w:pPr>
                  <w:r>
                    <w:rPr>
                      <w:rFonts w:hint="eastAsia"/>
                      <w:color w:val="FF0000"/>
                      <w:kern w:val="0"/>
                      <w:sz w:val="22"/>
                      <w:szCs w:val="22"/>
                      <w:lang w:val="en-US" w:eastAsia="zh-CN"/>
                    </w:rPr>
                    <w:t>项目改造</w:t>
                  </w:r>
                  <w:r>
                    <w:rPr>
                      <w:color w:val="FF0000"/>
                      <w:kern w:val="0"/>
                      <w:sz w:val="22"/>
                      <w:szCs w:val="22"/>
                    </w:rPr>
                    <w:t>后</w:t>
                  </w:r>
                </w:p>
              </w:tc>
              <w:tc>
                <w:tcPr>
                  <w:tcW w:w="1375" w:type="dxa"/>
                  <w:vMerge w:val="restart"/>
                  <w:vAlign w:val="center"/>
                </w:tcPr>
                <w:p w14:paraId="688E3378">
                  <w:pPr>
                    <w:adjustRightInd w:val="0"/>
                    <w:snapToGrid w:val="0"/>
                    <w:jc w:val="center"/>
                    <w:rPr>
                      <w:color w:val="FF0000"/>
                      <w:kern w:val="0"/>
                      <w:sz w:val="22"/>
                      <w:szCs w:val="22"/>
                    </w:rPr>
                  </w:pPr>
                  <w:r>
                    <w:rPr>
                      <w:color w:val="FF0000"/>
                      <w:kern w:val="0"/>
                      <w:sz w:val="22"/>
                      <w:szCs w:val="22"/>
                    </w:rPr>
                    <w:t>备注</w:t>
                  </w:r>
                </w:p>
              </w:tc>
            </w:tr>
            <w:tr w14:paraId="149D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continue"/>
                  <w:vAlign w:val="center"/>
                </w:tcPr>
                <w:p w14:paraId="6D3E6F2A">
                  <w:pPr>
                    <w:adjustRightInd w:val="0"/>
                    <w:snapToGrid w:val="0"/>
                    <w:jc w:val="center"/>
                    <w:rPr>
                      <w:kern w:val="0"/>
                      <w:sz w:val="22"/>
                      <w:szCs w:val="22"/>
                    </w:rPr>
                  </w:pPr>
                </w:p>
              </w:tc>
              <w:tc>
                <w:tcPr>
                  <w:tcW w:w="714" w:type="dxa"/>
                  <w:vMerge w:val="continue"/>
                  <w:vAlign w:val="center"/>
                </w:tcPr>
                <w:p w14:paraId="61979C00">
                  <w:pPr>
                    <w:adjustRightInd w:val="0"/>
                    <w:snapToGrid w:val="0"/>
                    <w:jc w:val="center"/>
                    <w:rPr>
                      <w:kern w:val="0"/>
                      <w:sz w:val="22"/>
                      <w:szCs w:val="22"/>
                    </w:rPr>
                  </w:pPr>
                </w:p>
              </w:tc>
              <w:tc>
                <w:tcPr>
                  <w:tcW w:w="2027" w:type="dxa"/>
                  <w:vMerge w:val="continue"/>
                  <w:vAlign w:val="center"/>
                </w:tcPr>
                <w:p w14:paraId="0E92EE7C">
                  <w:pPr>
                    <w:adjustRightInd w:val="0"/>
                    <w:snapToGrid w:val="0"/>
                    <w:jc w:val="center"/>
                    <w:rPr>
                      <w:kern w:val="0"/>
                      <w:sz w:val="22"/>
                      <w:szCs w:val="22"/>
                    </w:rPr>
                  </w:pPr>
                </w:p>
              </w:tc>
              <w:tc>
                <w:tcPr>
                  <w:tcW w:w="734" w:type="dxa"/>
                  <w:vAlign w:val="center"/>
                </w:tcPr>
                <w:p w14:paraId="6F77ED89">
                  <w:pPr>
                    <w:adjustRightInd w:val="0"/>
                    <w:snapToGrid w:val="0"/>
                    <w:jc w:val="center"/>
                    <w:rPr>
                      <w:rFonts w:hint="eastAsia"/>
                      <w:color w:val="FF0000"/>
                      <w:kern w:val="0"/>
                      <w:sz w:val="22"/>
                      <w:szCs w:val="22"/>
                      <w:lang w:val="en-US" w:eastAsia="zh-CN"/>
                    </w:rPr>
                  </w:pPr>
                  <w:r>
                    <w:rPr>
                      <w:color w:val="FF0000"/>
                      <w:kern w:val="0"/>
                      <w:sz w:val="22"/>
                      <w:szCs w:val="22"/>
                    </w:rPr>
                    <w:t>数量</w:t>
                  </w:r>
                </w:p>
              </w:tc>
              <w:tc>
                <w:tcPr>
                  <w:tcW w:w="883" w:type="dxa"/>
                  <w:vAlign w:val="center"/>
                </w:tcPr>
                <w:p w14:paraId="2FB238F5">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规格</w:t>
                  </w:r>
                </w:p>
              </w:tc>
              <w:tc>
                <w:tcPr>
                  <w:tcW w:w="717" w:type="dxa"/>
                  <w:vAlign w:val="center"/>
                </w:tcPr>
                <w:p w14:paraId="4B09CF29">
                  <w:pPr>
                    <w:adjustRightInd w:val="0"/>
                    <w:snapToGrid w:val="0"/>
                    <w:jc w:val="center"/>
                    <w:rPr>
                      <w:rFonts w:hint="eastAsia"/>
                      <w:color w:val="FF0000"/>
                      <w:kern w:val="0"/>
                      <w:sz w:val="22"/>
                      <w:szCs w:val="22"/>
                      <w:lang w:val="en-US" w:eastAsia="zh-CN"/>
                    </w:rPr>
                  </w:pPr>
                  <w:r>
                    <w:rPr>
                      <w:color w:val="FF0000"/>
                      <w:kern w:val="0"/>
                      <w:sz w:val="22"/>
                      <w:szCs w:val="22"/>
                    </w:rPr>
                    <w:t>数量</w:t>
                  </w:r>
                </w:p>
              </w:tc>
              <w:tc>
                <w:tcPr>
                  <w:tcW w:w="927" w:type="dxa"/>
                  <w:vAlign w:val="center"/>
                </w:tcPr>
                <w:p w14:paraId="7F48600D">
                  <w:pPr>
                    <w:adjustRightInd w:val="0"/>
                    <w:snapToGrid w:val="0"/>
                    <w:jc w:val="center"/>
                    <w:rPr>
                      <w:rFonts w:hint="eastAsia"/>
                      <w:color w:val="FF0000"/>
                      <w:kern w:val="0"/>
                      <w:sz w:val="22"/>
                      <w:szCs w:val="22"/>
                      <w:lang w:val="en-US" w:eastAsia="zh-CN"/>
                    </w:rPr>
                  </w:pPr>
                  <w:r>
                    <w:rPr>
                      <w:rFonts w:hint="eastAsia"/>
                      <w:color w:val="FF0000"/>
                      <w:kern w:val="0"/>
                      <w:sz w:val="22"/>
                      <w:szCs w:val="22"/>
                      <w:lang w:val="en-US" w:eastAsia="zh-CN"/>
                    </w:rPr>
                    <w:t>规格</w:t>
                  </w:r>
                </w:p>
              </w:tc>
              <w:tc>
                <w:tcPr>
                  <w:tcW w:w="1375" w:type="dxa"/>
                  <w:vMerge w:val="continue"/>
                  <w:vAlign w:val="center"/>
                </w:tcPr>
                <w:p w14:paraId="364F24D0">
                  <w:pPr>
                    <w:adjustRightInd w:val="0"/>
                    <w:snapToGrid w:val="0"/>
                    <w:jc w:val="center"/>
                    <w:rPr>
                      <w:color w:val="FF0000"/>
                      <w:kern w:val="0"/>
                      <w:sz w:val="22"/>
                      <w:szCs w:val="22"/>
                    </w:rPr>
                  </w:pPr>
                </w:p>
              </w:tc>
            </w:tr>
            <w:tr w14:paraId="545F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5B1058C9">
                  <w:pPr>
                    <w:adjustRightInd w:val="0"/>
                    <w:snapToGrid w:val="0"/>
                    <w:jc w:val="center"/>
                    <w:rPr>
                      <w:kern w:val="0"/>
                      <w:sz w:val="22"/>
                      <w:szCs w:val="22"/>
                    </w:rPr>
                  </w:pPr>
                  <w:r>
                    <w:rPr>
                      <w:kern w:val="0"/>
                      <w:sz w:val="22"/>
                      <w:szCs w:val="22"/>
                    </w:rPr>
                    <w:t>1</w:t>
                  </w:r>
                </w:p>
              </w:tc>
              <w:tc>
                <w:tcPr>
                  <w:tcW w:w="714" w:type="dxa"/>
                  <w:vMerge w:val="restart"/>
                  <w:vAlign w:val="center"/>
                </w:tcPr>
                <w:p w14:paraId="1D2AF26F">
                  <w:pPr>
                    <w:adjustRightInd w:val="0"/>
                    <w:snapToGrid w:val="0"/>
                    <w:jc w:val="center"/>
                    <w:rPr>
                      <w:kern w:val="0"/>
                      <w:sz w:val="22"/>
                      <w:szCs w:val="22"/>
                    </w:rPr>
                  </w:pPr>
                  <w:r>
                    <w:rPr>
                      <w:kern w:val="0"/>
                      <w:sz w:val="22"/>
                      <w:szCs w:val="22"/>
                    </w:rPr>
                    <w:t>工艺设备</w:t>
                  </w:r>
                </w:p>
              </w:tc>
              <w:tc>
                <w:tcPr>
                  <w:tcW w:w="2027" w:type="dxa"/>
                  <w:vAlign w:val="center"/>
                </w:tcPr>
                <w:p w14:paraId="13A356E2">
                  <w:pPr>
                    <w:adjustRightInd w:val="0"/>
                    <w:snapToGrid w:val="0"/>
                    <w:jc w:val="center"/>
                    <w:rPr>
                      <w:kern w:val="0"/>
                      <w:sz w:val="22"/>
                      <w:szCs w:val="22"/>
                    </w:rPr>
                  </w:pPr>
                  <w:r>
                    <w:rPr>
                      <w:kern w:val="0"/>
                      <w:sz w:val="22"/>
                      <w:szCs w:val="22"/>
                    </w:rPr>
                    <w:t>92#汽油地埋油罐</w:t>
                  </w:r>
                </w:p>
              </w:tc>
              <w:tc>
                <w:tcPr>
                  <w:tcW w:w="734" w:type="dxa"/>
                  <w:vAlign w:val="center"/>
                </w:tcPr>
                <w:p w14:paraId="7C48C54F">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1</w:t>
                  </w:r>
                </w:p>
              </w:tc>
              <w:tc>
                <w:tcPr>
                  <w:tcW w:w="883" w:type="dxa"/>
                  <w:vAlign w:val="center"/>
                </w:tcPr>
                <w:p w14:paraId="0EC66429">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15m</w:t>
                  </w:r>
                  <w:r>
                    <w:rPr>
                      <w:rFonts w:hint="eastAsia"/>
                      <w:color w:val="FF0000"/>
                      <w:kern w:val="0"/>
                      <w:sz w:val="22"/>
                      <w:szCs w:val="22"/>
                      <w:vertAlign w:val="superscript"/>
                      <w:lang w:val="en-US" w:eastAsia="zh-CN"/>
                    </w:rPr>
                    <w:t>3</w:t>
                  </w:r>
                </w:p>
              </w:tc>
              <w:tc>
                <w:tcPr>
                  <w:tcW w:w="717" w:type="dxa"/>
                  <w:vAlign w:val="center"/>
                </w:tcPr>
                <w:p w14:paraId="6BFD2121">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3325DA90">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30m</w:t>
                  </w:r>
                  <w:r>
                    <w:rPr>
                      <w:rFonts w:hint="eastAsia"/>
                      <w:color w:val="FF0000"/>
                      <w:kern w:val="0"/>
                      <w:sz w:val="22"/>
                      <w:szCs w:val="22"/>
                      <w:vertAlign w:val="superscript"/>
                      <w:lang w:val="en-US" w:eastAsia="zh-CN"/>
                    </w:rPr>
                    <w:t>3</w:t>
                  </w:r>
                </w:p>
              </w:tc>
              <w:tc>
                <w:tcPr>
                  <w:tcW w:w="1375" w:type="dxa"/>
                  <w:vAlign w:val="center"/>
                </w:tcPr>
                <w:p w14:paraId="68ECDD95">
                  <w:pPr>
                    <w:adjustRightInd w:val="0"/>
                    <w:snapToGrid w:val="0"/>
                    <w:jc w:val="center"/>
                    <w:rPr>
                      <w:rFonts w:hint="default" w:eastAsia="宋体"/>
                      <w:color w:val="FF0000"/>
                      <w:kern w:val="0"/>
                      <w:sz w:val="22"/>
                      <w:szCs w:val="22"/>
                      <w:vertAlign w:val="baseline"/>
                      <w:lang w:val="en-US" w:eastAsia="zh-CN"/>
                    </w:rPr>
                  </w:pPr>
                  <w:r>
                    <w:rPr>
                      <w:rFonts w:hint="eastAsia"/>
                      <w:color w:val="FF0000"/>
                      <w:kern w:val="0"/>
                      <w:sz w:val="22"/>
                      <w:szCs w:val="22"/>
                      <w:lang w:val="en-US" w:eastAsia="zh-CN"/>
                    </w:rPr>
                    <w:t>现有储罐</w:t>
                  </w:r>
                  <w:r>
                    <w:rPr>
                      <w:color w:val="FF0000"/>
                      <w:kern w:val="0"/>
                      <w:sz w:val="22"/>
                      <w:szCs w:val="22"/>
                    </w:rPr>
                    <w:t>拆除</w:t>
                  </w:r>
                  <w:r>
                    <w:rPr>
                      <w:rFonts w:hint="eastAsia"/>
                      <w:color w:val="FF0000"/>
                      <w:kern w:val="0"/>
                      <w:sz w:val="22"/>
                      <w:szCs w:val="22"/>
                      <w:lang w:eastAsia="zh-CN"/>
                    </w:rPr>
                    <w:t>，</w:t>
                  </w:r>
                  <w:r>
                    <w:rPr>
                      <w:rFonts w:hint="eastAsia"/>
                      <w:color w:val="FF0000"/>
                      <w:kern w:val="0"/>
                      <w:sz w:val="22"/>
                      <w:szCs w:val="22"/>
                      <w:lang w:val="en-US" w:eastAsia="zh-CN"/>
                    </w:rPr>
                    <w:t>新增</w:t>
                  </w:r>
                  <w:r>
                    <w:rPr>
                      <w:bCs/>
                      <w:color w:val="FF0000"/>
                      <w:sz w:val="22"/>
                      <w:szCs w:val="22"/>
                    </w:rPr>
                    <w:t>V=30m</w:t>
                  </w:r>
                  <w:r>
                    <w:rPr>
                      <w:bCs/>
                      <w:color w:val="FF0000"/>
                      <w:sz w:val="22"/>
                      <w:szCs w:val="22"/>
                      <w:vertAlign w:val="superscript"/>
                    </w:rPr>
                    <w:t>3</w:t>
                  </w:r>
                  <w:r>
                    <w:rPr>
                      <w:rFonts w:hint="eastAsia"/>
                      <w:bCs/>
                      <w:color w:val="FF0000"/>
                      <w:sz w:val="22"/>
                      <w:szCs w:val="22"/>
                      <w:vertAlign w:val="baseline"/>
                      <w:lang w:val="en-US" w:eastAsia="zh-CN"/>
                    </w:rPr>
                    <w:t>1座</w:t>
                  </w:r>
                </w:p>
              </w:tc>
            </w:tr>
            <w:tr w14:paraId="0734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68018FE8">
                  <w:pPr>
                    <w:adjustRightInd w:val="0"/>
                    <w:snapToGrid w:val="0"/>
                    <w:jc w:val="center"/>
                    <w:rPr>
                      <w:kern w:val="0"/>
                      <w:sz w:val="22"/>
                      <w:szCs w:val="22"/>
                    </w:rPr>
                  </w:pPr>
                  <w:r>
                    <w:rPr>
                      <w:kern w:val="0"/>
                      <w:sz w:val="22"/>
                      <w:szCs w:val="22"/>
                    </w:rPr>
                    <w:t>2</w:t>
                  </w:r>
                </w:p>
              </w:tc>
              <w:tc>
                <w:tcPr>
                  <w:tcW w:w="714" w:type="dxa"/>
                  <w:vMerge w:val="continue"/>
                  <w:vAlign w:val="center"/>
                </w:tcPr>
                <w:p w14:paraId="1EFA98FD">
                  <w:pPr>
                    <w:adjustRightInd w:val="0"/>
                    <w:snapToGrid w:val="0"/>
                    <w:jc w:val="center"/>
                    <w:rPr>
                      <w:kern w:val="0"/>
                      <w:sz w:val="22"/>
                      <w:szCs w:val="22"/>
                    </w:rPr>
                  </w:pPr>
                </w:p>
              </w:tc>
              <w:tc>
                <w:tcPr>
                  <w:tcW w:w="2027" w:type="dxa"/>
                  <w:vAlign w:val="center"/>
                </w:tcPr>
                <w:p w14:paraId="0ECBF65C">
                  <w:pPr>
                    <w:adjustRightInd w:val="0"/>
                    <w:snapToGrid w:val="0"/>
                    <w:jc w:val="center"/>
                    <w:rPr>
                      <w:kern w:val="0"/>
                      <w:sz w:val="22"/>
                      <w:szCs w:val="22"/>
                    </w:rPr>
                  </w:pPr>
                  <w:r>
                    <w:rPr>
                      <w:kern w:val="0"/>
                      <w:sz w:val="22"/>
                      <w:szCs w:val="22"/>
                    </w:rPr>
                    <w:t>95#汽油地埋油罐</w:t>
                  </w:r>
                </w:p>
              </w:tc>
              <w:tc>
                <w:tcPr>
                  <w:tcW w:w="734" w:type="dxa"/>
                  <w:vAlign w:val="center"/>
                </w:tcPr>
                <w:p w14:paraId="41B6CFBC">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1D4C2E80">
                  <w:pPr>
                    <w:adjustRightInd w:val="0"/>
                    <w:snapToGrid w:val="0"/>
                    <w:jc w:val="center"/>
                    <w:rPr>
                      <w:color w:val="FF0000"/>
                      <w:kern w:val="0"/>
                      <w:sz w:val="22"/>
                      <w:szCs w:val="22"/>
                    </w:rPr>
                  </w:pPr>
                  <w:r>
                    <w:rPr>
                      <w:rFonts w:hint="eastAsia"/>
                      <w:color w:val="FF0000"/>
                      <w:kern w:val="0"/>
                      <w:sz w:val="22"/>
                      <w:szCs w:val="22"/>
                      <w:lang w:val="en-US" w:eastAsia="zh-CN"/>
                    </w:rPr>
                    <w:t>15m</w:t>
                  </w:r>
                  <w:r>
                    <w:rPr>
                      <w:rFonts w:hint="eastAsia"/>
                      <w:color w:val="FF0000"/>
                      <w:kern w:val="0"/>
                      <w:sz w:val="22"/>
                      <w:szCs w:val="22"/>
                      <w:vertAlign w:val="superscript"/>
                      <w:lang w:val="en-US" w:eastAsia="zh-CN"/>
                    </w:rPr>
                    <w:t>3</w:t>
                  </w:r>
                </w:p>
              </w:tc>
              <w:tc>
                <w:tcPr>
                  <w:tcW w:w="717" w:type="dxa"/>
                  <w:vAlign w:val="center"/>
                </w:tcPr>
                <w:p w14:paraId="0EA097C1">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06A33949">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30m</w:t>
                  </w:r>
                  <w:r>
                    <w:rPr>
                      <w:rFonts w:hint="eastAsia"/>
                      <w:color w:val="FF0000"/>
                      <w:kern w:val="0"/>
                      <w:sz w:val="22"/>
                      <w:szCs w:val="22"/>
                      <w:vertAlign w:val="superscript"/>
                      <w:lang w:val="en-US" w:eastAsia="zh-CN"/>
                    </w:rPr>
                    <w:t>3</w:t>
                  </w:r>
                </w:p>
              </w:tc>
              <w:tc>
                <w:tcPr>
                  <w:tcW w:w="1375" w:type="dxa"/>
                  <w:vAlign w:val="center"/>
                </w:tcPr>
                <w:p w14:paraId="41EA83E1">
                  <w:pPr>
                    <w:adjustRightInd w:val="0"/>
                    <w:snapToGrid w:val="0"/>
                    <w:jc w:val="center"/>
                    <w:rPr>
                      <w:rFonts w:hint="default" w:eastAsia="宋体"/>
                      <w:color w:val="FF0000"/>
                      <w:kern w:val="0"/>
                      <w:sz w:val="22"/>
                      <w:szCs w:val="22"/>
                      <w:vertAlign w:val="baseline"/>
                      <w:lang w:val="en-US" w:eastAsia="zh-CN"/>
                    </w:rPr>
                  </w:pPr>
                  <w:r>
                    <w:rPr>
                      <w:rFonts w:hint="eastAsia"/>
                      <w:color w:val="FF0000"/>
                      <w:kern w:val="0"/>
                      <w:sz w:val="22"/>
                      <w:szCs w:val="22"/>
                      <w:lang w:val="en-US" w:eastAsia="zh-CN"/>
                    </w:rPr>
                    <w:t>现有储罐</w:t>
                  </w:r>
                  <w:r>
                    <w:rPr>
                      <w:color w:val="FF0000"/>
                      <w:kern w:val="0"/>
                      <w:sz w:val="22"/>
                      <w:szCs w:val="22"/>
                    </w:rPr>
                    <w:t>拆除</w:t>
                  </w:r>
                  <w:r>
                    <w:rPr>
                      <w:rFonts w:hint="eastAsia"/>
                      <w:color w:val="FF0000"/>
                      <w:kern w:val="0"/>
                      <w:sz w:val="22"/>
                      <w:szCs w:val="22"/>
                      <w:lang w:eastAsia="zh-CN"/>
                    </w:rPr>
                    <w:t>，</w:t>
                  </w:r>
                  <w:r>
                    <w:rPr>
                      <w:rFonts w:hint="eastAsia"/>
                      <w:color w:val="FF0000"/>
                      <w:kern w:val="0"/>
                      <w:sz w:val="22"/>
                      <w:szCs w:val="22"/>
                      <w:lang w:val="en-US" w:eastAsia="zh-CN"/>
                    </w:rPr>
                    <w:t>新增</w:t>
                  </w:r>
                  <w:r>
                    <w:rPr>
                      <w:bCs/>
                      <w:color w:val="FF0000"/>
                      <w:sz w:val="22"/>
                      <w:szCs w:val="28"/>
                    </w:rPr>
                    <w:t>V=30m</w:t>
                  </w:r>
                  <w:r>
                    <w:rPr>
                      <w:bCs/>
                      <w:color w:val="FF0000"/>
                      <w:sz w:val="22"/>
                      <w:szCs w:val="28"/>
                      <w:vertAlign w:val="superscript"/>
                    </w:rPr>
                    <w:t>3</w:t>
                  </w:r>
                  <w:r>
                    <w:rPr>
                      <w:rFonts w:hint="eastAsia"/>
                      <w:bCs/>
                      <w:color w:val="FF0000"/>
                      <w:sz w:val="22"/>
                      <w:szCs w:val="28"/>
                      <w:vertAlign w:val="baseline"/>
                      <w:lang w:val="en-US" w:eastAsia="zh-CN"/>
                    </w:rPr>
                    <w:t>1座</w:t>
                  </w:r>
                </w:p>
              </w:tc>
            </w:tr>
            <w:tr w14:paraId="1667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06F371B2">
                  <w:pPr>
                    <w:adjustRightInd w:val="0"/>
                    <w:snapToGrid w:val="0"/>
                    <w:jc w:val="center"/>
                    <w:rPr>
                      <w:kern w:val="0"/>
                      <w:sz w:val="22"/>
                      <w:szCs w:val="22"/>
                    </w:rPr>
                  </w:pPr>
                  <w:r>
                    <w:rPr>
                      <w:kern w:val="0"/>
                      <w:sz w:val="22"/>
                      <w:szCs w:val="22"/>
                    </w:rPr>
                    <w:t>3</w:t>
                  </w:r>
                </w:p>
              </w:tc>
              <w:tc>
                <w:tcPr>
                  <w:tcW w:w="714" w:type="dxa"/>
                  <w:vMerge w:val="continue"/>
                  <w:vAlign w:val="center"/>
                </w:tcPr>
                <w:p w14:paraId="445D76BB">
                  <w:pPr>
                    <w:adjustRightInd w:val="0"/>
                    <w:snapToGrid w:val="0"/>
                    <w:jc w:val="center"/>
                    <w:rPr>
                      <w:kern w:val="0"/>
                      <w:sz w:val="22"/>
                      <w:szCs w:val="22"/>
                    </w:rPr>
                  </w:pPr>
                </w:p>
              </w:tc>
              <w:tc>
                <w:tcPr>
                  <w:tcW w:w="2027" w:type="dxa"/>
                  <w:vAlign w:val="center"/>
                </w:tcPr>
                <w:p w14:paraId="50A0BF32">
                  <w:pPr>
                    <w:adjustRightInd w:val="0"/>
                    <w:snapToGrid w:val="0"/>
                    <w:jc w:val="center"/>
                    <w:rPr>
                      <w:kern w:val="0"/>
                      <w:sz w:val="22"/>
                      <w:szCs w:val="22"/>
                    </w:rPr>
                  </w:pPr>
                  <w:r>
                    <w:rPr>
                      <w:kern w:val="0"/>
                      <w:sz w:val="22"/>
                      <w:szCs w:val="22"/>
                    </w:rPr>
                    <w:t>98#汽油地埋油罐</w:t>
                  </w:r>
                </w:p>
              </w:tc>
              <w:tc>
                <w:tcPr>
                  <w:tcW w:w="734" w:type="dxa"/>
                  <w:vAlign w:val="center"/>
                </w:tcPr>
                <w:p w14:paraId="41D3C425">
                  <w:pPr>
                    <w:adjustRightInd w:val="0"/>
                    <w:snapToGrid w:val="0"/>
                    <w:jc w:val="center"/>
                    <w:rPr>
                      <w:color w:val="FF0000"/>
                      <w:kern w:val="0"/>
                      <w:sz w:val="22"/>
                      <w:szCs w:val="22"/>
                    </w:rPr>
                  </w:pPr>
                  <w:r>
                    <w:rPr>
                      <w:color w:val="FF0000"/>
                      <w:kern w:val="0"/>
                      <w:sz w:val="22"/>
                      <w:szCs w:val="22"/>
                    </w:rPr>
                    <w:t>0</w:t>
                  </w:r>
                </w:p>
              </w:tc>
              <w:tc>
                <w:tcPr>
                  <w:tcW w:w="883" w:type="dxa"/>
                  <w:vAlign w:val="center"/>
                </w:tcPr>
                <w:p w14:paraId="74189741">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6E6F9451">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36B086CA">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20m</w:t>
                  </w:r>
                  <w:r>
                    <w:rPr>
                      <w:rFonts w:hint="eastAsia"/>
                      <w:color w:val="FF0000"/>
                      <w:kern w:val="0"/>
                      <w:sz w:val="22"/>
                      <w:szCs w:val="22"/>
                      <w:vertAlign w:val="superscript"/>
                      <w:lang w:val="en-US" w:eastAsia="zh-CN"/>
                    </w:rPr>
                    <w:t>3</w:t>
                  </w:r>
                </w:p>
              </w:tc>
              <w:tc>
                <w:tcPr>
                  <w:tcW w:w="1375" w:type="dxa"/>
                  <w:vAlign w:val="center"/>
                </w:tcPr>
                <w:p w14:paraId="4999E36F">
                  <w:pPr>
                    <w:adjustRightInd w:val="0"/>
                    <w:snapToGrid w:val="0"/>
                    <w:jc w:val="center"/>
                    <w:rPr>
                      <w:rFonts w:hint="default" w:eastAsia="宋体"/>
                      <w:color w:val="FF0000"/>
                      <w:kern w:val="0"/>
                      <w:sz w:val="22"/>
                      <w:szCs w:val="22"/>
                      <w:vertAlign w:val="baseline"/>
                      <w:lang w:val="en-US" w:eastAsia="zh-CN"/>
                    </w:rPr>
                  </w:pPr>
                  <w:r>
                    <w:rPr>
                      <w:color w:val="FF0000"/>
                      <w:kern w:val="0"/>
                      <w:sz w:val="22"/>
                      <w:szCs w:val="22"/>
                    </w:rPr>
                    <w:t>新增</w:t>
                  </w:r>
                  <w:r>
                    <w:rPr>
                      <w:bCs/>
                      <w:color w:val="FF0000"/>
                      <w:sz w:val="22"/>
                      <w:szCs w:val="22"/>
                    </w:rPr>
                    <w:t>V=20m</w:t>
                  </w:r>
                  <w:r>
                    <w:rPr>
                      <w:bCs/>
                      <w:color w:val="FF0000"/>
                      <w:sz w:val="22"/>
                      <w:szCs w:val="22"/>
                      <w:vertAlign w:val="superscript"/>
                    </w:rPr>
                    <w:t>3</w:t>
                  </w:r>
                  <w:r>
                    <w:rPr>
                      <w:rFonts w:hint="eastAsia"/>
                      <w:bCs/>
                      <w:color w:val="FF0000"/>
                      <w:sz w:val="22"/>
                      <w:szCs w:val="22"/>
                      <w:vertAlign w:val="baseline"/>
                      <w:lang w:val="en-US" w:eastAsia="zh-CN"/>
                    </w:rPr>
                    <w:t>1座</w:t>
                  </w:r>
                </w:p>
              </w:tc>
            </w:tr>
            <w:tr w14:paraId="7B1D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2E6C6848">
                  <w:pPr>
                    <w:adjustRightInd w:val="0"/>
                    <w:snapToGrid w:val="0"/>
                    <w:jc w:val="center"/>
                    <w:rPr>
                      <w:kern w:val="0"/>
                      <w:sz w:val="22"/>
                      <w:szCs w:val="22"/>
                    </w:rPr>
                  </w:pPr>
                  <w:r>
                    <w:rPr>
                      <w:kern w:val="0"/>
                      <w:sz w:val="22"/>
                      <w:szCs w:val="22"/>
                    </w:rPr>
                    <w:t>4</w:t>
                  </w:r>
                </w:p>
              </w:tc>
              <w:tc>
                <w:tcPr>
                  <w:tcW w:w="714" w:type="dxa"/>
                  <w:vMerge w:val="continue"/>
                  <w:vAlign w:val="center"/>
                </w:tcPr>
                <w:p w14:paraId="0FE963AE">
                  <w:pPr>
                    <w:adjustRightInd w:val="0"/>
                    <w:snapToGrid w:val="0"/>
                    <w:jc w:val="center"/>
                    <w:rPr>
                      <w:kern w:val="0"/>
                      <w:sz w:val="22"/>
                      <w:szCs w:val="22"/>
                    </w:rPr>
                  </w:pPr>
                </w:p>
              </w:tc>
              <w:tc>
                <w:tcPr>
                  <w:tcW w:w="2027" w:type="dxa"/>
                  <w:vAlign w:val="center"/>
                </w:tcPr>
                <w:p w14:paraId="07A1D5AB">
                  <w:pPr>
                    <w:adjustRightInd w:val="0"/>
                    <w:snapToGrid w:val="0"/>
                    <w:jc w:val="center"/>
                    <w:rPr>
                      <w:kern w:val="0"/>
                      <w:sz w:val="22"/>
                      <w:szCs w:val="22"/>
                    </w:rPr>
                  </w:pPr>
                  <w:r>
                    <w:rPr>
                      <w:kern w:val="0"/>
                      <w:sz w:val="22"/>
                      <w:szCs w:val="22"/>
                    </w:rPr>
                    <w:t>0#柴油地埋油罐</w:t>
                  </w:r>
                </w:p>
              </w:tc>
              <w:tc>
                <w:tcPr>
                  <w:tcW w:w="734" w:type="dxa"/>
                  <w:vAlign w:val="center"/>
                </w:tcPr>
                <w:p w14:paraId="668EB139">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2</w:t>
                  </w:r>
                </w:p>
              </w:tc>
              <w:tc>
                <w:tcPr>
                  <w:tcW w:w="883" w:type="dxa"/>
                  <w:vAlign w:val="center"/>
                </w:tcPr>
                <w:p w14:paraId="0B31C914">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15m</w:t>
                  </w:r>
                  <w:r>
                    <w:rPr>
                      <w:rFonts w:hint="eastAsia"/>
                      <w:color w:val="FF0000"/>
                      <w:kern w:val="0"/>
                      <w:sz w:val="22"/>
                      <w:szCs w:val="22"/>
                      <w:vertAlign w:val="superscript"/>
                      <w:lang w:val="en-US" w:eastAsia="zh-CN"/>
                    </w:rPr>
                    <w:t>3</w:t>
                  </w:r>
                </w:p>
              </w:tc>
              <w:tc>
                <w:tcPr>
                  <w:tcW w:w="717" w:type="dxa"/>
                  <w:vAlign w:val="center"/>
                </w:tcPr>
                <w:p w14:paraId="0FFBB0ED">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21BDCC35">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20m</w:t>
                  </w:r>
                  <w:r>
                    <w:rPr>
                      <w:rFonts w:hint="eastAsia"/>
                      <w:color w:val="FF0000"/>
                      <w:kern w:val="0"/>
                      <w:sz w:val="22"/>
                      <w:szCs w:val="22"/>
                      <w:vertAlign w:val="superscript"/>
                      <w:lang w:val="en-US" w:eastAsia="zh-CN"/>
                    </w:rPr>
                    <w:t>3</w:t>
                  </w:r>
                </w:p>
              </w:tc>
              <w:tc>
                <w:tcPr>
                  <w:tcW w:w="1375" w:type="dxa"/>
                  <w:vAlign w:val="center"/>
                </w:tcPr>
                <w:p w14:paraId="45BF3177">
                  <w:pPr>
                    <w:adjustRightInd w:val="0"/>
                    <w:snapToGrid w:val="0"/>
                    <w:jc w:val="center"/>
                    <w:rPr>
                      <w:color w:val="FF0000"/>
                      <w:kern w:val="0"/>
                      <w:sz w:val="22"/>
                      <w:szCs w:val="22"/>
                    </w:rPr>
                  </w:pPr>
                  <w:r>
                    <w:rPr>
                      <w:color w:val="FF0000"/>
                      <w:kern w:val="0"/>
                      <w:sz w:val="22"/>
                      <w:szCs w:val="22"/>
                    </w:rPr>
                    <w:t>拆除后</w:t>
                  </w:r>
                  <w:r>
                    <w:rPr>
                      <w:rFonts w:hint="eastAsia"/>
                      <w:color w:val="FF0000"/>
                      <w:kern w:val="0"/>
                      <w:sz w:val="22"/>
                      <w:szCs w:val="22"/>
                      <w:lang w:val="en-US" w:eastAsia="zh-CN"/>
                    </w:rPr>
                    <w:t>新增</w:t>
                  </w:r>
                  <w:r>
                    <w:rPr>
                      <w:bCs/>
                      <w:color w:val="FF0000"/>
                      <w:sz w:val="22"/>
                      <w:szCs w:val="22"/>
                    </w:rPr>
                    <w:t>V=20m</w:t>
                  </w:r>
                  <w:r>
                    <w:rPr>
                      <w:bCs/>
                      <w:color w:val="FF0000"/>
                      <w:sz w:val="22"/>
                      <w:szCs w:val="22"/>
                      <w:vertAlign w:val="superscript"/>
                    </w:rPr>
                    <w:t>3</w:t>
                  </w:r>
                </w:p>
              </w:tc>
            </w:tr>
            <w:tr w14:paraId="2E01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238213EA">
                  <w:pPr>
                    <w:adjustRightInd w:val="0"/>
                    <w:snapToGrid w:val="0"/>
                    <w:jc w:val="center"/>
                    <w:rPr>
                      <w:kern w:val="0"/>
                      <w:sz w:val="22"/>
                      <w:szCs w:val="22"/>
                    </w:rPr>
                  </w:pPr>
                  <w:r>
                    <w:rPr>
                      <w:kern w:val="0"/>
                      <w:sz w:val="22"/>
                      <w:szCs w:val="22"/>
                    </w:rPr>
                    <w:t>5</w:t>
                  </w:r>
                </w:p>
              </w:tc>
              <w:tc>
                <w:tcPr>
                  <w:tcW w:w="714" w:type="dxa"/>
                  <w:vMerge w:val="continue"/>
                  <w:vAlign w:val="center"/>
                </w:tcPr>
                <w:p w14:paraId="5042B0F4">
                  <w:pPr>
                    <w:adjustRightInd w:val="0"/>
                    <w:snapToGrid w:val="0"/>
                    <w:jc w:val="center"/>
                    <w:rPr>
                      <w:kern w:val="0"/>
                      <w:sz w:val="22"/>
                      <w:szCs w:val="22"/>
                    </w:rPr>
                  </w:pPr>
                </w:p>
              </w:tc>
              <w:tc>
                <w:tcPr>
                  <w:tcW w:w="2027" w:type="dxa"/>
                  <w:vAlign w:val="center"/>
                </w:tcPr>
                <w:p w14:paraId="298B5C48">
                  <w:pPr>
                    <w:adjustRightInd w:val="0"/>
                    <w:snapToGrid w:val="0"/>
                    <w:jc w:val="center"/>
                    <w:rPr>
                      <w:rFonts w:hint="default" w:eastAsia="宋体"/>
                      <w:kern w:val="0"/>
                      <w:sz w:val="22"/>
                      <w:szCs w:val="22"/>
                      <w:lang w:val="en-US" w:eastAsia="zh-CN"/>
                    </w:rPr>
                  </w:pPr>
                  <w:r>
                    <w:rPr>
                      <w:rFonts w:hint="eastAsia"/>
                      <w:kern w:val="0"/>
                      <w:sz w:val="22"/>
                      <w:szCs w:val="22"/>
                      <w:lang w:val="en-US" w:eastAsia="zh-CN"/>
                    </w:rPr>
                    <w:t>双枪加油机</w:t>
                  </w:r>
                </w:p>
              </w:tc>
              <w:tc>
                <w:tcPr>
                  <w:tcW w:w="734" w:type="dxa"/>
                  <w:vAlign w:val="center"/>
                </w:tcPr>
                <w:p w14:paraId="625FEF40">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2</w:t>
                  </w:r>
                </w:p>
              </w:tc>
              <w:tc>
                <w:tcPr>
                  <w:tcW w:w="883" w:type="dxa"/>
                  <w:vAlign w:val="center"/>
                </w:tcPr>
                <w:p w14:paraId="156A53D4">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双枪</w:t>
                  </w:r>
                </w:p>
              </w:tc>
              <w:tc>
                <w:tcPr>
                  <w:tcW w:w="717" w:type="dxa"/>
                  <w:vAlign w:val="center"/>
                </w:tcPr>
                <w:p w14:paraId="2B1E9CDF">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0</w:t>
                  </w:r>
                </w:p>
              </w:tc>
              <w:tc>
                <w:tcPr>
                  <w:tcW w:w="927" w:type="dxa"/>
                  <w:vAlign w:val="center"/>
                </w:tcPr>
                <w:p w14:paraId="5ABA7024">
                  <w:pPr>
                    <w:adjustRightInd w:val="0"/>
                    <w:snapToGrid w:val="0"/>
                    <w:jc w:val="center"/>
                    <w:rPr>
                      <w:rFonts w:hint="default"/>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5074DAF9">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拆除后淘汰</w:t>
                  </w:r>
                </w:p>
              </w:tc>
            </w:tr>
            <w:tr w14:paraId="4B9E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41E24CFC">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6</w:t>
                  </w:r>
                </w:p>
              </w:tc>
              <w:tc>
                <w:tcPr>
                  <w:tcW w:w="714" w:type="dxa"/>
                  <w:vMerge w:val="continue"/>
                  <w:vAlign w:val="center"/>
                </w:tcPr>
                <w:p w14:paraId="37B3B73E">
                  <w:pPr>
                    <w:adjustRightInd w:val="0"/>
                    <w:snapToGrid w:val="0"/>
                    <w:jc w:val="center"/>
                    <w:rPr>
                      <w:kern w:val="0"/>
                      <w:sz w:val="22"/>
                      <w:szCs w:val="22"/>
                    </w:rPr>
                  </w:pPr>
                </w:p>
              </w:tc>
              <w:tc>
                <w:tcPr>
                  <w:tcW w:w="2027" w:type="dxa"/>
                  <w:shd w:val="clear" w:color="auto" w:fill="auto"/>
                  <w:vAlign w:val="center"/>
                </w:tcPr>
                <w:p w14:paraId="2ACDBBD4">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四枪加油机</w:t>
                  </w:r>
                </w:p>
              </w:tc>
              <w:tc>
                <w:tcPr>
                  <w:tcW w:w="734" w:type="dxa"/>
                  <w:shd w:val="clear" w:color="auto" w:fill="auto"/>
                  <w:vAlign w:val="center"/>
                </w:tcPr>
                <w:p w14:paraId="0D3A51CF">
                  <w:pPr>
                    <w:adjustRightInd w:val="0"/>
                    <w:snapToGrid w:val="0"/>
                    <w:jc w:val="center"/>
                    <w:rPr>
                      <w:rFonts w:hint="eastAsia" w:ascii="Times New Roman" w:hAnsi="Times New Roman" w:eastAsia="宋体" w:cs="Times New Roman"/>
                      <w:color w:val="FF0000"/>
                      <w:kern w:val="0"/>
                      <w:sz w:val="22"/>
                      <w:szCs w:val="22"/>
                      <w:lang w:val="en-US" w:eastAsia="zh-CN" w:bidi="ar-SA"/>
                    </w:rPr>
                  </w:pPr>
                  <w:r>
                    <w:rPr>
                      <w:rFonts w:hint="eastAsia"/>
                      <w:color w:val="FF0000"/>
                      <w:kern w:val="0"/>
                      <w:sz w:val="22"/>
                      <w:szCs w:val="22"/>
                      <w:lang w:val="en-US" w:eastAsia="zh-CN"/>
                    </w:rPr>
                    <w:t>0</w:t>
                  </w:r>
                </w:p>
              </w:tc>
              <w:tc>
                <w:tcPr>
                  <w:tcW w:w="883" w:type="dxa"/>
                  <w:shd w:val="clear" w:color="auto" w:fill="auto"/>
                  <w:vAlign w:val="center"/>
                </w:tcPr>
                <w:p w14:paraId="0A295938">
                  <w:pPr>
                    <w:adjustRightInd w:val="0"/>
                    <w:snapToGrid w:val="0"/>
                    <w:jc w:val="center"/>
                    <w:rPr>
                      <w:rFonts w:hint="eastAsia" w:ascii="Times New Roman" w:hAnsi="Times New Roman" w:eastAsia="宋体" w:cs="Times New Roman"/>
                      <w:color w:val="FF0000"/>
                      <w:kern w:val="0"/>
                      <w:sz w:val="22"/>
                      <w:szCs w:val="22"/>
                      <w:lang w:val="en-US" w:eastAsia="zh-CN" w:bidi="ar-SA"/>
                    </w:rPr>
                  </w:pPr>
                  <w:r>
                    <w:rPr>
                      <w:rFonts w:hint="eastAsia"/>
                      <w:color w:val="FF0000"/>
                      <w:kern w:val="0"/>
                      <w:sz w:val="22"/>
                      <w:szCs w:val="22"/>
                      <w:lang w:val="en-US" w:eastAsia="zh-CN"/>
                    </w:rPr>
                    <w:t>/</w:t>
                  </w:r>
                </w:p>
              </w:tc>
              <w:tc>
                <w:tcPr>
                  <w:tcW w:w="717" w:type="dxa"/>
                  <w:shd w:val="clear" w:color="auto" w:fill="auto"/>
                  <w:vAlign w:val="center"/>
                </w:tcPr>
                <w:p w14:paraId="29AEB600">
                  <w:pPr>
                    <w:adjustRightInd w:val="0"/>
                    <w:snapToGrid w:val="0"/>
                    <w:jc w:val="center"/>
                    <w:rPr>
                      <w:rFonts w:hint="eastAsia" w:ascii="Times New Roman" w:hAnsi="Times New Roman" w:eastAsia="宋体" w:cs="Times New Roman"/>
                      <w:color w:val="FF0000"/>
                      <w:kern w:val="0"/>
                      <w:sz w:val="22"/>
                      <w:szCs w:val="22"/>
                      <w:lang w:val="en-US" w:eastAsia="zh-CN" w:bidi="ar-SA"/>
                    </w:rPr>
                  </w:pPr>
                  <w:r>
                    <w:rPr>
                      <w:rFonts w:hint="eastAsia"/>
                      <w:color w:val="FF0000"/>
                      <w:kern w:val="0"/>
                      <w:sz w:val="22"/>
                      <w:szCs w:val="22"/>
                      <w:lang w:val="en-US" w:eastAsia="zh-CN"/>
                    </w:rPr>
                    <w:t>5</w:t>
                  </w:r>
                </w:p>
              </w:tc>
              <w:tc>
                <w:tcPr>
                  <w:tcW w:w="927" w:type="dxa"/>
                  <w:shd w:val="clear" w:color="auto" w:fill="auto"/>
                  <w:vAlign w:val="center"/>
                </w:tcPr>
                <w:p w14:paraId="4053A63D">
                  <w:pPr>
                    <w:adjustRightInd w:val="0"/>
                    <w:snapToGrid w:val="0"/>
                    <w:jc w:val="center"/>
                    <w:rPr>
                      <w:rFonts w:hint="eastAsia"/>
                      <w:color w:val="FF0000"/>
                      <w:kern w:val="0"/>
                      <w:sz w:val="22"/>
                      <w:szCs w:val="22"/>
                      <w:lang w:val="en-US" w:eastAsia="zh-CN"/>
                    </w:rPr>
                  </w:pPr>
                  <w:r>
                    <w:rPr>
                      <w:color w:val="FF0000"/>
                      <w:kern w:val="0"/>
                      <w:sz w:val="22"/>
                      <w:szCs w:val="22"/>
                    </w:rPr>
                    <w:t>四枪</w:t>
                  </w:r>
                </w:p>
              </w:tc>
              <w:tc>
                <w:tcPr>
                  <w:tcW w:w="1375" w:type="dxa"/>
                  <w:shd w:val="clear" w:color="auto" w:fill="auto"/>
                  <w:vAlign w:val="center"/>
                </w:tcPr>
                <w:p w14:paraId="1BE61EAF">
                  <w:pPr>
                    <w:adjustRightInd w:val="0"/>
                    <w:snapToGrid w:val="0"/>
                    <w:jc w:val="center"/>
                    <w:rPr>
                      <w:rFonts w:ascii="Times New Roman" w:hAnsi="Times New Roman" w:eastAsia="宋体" w:cs="Times New Roman"/>
                      <w:color w:val="FF0000"/>
                      <w:kern w:val="0"/>
                      <w:sz w:val="22"/>
                      <w:szCs w:val="22"/>
                      <w:lang w:val="en-US" w:eastAsia="zh-CN" w:bidi="ar-SA"/>
                    </w:rPr>
                  </w:pPr>
                  <w:r>
                    <w:rPr>
                      <w:rFonts w:hint="eastAsia"/>
                      <w:color w:val="FF0000"/>
                      <w:kern w:val="0"/>
                      <w:sz w:val="22"/>
                      <w:szCs w:val="22"/>
                      <w:lang w:val="en-US" w:eastAsia="zh-CN"/>
                    </w:rPr>
                    <w:t>新增</w:t>
                  </w:r>
                  <w:r>
                    <w:rPr>
                      <w:color w:val="FF0000"/>
                      <w:kern w:val="0"/>
                      <w:sz w:val="22"/>
                      <w:szCs w:val="22"/>
                    </w:rPr>
                    <w:t>，4枪</w:t>
                  </w:r>
                </w:p>
              </w:tc>
            </w:tr>
            <w:tr w14:paraId="2664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7D6BEA6B">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7</w:t>
                  </w:r>
                </w:p>
              </w:tc>
              <w:tc>
                <w:tcPr>
                  <w:tcW w:w="714" w:type="dxa"/>
                  <w:vMerge w:val="continue"/>
                  <w:vAlign w:val="center"/>
                </w:tcPr>
                <w:p w14:paraId="6126A3E2">
                  <w:pPr>
                    <w:adjustRightInd w:val="0"/>
                    <w:snapToGrid w:val="0"/>
                    <w:jc w:val="center"/>
                    <w:rPr>
                      <w:kern w:val="0"/>
                      <w:sz w:val="22"/>
                      <w:szCs w:val="22"/>
                    </w:rPr>
                  </w:pPr>
                </w:p>
              </w:tc>
              <w:tc>
                <w:tcPr>
                  <w:tcW w:w="2027" w:type="dxa"/>
                  <w:vAlign w:val="center"/>
                </w:tcPr>
                <w:p w14:paraId="7566FE96">
                  <w:pPr>
                    <w:adjustRightInd w:val="0"/>
                    <w:snapToGrid w:val="0"/>
                    <w:jc w:val="center"/>
                    <w:rPr>
                      <w:rFonts w:hint="default" w:eastAsia="宋体"/>
                      <w:kern w:val="0"/>
                      <w:sz w:val="22"/>
                      <w:szCs w:val="22"/>
                      <w:lang w:val="en-US" w:eastAsia="zh-CN"/>
                    </w:rPr>
                  </w:pPr>
                  <w:r>
                    <w:rPr>
                      <w:rFonts w:hint="eastAsia"/>
                      <w:kern w:val="0"/>
                      <w:sz w:val="22"/>
                      <w:szCs w:val="22"/>
                      <w:lang w:val="en-US" w:eastAsia="zh-CN"/>
                    </w:rPr>
                    <w:t>六枪加油机</w:t>
                  </w:r>
                </w:p>
              </w:tc>
              <w:tc>
                <w:tcPr>
                  <w:tcW w:w="734" w:type="dxa"/>
                  <w:vAlign w:val="center"/>
                </w:tcPr>
                <w:p w14:paraId="0E07BE4E">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1</w:t>
                  </w:r>
                </w:p>
              </w:tc>
              <w:tc>
                <w:tcPr>
                  <w:tcW w:w="883" w:type="dxa"/>
                  <w:vAlign w:val="center"/>
                </w:tcPr>
                <w:p w14:paraId="128FED08">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六枪</w:t>
                  </w:r>
                </w:p>
              </w:tc>
              <w:tc>
                <w:tcPr>
                  <w:tcW w:w="717" w:type="dxa"/>
                  <w:vAlign w:val="center"/>
                </w:tcPr>
                <w:p w14:paraId="4C1DD462">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1</w:t>
                  </w:r>
                </w:p>
              </w:tc>
              <w:tc>
                <w:tcPr>
                  <w:tcW w:w="927" w:type="dxa"/>
                  <w:vAlign w:val="center"/>
                </w:tcPr>
                <w:p w14:paraId="45882530">
                  <w:pPr>
                    <w:adjustRightInd w:val="0"/>
                    <w:snapToGrid w:val="0"/>
                    <w:jc w:val="center"/>
                    <w:rPr>
                      <w:rFonts w:hint="eastAsia"/>
                      <w:color w:val="FF0000"/>
                      <w:kern w:val="0"/>
                      <w:sz w:val="22"/>
                      <w:szCs w:val="22"/>
                      <w:lang w:val="en-US" w:eastAsia="zh-CN"/>
                    </w:rPr>
                  </w:pPr>
                  <w:r>
                    <w:rPr>
                      <w:rFonts w:hint="eastAsia"/>
                      <w:color w:val="FF0000"/>
                      <w:kern w:val="0"/>
                      <w:sz w:val="22"/>
                      <w:szCs w:val="22"/>
                      <w:lang w:val="en-US" w:eastAsia="zh-CN"/>
                    </w:rPr>
                    <w:t>六枪</w:t>
                  </w:r>
                </w:p>
              </w:tc>
              <w:tc>
                <w:tcPr>
                  <w:tcW w:w="1375" w:type="dxa"/>
                  <w:vAlign w:val="center"/>
                </w:tcPr>
                <w:p w14:paraId="5E2C3637">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利旧现有，6枪</w:t>
                  </w:r>
                </w:p>
              </w:tc>
            </w:tr>
            <w:tr w14:paraId="5842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76138467">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8</w:t>
                  </w:r>
                </w:p>
              </w:tc>
              <w:tc>
                <w:tcPr>
                  <w:tcW w:w="714" w:type="dxa"/>
                  <w:vMerge w:val="continue"/>
                  <w:vAlign w:val="center"/>
                </w:tcPr>
                <w:p w14:paraId="65CB657E">
                  <w:pPr>
                    <w:adjustRightInd w:val="0"/>
                    <w:snapToGrid w:val="0"/>
                    <w:jc w:val="center"/>
                    <w:rPr>
                      <w:kern w:val="0"/>
                      <w:sz w:val="22"/>
                      <w:szCs w:val="22"/>
                    </w:rPr>
                  </w:pPr>
                </w:p>
              </w:tc>
              <w:tc>
                <w:tcPr>
                  <w:tcW w:w="2027" w:type="dxa"/>
                  <w:vAlign w:val="center"/>
                </w:tcPr>
                <w:p w14:paraId="47017933">
                  <w:pPr>
                    <w:adjustRightInd w:val="0"/>
                    <w:snapToGrid w:val="0"/>
                    <w:jc w:val="center"/>
                    <w:rPr>
                      <w:kern w:val="0"/>
                      <w:sz w:val="22"/>
                      <w:szCs w:val="22"/>
                    </w:rPr>
                  </w:pPr>
                  <w:r>
                    <w:rPr>
                      <w:sz w:val="22"/>
                      <w:szCs w:val="22"/>
                    </w:rPr>
                    <w:t>卸油、加油油气回收管道</w:t>
                  </w:r>
                </w:p>
              </w:tc>
              <w:tc>
                <w:tcPr>
                  <w:tcW w:w="734" w:type="dxa"/>
                  <w:vAlign w:val="center"/>
                </w:tcPr>
                <w:p w14:paraId="1E937EFC">
                  <w:pPr>
                    <w:adjustRightInd w:val="0"/>
                    <w:snapToGrid w:val="0"/>
                    <w:jc w:val="center"/>
                    <w:rPr>
                      <w:color w:val="FF0000"/>
                      <w:kern w:val="0"/>
                      <w:sz w:val="22"/>
                      <w:szCs w:val="22"/>
                    </w:rPr>
                  </w:pPr>
                  <w:r>
                    <w:rPr>
                      <w:color w:val="FF0000"/>
                      <w:kern w:val="0"/>
                      <w:sz w:val="22"/>
                      <w:szCs w:val="22"/>
                    </w:rPr>
                    <w:t>3套</w:t>
                  </w:r>
                </w:p>
              </w:tc>
              <w:tc>
                <w:tcPr>
                  <w:tcW w:w="883" w:type="dxa"/>
                  <w:vAlign w:val="center"/>
                </w:tcPr>
                <w:p w14:paraId="1B7B3AC7">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按配置</w:t>
                  </w:r>
                </w:p>
              </w:tc>
              <w:tc>
                <w:tcPr>
                  <w:tcW w:w="717" w:type="dxa"/>
                  <w:vAlign w:val="center"/>
                </w:tcPr>
                <w:p w14:paraId="618AA4BB">
                  <w:pPr>
                    <w:adjustRightInd w:val="0"/>
                    <w:snapToGrid w:val="0"/>
                    <w:jc w:val="center"/>
                    <w:rPr>
                      <w:color w:val="FF0000"/>
                      <w:kern w:val="0"/>
                      <w:sz w:val="22"/>
                      <w:szCs w:val="22"/>
                    </w:rPr>
                  </w:pPr>
                  <w:r>
                    <w:rPr>
                      <w:color w:val="FF0000"/>
                      <w:kern w:val="0"/>
                      <w:sz w:val="22"/>
                      <w:szCs w:val="22"/>
                    </w:rPr>
                    <w:t>4套</w:t>
                  </w:r>
                </w:p>
              </w:tc>
              <w:tc>
                <w:tcPr>
                  <w:tcW w:w="927" w:type="dxa"/>
                  <w:vAlign w:val="center"/>
                </w:tcPr>
                <w:p w14:paraId="7702E666">
                  <w:pPr>
                    <w:adjustRightInd w:val="0"/>
                    <w:snapToGrid w:val="0"/>
                    <w:jc w:val="center"/>
                    <w:rPr>
                      <w:color w:val="FF0000"/>
                      <w:kern w:val="0"/>
                      <w:sz w:val="22"/>
                      <w:szCs w:val="22"/>
                    </w:rPr>
                  </w:pPr>
                  <w:r>
                    <w:rPr>
                      <w:rFonts w:hint="eastAsia"/>
                      <w:color w:val="FF0000"/>
                      <w:kern w:val="0"/>
                      <w:sz w:val="22"/>
                      <w:szCs w:val="22"/>
                      <w:lang w:val="en-US" w:eastAsia="zh-CN"/>
                    </w:rPr>
                    <w:t>按配置</w:t>
                  </w:r>
                </w:p>
              </w:tc>
              <w:tc>
                <w:tcPr>
                  <w:tcW w:w="1375" w:type="dxa"/>
                  <w:vAlign w:val="center"/>
                </w:tcPr>
                <w:p w14:paraId="1EDE7BDE">
                  <w:pPr>
                    <w:adjustRightInd w:val="0"/>
                    <w:snapToGrid w:val="0"/>
                    <w:jc w:val="center"/>
                    <w:rPr>
                      <w:color w:val="FF0000"/>
                      <w:kern w:val="0"/>
                      <w:sz w:val="22"/>
                      <w:szCs w:val="22"/>
                    </w:rPr>
                  </w:pPr>
                  <w:r>
                    <w:rPr>
                      <w:color w:val="FF0000"/>
                      <w:kern w:val="0"/>
                      <w:sz w:val="22"/>
                      <w:szCs w:val="22"/>
                    </w:rPr>
                    <w:t>更替后配套储油罐，新增1套98#配套管道</w:t>
                  </w:r>
                </w:p>
              </w:tc>
            </w:tr>
            <w:tr w14:paraId="1947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25916781">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9</w:t>
                  </w:r>
                </w:p>
              </w:tc>
              <w:tc>
                <w:tcPr>
                  <w:tcW w:w="714" w:type="dxa"/>
                  <w:vMerge w:val="continue"/>
                  <w:vAlign w:val="center"/>
                </w:tcPr>
                <w:p w14:paraId="563C883E">
                  <w:pPr>
                    <w:adjustRightInd w:val="0"/>
                    <w:snapToGrid w:val="0"/>
                    <w:jc w:val="center"/>
                    <w:rPr>
                      <w:kern w:val="0"/>
                      <w:sz w:val="22"/>
                      <w:szCs w:val="22"/>
                    </w:rPr>
                  </w:pPr>
                </w:p>
              </w:tc>
              <w:tc>
                <w:tcPr>
                  <w:tcW w:w="2027" w:type="dxa"/>
                  <w:vAlign w:val="center"/>
                </w:tcPr>
                <w:p w14:paraId="6B439E31">
                  <w:pPr>
                    <w:adjustRightInd w:val="0"/>
                    <w:snapToGrid w:val="0"/>
                    <w:jc w:val="center"/>
                    <w:rPr>
                      <w:sz w:val="22"/>
                      <w:szCs w:val="22"/>
                    </w:rPr>
                  </w:pPr>
                  <w:r>
                    <w:rPr>
                      <w:sz w:val="22"/>
                      <w:szCs w:val="22"/>
                    </w:rPr>
                    <w:t>油气回收系统（组合件套装）</w:t>
                  </w:r>
                </w:p>
              </w:tc>
              <w:tc>
                <w:tcPr>
                  <w:tcW w:w="734" w:type="dxa"/>
                  <w:vAlign w:val="center"/>
                </w:tcPr>
                <w:p w14:paraId="1C18BEAE">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7C57DCDE">
                  <w:pPr>
                    <w:adjustRightInd w:val="0"/>
                    <w:snapToGrid w:val="0"/>
                    <w:jc w:val="center"/>
                    <w:rPr>
                      <w:color w:val="FF0000"/>
                      <w:kern w:val="0"/>
                      <w:sz w:val="22"/>
                      <w:szCs w:val="22"/>
                    </w:rPr>
                  </w:pPr>
                  <w:r>
                    <w:rPr>
                      <w:rFonts w:hint="eastAsia"/>
                      <w:color w:val="FF0000"/>
                      <w:kern w:val="0"/>
                      <w:sz w:val="22"/>
                      <w:szCs w:val="22"/>
                      <w:lang w:val="en-US" w:eastAsia="zh-CN"/>
                    </w:rPr>
                    <w:t>按配置</w:t>
                  </w:r>
                </w:p>
              </w:tc>
              <w:tc>
                <w:tcPr>
                  <w:tcW w:w="717" w:type="dxa"/>
                  <w:vAlign w:val="center"/>
                </w:tcPr>
                <w:p w14:paraId="51C131AD">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75D1C7C3">
                  <w:pPr>
                    <w:adjustRightInd w:val="0"/>
                    <w:snapToGrid w:val="0"/>
                    <w:jc w:val="center"/>
                    <w:rPr>
                      <w:color w:val="FF0000"/>
                      <w:kern w:val="0"/>
                      <w:sz w:val="22"/>
                      <w:szCs w:val="22"/>
                    </w:rPr>
                  </w:pPr>
                  <w:r>
                    <w:rPr>
                      <w:rFonts w:hint="eastAsia"/>
                      <w:color w:val="FF0000"/>
                      <w:kern w:val="0"/>
                      <w:sz w:val="22"/>
                      <w:szCs w:val="22"/>
                      <w:lang w:val="en-US" w:eastAsia="zh-CN"/>
                    </w:rPr>
                    <w:t>按配置</w:t>
                  </w:r>
                </w:p>
              </w:tc>
              <w:tc>
                <w:tcPr>
                  <w:tcW w:w="1375" w:type="dxa"/>
                  <w:vAlign w:val="center"/>
                </w:tcPr>
                <w:p w14:paraId="7B9B8B97">
                  <w:pPr>
                    <w:adjustRightInd w:val="0"/>
                    <w:snapToGrid w:val="0"/>
                    <w:jc w:val="center"/>
                    <w:rPr>
                      <w:color w:val="FF0000"/>
                      <w:kern w:val="0"/>
                      <w:sz w:val="22"/>
                      <w:szCs w:val="22"/>
                    </w:rPr>
                  </w:pPr>
                  <w:r>
                    <w:rPr>
                      <w:color w:val="FF0000"/>
                      <w:kern w:val="0"/>
                      <w:sz w:val="22"/>
                      <w:szCs w:val="22"/>
                    </w:rPr>
                    <w:t>更替</w:t>
                  </w:r>
                </w:p>
              </w:tc>
            </w:tr>
            <w:tr w14:paraId="761D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23EF99C5">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10</w:t>
                  </w:r>
                </w:p>
              </w:tc>
              <w:tc>
                <w:tcPr>
                  <w:tcW w:w="714" w:type="dxa"/>
                  <w:vMerge w:val="continue"/>
                  <w:vAlign w:val="center"/>
                </w:tcPr>
                <w:p w14:paraId="39EAE738">
                  <w:pPr>
                    <w:adjustRightInd w:val="0"/>
                    <w:snapToGrid w:val="0"/>
                    <w:jc w:val="center"/>
                    <w:rPr>
                      <w:kern w:val="0"/>
                      <w:sz w:val="22"/>
                      <w:szCs w:val="22"/>
                    </w:rPr>
                  </w:pPr>
                </w:p>
              </w:tc>
              <w:tc>
                <w:tcPr>
                  <w:tcW w:w="2027" w:type="dxa"/>
                  <w:vAlign w:val="center"/>
                </w:tcPr>
                <w:p w14:paraId="03B52238">
                  <w:pPr>
                    <w:adjustRightInd w:val="0"/>
                    <w:snapToGrid w:val="0"/>
                    <w:jc w:val="center"/>
                    <w:rPr>
                      <w:sz w:val="22"/>
                      <w:szCs w:val="22"/>
                    </w:rPr>
                  </w:pPr>
                  <w:r>
                    <w:rPr>
                      <w:spacing w:val="-4"/>
                      <w:sz w:val="22"/>
                      <w:szCs w:val="22"/>
                    </w:rPr>
                    <w:t>潜油泵</w:t>
                  </w:r>
                </w:p>
              </w:tc>
              <w:tc>
                <w:tcPr>
                  <w:tcW w:w="734" w:type="dxa"/>
                  <w:vAlign w:val="center"/>
                </w:tcPr>
                <w:p w14:paraId="56EE6DC6">
                  <w:pPr>
                    <w:adjustRightInd w:val="0"/>
                    <w:snapToGrid w:val="0"/>
                    <w:jc w:val="center"/>
                    <w:rPr>
                      <w:color w:val="FF0000"/>
                      <w:kern w:val="0"/>
                      <w:sz w:val="22"/>
                      <w:szCs w:val="22"/>
                    </w:rPr>
                  </w:pPr>
                  <w:r>
                    <w:rPr>
                      <w:color w:val="FF0000"/>
                      <w:kern w:val="0"/>
                      <w:sz w:val="22"/>
                      <w:szCs w:val="22"/>
                    </w:rPr>
                    <w:t>4</w:t>
                  </w:r>
                </w:p>
              </w:tc>
              <w:tc>
                <w:tcPr>
                  <w:tcW w:w="883" w:type="dxa"/>
                  <w:vAlign w:val="center"/>
                </w:tcPr>
                <w:p w14:paraId="13F61DF3">
                  <w:pPr>
                    <w:adjustRightInd w:val="0"/>
                    <w:snapToGrid w:val="0"/>
                    <w:jc w:val="center"/>
                    <w:rPr>
                      <w:color w:val="FF0000"/>
                      <w:kern w:val="0"/>
                      <w:sz w:val="22"/>
                      <w:szCs w:val="22"/>
                    </w:rPr>
                  </w:pPr>
                  <w:r>
                    <w:rPr>
                      <w:rFonts w:hint="eastAsia"/>
                      <w:color w:val="FF0000"/>
                      <w:kern w:val="0"/>
                      <w:sz w:val="22"/>
                      <w:szCs w:val="22"/>
                      <w:lang w:val="en-US" w:eastAsia="zh-CN"/>
                    </w:rPr>
                    <w:t>按配置</w:t>
                  </w:r>
                </w:p>
              </w:tc>
              <w:tc>
                <w:tcPr>
                  <w:tcW w:w="717" w:type="dxa"/>
                  <w:vAlign w:val="center"/>
                </w:tcPr>
                <w:p w14:paraId="63E79EA9">
                  <w:pPr>
                    <w:adjustRightInd w:val="0"/>
                    <w:snapToGrid w:val="0"/>
                    <w:jc w:val="center"/>
                    <w:rPr>
                      <w:color w:val="FF0000"/>
                      <w:kern w:val="0"/>
                      <w:sz w:val="22"/>
                      <w:szCs w:val="22"/>
                    </w:rPr>
                  </w:pPr>
                  <w:r>
                    <w:rPr>
                      <w:color w:val="FF0000"/>
                      <w:kern w:val="0"/>
                      <w:sz w:val="22"/>
                      <w:szCs w:val="22"/>
                    </w:rPr>
                    <w:t>4</w:t>
                  </w:r>
                </w:p>
              </w:tc>
              <w:tc>
                <w:tcPr>
                  <w:tcW w:w="927" w:type="dxa"/>
                  <w:vAlign w:val="center"/>
                </w:tcPr>
                <w:p w14:paraId="7FECD637">
                  <w:pPr>
                    <w:adjustRightInd w:val="0"/>
                    <w:snapToGrid w:val="0"/>
                    <w:jc w:val="center"/>
                    <w:rPr>
                      <w:color w:val="FF0000"/>
                      <w:kern w:val="0"/>
                      <w:sz w:val="22"/>
                      <w:szCs w:val="22"/>
                    </w:rPr>
                  </w:pPr>
                  <w:r>
                    <w:rPr>
                      <w:rFonts w:hint="eastAsia"/>
                      <w:color w:val="FF0000"/>
                      <w:kern w:val="0"/>
                      <w:sz w:val="22"/>
                      <w:szCs w:val="22"/>
                      <w:lang w:val="en-US" w:eastAsia="zh-CN"/>
                    </w:rPr>
                    <w:t>按配置</w:t>
                  </w:r>
                </w:p>
              </w:tc>
              <w:tc>
                <w:tcPr>
                  <w:tcW w:w="1375" w:type="dxa"/>
                  <w:vAlign w:val="center"/>
                </w:tcPr>
                <w:p w14:paraId="47BE99C1">
                  <w:pPr>
                    <w:adjustRightInd w:val="0"/>
                    <w:snapToGrid w:val="0"/>
                    <w:jc w:val="center"/>
                    <w:rPr>
                      <w:color w:val="FF0000"/>
                      <w:kern w:val="0"/>
                      <w:sz w:val="22"/>
                      <w:szCs w:val="22"/>
                    </w:rPr>
                  </w:pPr>
                  <w:r>
                    <w:rPr>
                      <w:color w:val="FF0000"/>
                      <w:kern w:val="0"/>
                      <w:sz w:val="22"/>
                      <w:szCs w:val="22"/>
                    </w:rPr>
                    <w:t>更替</w:t>
                  </w:r>
                </w:p>
              </w:tc>
            </w:tr>
            <w:tr w14:paraId="7D2C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69DE2F53">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11</w:t>
                  </w:r>
                </w:p>
              </w:tc>
              <w:tc>
                <w:tcPr>
                  <w:tcW w:w="714" w:type="dxa"/>
                  <w:vMerge w:val="continue"/>
                  <w:vAlign w:val="center"/>
                </w:tcPr>
                <w:p w14:paraId="0BCA83E2">
                  <w:pPr>
                    <w:adjustRightInd w:val="0"/>
                    <w:snapToGrid w:val="0"/>
                    <w:jc w:val="center"/>
                    <w:rPr>
                      <w:kern w:val="0"/>
                      <w:sz w:val="22"/>
                      <w:szCs w:val="22"/>
                    </w:rPr>
                  </w:pPr>
                </w:p>
              </w:tc>
              <w:tc>
                <w:tcPr>
                  <w:tcW w:w="2027" w:type="dxa"/>
                  <w:vAlign w:val="center"/>
                </w:tcPr>
                <w:p w14:paraId="73322AD3">
                  <w:pPr>
                    <w:adjustRightInd w:val="0"/>
                    <w:snapToGrid w:val="0"/>
                    <w:jc w:val="center"/>
                    <w:rPr>
                      <w:spacing w:val="-4"/>
                      <w:sz w:val="22"/>
                      <w:szCs w:val="22"/>
                    </w:rPr>
                  </w:pPr>
                  <w:r>
                    <w:rPr>
                      <w:spacing w:val="-4"/>
                      <w:sz w:val="22"/>
                      <w:szCs w:val="22"/>
                    </w:rPr>
                    <w:t>通气立管</w:t>
                  </w:r>
                </w:p>
              </w:tc>
              <w:tc>
                <w:tcPr>
                  <w:tcW w:w="734" w:type="dxa"/>
                  <w:vAlign w:val="center"/>
                </w:tcPr>
                <w:p w14:paraId="66A1C38E">
                  <w:pPr>
                    <w:adjustRightInd w:val="0"/>
                    <w:snapToGrid w:val="0"/>
                    <w:jc w:val="center"/>
                    <w:rPr>
                      <w:color w:val="FF0000"/>
                      <w:kern w:val="0"/>
                      <w:sz w:val="22"/>
                      <w:szCs w:val="22"/>
                    </w:rPr>
                  </w:pPr>
                  <w:r>
                    <w:rPr>
                      <w:color w:val="FF0000"/>
                      <w:kern w:val="0"/>
                      <w:sz w:val="22"/>
                      <w:szCs w:val="22"/>
                    </w:rPr>
                    <w:t>3</w:t>
                  </w:r>
                </w:p>
              </w:tc>
              <w:tc>
                <w:tcPr>
                  <w:tcW w:w="883" w:type="dxa"/>
                  <w:vAlign w:val="center"/>
                </w:tcPr>
                <w:p w14:paraId="66D815CB">
                  <w:pPr>
                    <w:adjustRightInd w:val="0"/>
                    <w:snapToGrid w:val="0"/>
                    <w:jc w:val="center"/>
                    <w:rPr>
                      <w:color w:val="FF0000"/>
                      <w:kern w:val="0"/>
                      <w:sz w:val="22"/>
                      <w:szCs w:val="22"/>
                    </w:rPr>
                  </w:pPr>
                  <w:r>
                    <w:rPr>
                      <w:rFonts w:hint="eastAsia"/>
                      <w:color w:val="FF0000"/>
                      <w:kern w:val="0"/>
                      <w:sz w:val="22"/>
                      <w:szCs w:val="22"/>
                      <w:lang w:val="en-US" w:eastAsia="zh-CN"/>
                    </w:rPr>
                    <w:t>按配置</w:t>
                  </w:r>
                </w:p>
              </w:tc>
              <w:tc>
                <w:tcPr>
                  <w:tcW w:w="717" w:type="dxa"/>
                  <w:vAlign w:val="center"/>
                </w:tcPr>
                <w:p w14:paraId="0AC90C94">
                  <w:pPr>
                    <w:adjustRightInd w:val="0"/>
                    <w:snapToGrid w:val="0"/>
                    <w:jc w:val="center"/>
                    <w:rPr>
                      <w:color w:val="FF0000"/>
                      <w:kern w:val="0"/>
                      <w:sz w:val="22"/>
                      <w:szCs w:val="22"/>
                    </w:rPr>
                  </w:pPr>
                  <w:r>
                    <w:rPr>
                      <w:color w:val="FF0000"/>
                      <w:kern w:val="0"/>
                      <w:sz w:val="22"/>
                      <w:szCs w:val="22"/>
                    </w:rPr>
                    <w:t>4</w:t>
                  </w:r>
                </w:p>
              </w:tc>
              <w:tc>
                <w:tcPr>
                  <w:tcW w:w="927" w:type="dxa"/>
                  <w:vAlign w:val="center"/>
                </w:tcPr>
                <w:p w14:paraId="73DF5859">
                  <w:pPr>
                    <w:adjustRightInd w:val="0"/>
                    <w:snapToGrid w:val="0"/>
                    <w:jc w:val="center"/>
                    <w:rPr>
                      <w:color w:val="FF0000"/>
                      <w:kern w:val="0"/>
                      <w:sz w:val="22"/>
                      <w:szCs w:val="22"/>
                    </w:rPr>
                  </w:pPr>
                  <w:r>
                    <w:rPr>
                      <w:rFonts w:hint="eastAsia"/>
                      <w:color w:val="FF0000"/>
                      <w:kern w:val="0"/>
                      <w:sz w:val="22"/>
                      <w:szCs w:val="22"/>
                      <w:lang w:val="en-US" w:eastAsia="zh-CN"/>
                    </w:rPr>
                    <w:t>按配置</w:t>
                  </w:r>
                </w:p>
              </w:tc>
              <w:tc>
                <w:tcPr>
                  <w:tcW w:w="1375" w:type="dxa"/>
                  <w:vAlign w:val="center"/>
                </w:tcPr>
                <w:p w14:paraId="5DF43898">
                  <w:pPr>
                    <w:adjustRightInd w:val="0"/>
                    <w:snapToGrid w:val="0"/>
                    <w:jc w:val="center"/>
                    <w:rPr>
                      <w:color w:val="FF0000"/>
                      <w:kern w:val="0"/>
                      <w:sz w:val="22"/>
                      <w:szCs w:val="22"/>
                    </w:rPr>
                  </w:pPr>
                  <w:r>
                    <w:rPr>
                      <w:color w:val="FF0000"/>
                      <w:kern w:val="0"/>
                      <w:sz w:val="22"/>
                      <w:szCs w:val="22"/>
                    </w:rPr>
                    <w:t>更替后</w:t>
                  </w:r>
                  <w:r>
                    <w:rPr>
                      <w:rFonts w:hint="eastAsia"/>
                      <w:color w:val="FF0000"/>
                      <w:kern w:val="0"/>
                      <w:sz w:val="22"/>
                      <w:szCs w:val="22"/>
                      <w:lang w:val="en-US" w:eastAsia="zh-CN"/>
                    </w:rPr>
                    <w:t>汽</w:t>
                  </w:r>
                  <w:r>
                    <w:rPr>
                      <w:color w:val="FF0000"/>
                      <w:kern w:val="0"/>
                      <w:sz w:val="22"/>
                      <w:szCs w:val="22"/>
                    </w:rPr>
                    <w:t>油罐新增配套</w:t>
                  </w:r>
                </w:p>
              </w:tc>
            </w:tr>
            <w:tr w14:paraId="6FE5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6A46BF44">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12</w:t>
                  </w:r>
                </w:p>
              </w:tc>
              <w:tc>
                <w:tcPr>
                  <w:tcW w:w="714" w:type="dxa"/>
                  <w:vMerge w:val="restart"/>
                  <w:vAlign w:val="center"/>
                </w:tcPr>
                <w:p w14:paraId="37247A81">
                  <w:pPr>
                    <w:adjustRightInd w:val="0"/>
                    <w:snapToGrid w:val="0"/>
                    <w:jc w:val="center"/>
                    <w:rPr>
                      <w:kern w:val="0"/>
                      <w:sz w:val="22"/>
                      <w:szCs w:val="22"/>
                    </w:rPr>
                  </w:pPr>
                  <w:r>
                    <w:rPr>
                      <w:kern w:val="0"/>
                      <w:sz w:val="22"/>
                      <w:szCs w:val="22"/>
                    </w:rPr>
                    <w:t>配套辅助设施</w:t>
                  </w:r>
                </w:p>
              </w:tc>
              <w:tc>
                <w:tcPr>
                  <w:tcW w:w="2027" w:type="dxa"/>
                  <w:vAlign w:val="center"/>
                </w:tcPr>
                <w:p w14:paraId="0D7C88CC">
                  <w:pPr>
                    <w:adjustRightInd w:val="0"/>
                    <w:snapToGrid w:val="0"/>
                    <w:jc w:val="center"/>
                    <w:rPr>
                      <w:spacing w:val="-4"/>
                      <w:sz w:val="22"/>
                      <w:szCs w:val="22"/>
                    </w:rPr>
                  </w:pPr>
                  <w:r>
                    <w:rPr>
                      <w:spacing w:val="-4"/>
                      <w:sz w:val="22"/>
                      <w:szCs w:val="22"/>
                    </w:rPr>
                    <w:t>防雷防静电装置</w:t>
                  </w:r>
                </w:p>
              </w:tc>
              <w:tc>
                <w:tcPr>
                  <w:tcW w:w="734" w:type="dxa"/>
                  <w:vAlign w:val="center"/>
                </w:tcPr>
                <w:p w14:paraId="7D98BD18">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679B2A64">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46B63517">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73C53C34">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571F895F">
                  <w:pPr>
                    <w:adjustRightInd w:val="0"/>
                    <w:snapToGrid w:val="0"/>
                    <w:jc w:val="center"/>
                    <w:rPr>
                      <w:color w:val="FF0000"/>
                      <w:kern w:val="0"/>
                      <w:sz w:val="22"/>
                      <w:szCs w:val="22"/>
                    </w:rPr>
                  </w:pPr>
                  <w:r>
                    <w:rPr>
                      <w:color w:val="FF0000"/>
                      <w:kern w:val="0"/>
                      <w:sz w:val="22"/>
                      <w:szCs w:val="22"/>
                    </w:rPr>
                    <w:t>更替</w:t>
                  </w:r>
                </w:p>
              </w:tc>
            </w:tr>
            <w:tr w14:paraId="5FC6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798CEEEC">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13</w:t>
                  </w:r>
                </w:p>
              </w:tc>
              <w:tc>
                <w:tcPr>
                  <w:tcW w:w="714" w:type="dxa"/>
                  <w:vMerge w:val="continue"/>
                  <w:vAlign w:val="center"/>
                </w:tcPr>
                <w:p w14:paraId="2EB6C3AE">
                  <w:pPr>
                    <w:adjustRightInd w:val="0"/>
                    <w:snapToGrid w:val="0"/>
                    <w:jc w:val="center"/>
                    <w:rPr>
                      <w:kern w:val="0"/>
                      <w:sz w:val="22"/>
                      <w:szCs w:val="22"/>
                    </w:rPr>
                  </w:pPr>
                </w:p>
              </w:tc>
              <w:tc>
                <w:tcPr>
                  <w:tcW w:w="2027" w:type="dxa"/>
                  <w:vAlign w:val="center"/>
                </w:tcPr>
                <w:p w14:paraId="347DAC13">
                  <w:pPr>
                    <w:adjustRightInd w:val="0"/>
                    <w:snapToGrid w:val="0"/>
                    <w:jc w:val="center"/>
                    <w:rPr>
                      <w:spacing w:val="-4"/>
                      <w:sz w:val="22"/>
                      <w:szCs w:val="22"/>
                    </w:rPr>
                  </w:pPr>
                  <w:r>
                    <w:rPr>
                      <w:spacing w:val="-4"/>
                      <w:sz w:val="22"/>
                      <w:szCs w:val="22"/>
                    </w:rPr>
                    <w:t>阻火呼吸阀</w:t>
                  </w:r>
                </w:p>
              </w:tc>
              <w:tc>
                <w:tcPr>
                  <w:tcW w:w="734" w:type="dxa"/>
                  <w:vAlign w:val="center"/>
                </w:tcPr>
                <w:p w14:paraId="543F21C7">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14FFB712">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311EF6F8">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1E9FA3D0">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0BF5623C">
                  <w:pPr>
                    <w:adjustRightInd w:val="0"/>
                    <w:snapToGrid w:val="0"/>
                    <w:jc w:val="center"/>
                    <w:rPr>
                      <w:color w:val="FF0000"/>
                      <w:kern w:val="0"/>
                      <w:sz w:val="22"/>
                      <w:szCs w:val="22"/>
                    </w:rPr>
                  </w:pPr>
                  <w:r>
                    <w:rPr>
                      <w:color w:val="FF0000"/>
                      <w:kern w:val="0"/>
                      <w:sz w:val="22"/>
                      <w:szCs w:val="22"/>
                    </w:rPr>
                    <w:t>更替</w:t>
                  </w:r>
                </w:p>
              </w:tc>
            </w:tr>
            <w:tr w14:paraId="43A2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2609405A">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14</w:t>
                  </w:r>
                </w:p>
              </w:tc>
              <w:tc>
                <w:tcPr>
                  <w:tcW w:w="714" w:type="dxa"/>
                  <w:vMerge w:val="continue"/>
                  <w:vAlign w:val="center"/>
                </w:tcPr>
                <w:p w14:paraId="4BF696C2">
                  <w:pPr>
                    <w:adjustRightInd w:val="0"/>
                    <w:snapToGrid w:val="0"/>
                    <w:jc w:val="center"/>
                    <w:rPr>
                      <w:kern w:val="0"/>
                      <w:sz w:val="22"/>
                      <w:szCs w:val="22"/>
                    </w:rPr>
                  </w:pPr>
                </w:p>
              </w:tc>
              <w:tc>
                <w:tcPr>
                  <w:tcW w:w="2027" w:type="dxa"/>
                  <w:vAlign w:val="center"/>
                </w:tcPr>
                <w:p w14:paraId="4E02770E">
                  <w:pPr>
                    <w:adjustRightInd w:val="0"/>
                    <w:snapToGrid w:val="0"/>
                    <w:jc w:val="center"/>
                    <w:rPr>
                      <w:spacing w:val="-4"/>
                      <w:sz w:val="22"/>
                      <w:szCs w:val="22"/>
                    </w:rPr>
                  </w:pPr>
                  <w:r>
                    <w:rPr>
                      <w:spacing w:val="-4"/>
                      <w:sz w:val="22"/>
                      <w:szCs w:val="22"/>
                    </w:rPr>
                    <w:t>阻火通气帽</w:t>
                  </w:r>
                </w:p>
              </w:tc>
              <w:tc>
                <w:tcPr>
                  <w:tcW w:w="734" w:type="dxa"/>
                  <w:vAlign w:val="center"/>
                </w:tcPr>
                <w:p w14:paraId="4F9E211D">
                  <w:pPr>
                    <w:adjustRightInd w:val="0"/>
                    <w:snapToGrid w:val="0"/>
                    <w:jc w:val="center"/>
                    <w:rPr>
                      <w:color w:val="FF0000"/>
                      <w:kern w:val="0"/>
                      <w:sz w:val="22"/>
                      <w:szCs w:val="22"/>
                    </w:rPr>
                  </w:pPr>
                  <w:r>
                    <w:rPr>
                      <w:color w:val="FF0000"/>
                      <w:kern w:val="0"/>
                      <w:sz w:val="22"/>
                      <w:szCs w:val="22"/>
                    </w:rPr>
                    <w:t>3</w:t>
                  </w:r>
                </w:p>
              </w:tc>
              <w:tc>
                <w:tcPr>
                  <w:tcW w:w="883" w:type="dxa"/>
                  <w:vAlign w:val="center"/>
                </w:tcPr>
                <w:p w14:paraId="006924E3">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5CB8D9A7">
                  <w:pPr>
                    <w:adjustRightInd w:val="0"/>
                    <w:snapToGrid w:val="0"/>
                    <w:jc w:val="center"/>
                    <w:rPr>
                      <w:color w:val="FF0000"/>
                      <w:kern w:val="0"/>
                      <w:sz w:val="22"/>
                      <w:szCs w:val="22"/>
                    </w:rPr>
                  </w:pPr>
                  <w:r>
                    <w:rPr>
                      <w:color w:val="FF0000"/>
                      <w:kern w:val="0"/>
                      <w:sz w:val="22"/>
                      <w:szCs w:val="22"/>
                    </w:rPr>
                    <w:t>4</w:t>
                  </w:r>
                </w:p>
              </w:tc>
              <w:tc>
                <w:tcPr>
                  <w:tcW w:w="927" w:type="dxa"/>
                  <w:vAlign w:val="center"/>
                </w:tcPr>
                <w:p w14:paraId="6C15B5DE">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3A82B68F">
                  <w:pPr>
                    <w:adjustRightInd w:val="0"/>
                    <w:snapToGrid w:val="0"/>
                    <w:jc w:val="center"/>
                    <w:rPr>
                      <w:color w:val="FF0000"/>
                      <w:kern w:val="0"/>
                      <w:sz w:val="22"/>
                      <w:szCs w:val="22"/>
                    </w:rPr>
                  </w:pPr>
                  <w:r>
                    <w:rPr>
                      <w:color w:val="FF0000"/>
                      <w:kern w:val="0"/>
                      <w:sz w:val="22"/>
                      <w:szCs w:val="22"/>
                    </w:rPr>
                    <w:t>更替后配套新增</w:t>
                  </w:r>
                </w:p>
              </w:tc>
            </w:tr>
            <w:tr w14:paraId="07E8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0DF2E524">
                  <w:pPr>
                    <w:adjustRightInd w:val="0"/>
                    <w:snapToGrid w:val="0"/>
                    <w:jc w:val="center"/>
                    <w:rPr>
                      <w:rFonts w:hint="default" w:ascii="Times New Roman" w:hAnsi="Times New Roman" w:eastAsia="宋体" w:cs="Times New Roman"/>
                      <w:kern w:val="0"/>
                      <w:sz w:val="22"/>
                      <w:szCs w:val="22"/>
                      <w:lang w:val="en-US" w:eastAsia="zh-CN" w:bidi="ar-SA"/>
                    </w:rPr>
                  </w:pPr>
                  <w:r>
                    <w:rPr>
                      <w:rFonts w:hint="eastAsia" w:cs="Times New Roman"/>
                      <w:kern w:val="0"/>
                      <w:sz w:val="22"/>
                      <w:szCs w:val="22"/>
                      <w:lang w:val="en-US" w:eastAsia="zh-CN" w:bidi="ar-SA"/>
                    </w:rPr>
                    <w:t>15</w:t>
                  </w:r>
                </w:p>
              </w:tc>
              <w:tc>
                <w:tcPr>
                  <w:tcW w:w="714" w:type="dxa"/>
                  <w:vMerge w:val="continue"/>
                  <w:vAlign w:val="center"/>
                </w:tcPr>
                <w:p w14:paraId="3A4D498E">
                  <w:pPr>
                    <w:adjustRightInd w:val="0"/>
                    <w:snapToGrid w:val="0"/>
                    <w:jc w:val="center"/>
                    <w:rPr>
                      <w:kern w:val="0"/>
                      <w:sz w:val="22"/>
                      <w:szCs w:val="22"/>
                    </w:rPr>
                  </w:pPr>
                </w:p>
              </w:tc>
              <w:tc>
                <w:tcPr>
                  <w:tcW w:w="2027" w:type="dxa"/>
                  <w:vAlign w:val="center"/>
                </w:tcPr>
                <w:p w14:paraId="420B9E42">
                  <w:pPr>
                    <w:adjustRightInd w:val="0"/>
                    <w:snapToGrid w:val="0"/>
                    <w:jc w:val="center"/>
                    <w:rPr>
                      <w:spacing w:val="-4"/>
                      <w:sz w:val="22"/>
                      <w:szCs w:val="22"/>
                    </w:rPr>
                  </w:pPr>
                  <w:r>
                    <w:rPr>
                      <w:spacing w:val="-4"/>
                      <w:sz w:val="22"/>
                      <w:szCs w:val="22"/>
                    </w:rPr>
                    <w:t>高液位声光报警器</w:t>
                  </w:r>
                </w:p>
              </w:tc>
              <w:tc>
                <w:tcPr>
                  <w:tcW w:w="734" w:type="dxa"/>
                  <w:vAlign w:val="center"/>
                </w:tcPr>
                <w:p w14:paraId="52C3235D">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23309B60">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1AC57DA1">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72133161">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25715578">
                  <w:pPr>
                    <w:adjustRightInd w:val="0"/>
                    <w:snapToGrid w:val="0"/>
                    <w:jc w:val="center"/>
                    <w:rPr>
                      <w:color w:val="FF0000"/>
                      <w:kern w:val="0"/>
                      <w:sz w:val="22"/>
                      <w:szCs w:val="22"/>
                    </w:rPr>
                  </w:pPr>
                  <w:r>
                    <w:rPr>
                      <w:color w:val="FF0000"/>
                      <w:kern w:val="0"/>
                      <w:sz w:val="22"/>
                      <w:szCs w:val="22"/>
                    </w:rPr>
                    <w:t>更替</w:t>
                  </w:r>
                </w:p>
              </w:tc>
            </w:tr>
            <w:tr w14:paraId="0E52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38990308">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16</w:t>
                  </w:r>
                </w:p>
              </w:tc>
              <w:tc>
                <w:tcPr>
                  <w:tcW w:w="714" w:type="dxa"/>
                  <w:vMerge w:val="continue"/>
                  <w:vAlign w:val="center"/>
                </w:tcPr>
                <w:p w14:paraId="61161D13">
                  <w:pPr>
                    <w:adjustRightInd w:val="0"/>
                    <w:snapToGrid w:val="0"/>
                    <w:jc w:val="center"/>
                    <w:rPr>
                      <w:kern w:val="0"/>
                      <w:sz w:val="22"/>
                      <w:szCs w:val="22"/>
                    </w:rPr>
                  </w:pPr>
                </w:p>
              </w:tc>
              <w:tc>
                <w:tcPr>
                  <w:tcW w:w="2027" w:type="dxa"/>
                  <w:vAlign w:val="center"/>
                </w:tcPr>
                <w:p w14:paraId="28665392">
                  <w:pPr>
                    <w:adjustRightInd w:val="0"/>
                    <w:snapToGrid w:val="0"/>
                    <w:jc w:val="center"/>
                    <w:rPr>
                      <w:spacing w:val="-4"/>
                      <w:sz w:val="22"/>
                      <w:szCs w:val="22"/>
                    </w:rPr>
                  </w:pPr>
                  <w:r>
                    <w:rPr>
                      <w:spacing w:val="-4"/>
                      <w:sz w:val="22"/>
                      <w:szCs w:val="22"/>
                    </w:rPr>
                    <w:t>可燃气体报警系统</w:t>
                  </w:r>
                </w:p>
              </w:tc>
              <w:tc>
                <w:tcPr>
                  <w:tcW w:w="734" w:type="dxa"/>
                  <w:vAlign w:val="center"/>
                </w:tcPr>
                <w:p w14:paraId="78A0D091">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4C6E4449">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3D3E76DE">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55BB42E1">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2062EE07">
                  <w:pPr>
                    <w:adjustRightInd w:val="0"/>
                    <w:snapToGrid w:val="0"/>
                    <w:jc w:val="center"/>
                    <w:rPr>
                      <w:color w:val="FF0000"/>
                      <w:kern w:val="0"/>
                      <w:sz w:val="22"/>
                      <w:szCs w:val="22"/>
                    </w:rPr>
                  </w:pPr>
                  <w:r>
                    <w:rPr>
                      <w:color w:val="FF0000"/>
                      <w:kern w:val="0"/>
                      <w:sz w:val="22"/>
                      <w:szCs w:val="22"/>
                    </w:rPr>
                    <w:t>更替</w:t>
                  </w:r>
                </w:p>
              </w:tc>
            </w:tr>
            <w:tr w14:paraId="65B2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4B13FE29">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17</w:t>
                  </w:r>
                </w:p>
              </w:tc>
              <w:tc>
                <w:tcPr>
                  <w:tcW w:w="714" w:type="dxa"/>
                  <w:vMerge w:val="continue"/>
                  <w:vAlign w:val="center"/>
                </w:tcPr>
                <w:p w14:paraId="590A3E4A">
                  <w:pPr>
                    <w:adjustRightInd w:val="0"/>
                    <w:snapToGrid w:val="0"/>
                    <w:jc w:val="center"/>
                    <w:rPr>
                      <w:kern w:val="0"/>
                      <w:sz w:val="22"/>
                      <w:szCs w:val="22"/>
                    </w:rPr>
                  </w:pPr>
                </w:p>
              </w:tc>
              <w:tc>
                <w:tcPr>
                  <w:tcW w:w="2027" w:type="dxa"/>
                  <w:vAlign w:val="center"/>
                </w:tcPr>
                <w:p w14:paraId="79047D16">
                  <w:pPr>
                    <w:adjustRightInd w:val="0"/>
                    <w:snapToGrid w:val="0"/>
                    <w:jc w:val="center"/>
                    <w:rPr>
                      <w:spacing w:val="-4"/>
                      <w:sz w:val="22"/>
                      <w:szCs w:val="22"/>
                    </w:rPr>
                  </w:pPr>
                  <w:r>
                    <w:rPr>
                      <w:spacing w:val="-4"/>
                      <w:sz w:val="22"/>
                      <w:szCs w:val="22"/>
                    </w:rPr>
                    <w:t>液位仪</w:t>
                  </w:r>
                </w:p>
              </w:tc>
              <w:tc>
                <w:tcPr>
                  <w:tcW w:w="734" w:type="dxa"/>
                  <w:vAlign w:val="center"/>
                </w:tcPr>
                <w:p w14:paraId="3C3FBDE3">
                  <w:pPr>
                    <w:adjustRightInd w:val="0"/>
                    <w:snapToGrid w:val="0"/>
                    <w:jc w:val="center"/>
                    <w:rPr>
                      <w:color w:val="FF0000"/>
                      <w:kern w:val="0"/>
                      <w:sz w:val="22"/>
                      <w:szCs w:val="22"/>
                    </w:rPr>
                  </w:pPr>
                  <w:r>
                    <w:rPr>
                      <w:color w:val="FF0000"/>
                      <w:kern w:val="0"/>
                      <w:sz w:val="22"/>
                      <w:szCs w:val="22"/>
                    </w:rPr>
                    <w:t>3</w:t>
                  </w:r>
                </w:p>
              </w:tc>
              <w:tc>
                <w:tcPr>
                  <w:tcW w:w="883" w:type="dxa"/>
                  <w:vAlign w:val="center"/>
                </w:tcPr>
                <w:p w14:paraId="746481E8">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4ED89652">
                  <w:pPr>
                    <w:adjustRightInd w:val="0"/>
                    <w:snapToGrid w:val="0"/>
                    <w:jc w:val="center"/>
                    <w:rPr>
                      <w:color w:val="FF0000"/>
                      <w:kern w:val="0"/>
                      <w:sz w:val="22"/>
                      <w:szCs w:val="22"/>
                    </w:rPr>
                  </w:pPr>
                  <w:r>
                    <w:rPr>
                      <w:color w:val="FF0000"/>
                      <w:kern w:val="0"/>
                      <w:sz w:val="22"/>
                      <w:szCs w:val="22"/>
                    </w:rPr>
                    <w:t>4</w:t>
                  </w:r>
                </w:p>
              </w:tc>
              <w:tc>
                <w:tcPr>
                  <w:tcW w:w="927" w:type="dxa"/>
                  <w:vAlign w:val="center"/>
                </w:tcPr>
                <w:p w14:paraId="1EA43888">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660B9723">
                  <w:pPr>
                    <w:adjustRightInd w:val="0"/>
                    <w:snapToGrid w:val="0"/>
                    <w:jc w:val="center"/>
                    <w:rPr>
                      <w:color w:val="FF0000"/>
                      <w:kern w:val="0"/>
                      <w:sz w:val="22"/>
                      <w:szCs w:val="22"/>
                    </w:rPr>
                  </w:pPr>
                  <w:r>
                    <w:rPr>
                      <w:color w:val="FF0000"/>
                      <w:kern w:val="0"/>
                      <w:sz w:val="22"/>
                      <w:szCs w:val="22"/>
                    </w:rPr>
                    <w:t>更替后配套新增</w:t>
                  </w:r>
                </w:p>
              </w:tc>
            </w:tr>
            <w:tr w14:paraId="110A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513B05BB">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18</w:t>
                  </w:r>
                </w:p>
              </w:tc>
              <w:tc>
                <w:tcPr>
                  <w:tcW w:w="714" w:type="dxa"/>
                  <w:vMerge w:val="continue"/>
                  <w:vAlign w:val="center"/>
                </w:tcPr>
                <w:p w14:paraId="6057BC03">
                  <w:pPr>
                    <w:adjustRightInd w:val="0"/>
                    <w:snapToGrid w:val="0"/>
                    <w:jc w:val="center"/>
                    <w:rPr>
                      <w:kern w:val="0"/>
                      <w:sz w:val="22"/>
                      <w:szCs w:val="22"/>
                    </w:rPr>
                  </w:pPr>
                </w:p>
              </w:tc>
              <w:tc>
                <w:tcPr>
                  <w:tcW w:w="2027" w:type="dxa"/>
                  <w:vAlign w:val="center"/>
                </w:tcPr>
                <w:p w14:paraId="20D49A34">
                  <w:pPr>
                    <w:adjustRightInd w:val="0"/>
                    <w:snapToGrid w:val="0"/>
                    <w:jc w:val="center"/>
                    <w:rPr>
                      <w:spacing w:val="-4"/>
                      <w:sz w:val="22"/>
                      <w:szCs w:val="22"/>
                    </w:rPr>
                  </w:pPr>
                  <w:r>
                    <w:rPr>
                      <w:spacing w:val="-4"/>
                      <w:sz w:val="22"/>
                      <w:szCs w:val="22"/>
                    </w:rPr>
                    <w:t>油气渗漏在线检测系统</w:t>
                  </w:r>
                </w:p>
              </w:tc>
              <w:tc>
                <w:tcPr>
                  <w:tcW w:w="734" w:type="dxa"/>
                  <w:vAlign w:val="center"/>
                </w:tcPr>
                <w:p w14:paraId="172C91F0">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23E75DE2">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7E097BB1">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4BF8CB97">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4CDB3846">
                  <w:pPr>
                    <w:adjustRightInd w:val="0"/>
                    <w:snapToGrid w:val="0"/>
                    <w:jc w:val="center"/>
                    <w:rPr>
                      <w:color w:val="FF0000"/>
                      <w:kern w:val="0"/>
                      <w:sz w:val="22"/>
                      <w:szCs w:val="22"/>
                    </w:rPr>
                  </w:pPr>
                  <w:r>
                    <w:rPr>
                      <w:color w:val="FF0000"/>
                      <w:kern w:val="0"/>
                      <w:sz w:val="22"/>
                      <w:szCs w:val="22"/>
                    </w:rPr>
                    <w:t>更替</w:t>
                  </w:r>
                </w:p>
              </w:tc>
            </w:tr>
            <w:tr w14:paraId="1D67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31FB9A41">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19</w:t>
                  </w:r>
                </w:p>
              </w:tc>
              <w:tc>
                <w:tcPr>
                  <w:tcW w:w="714" w:type="dxa"/>
                  <w:vMerge w:val="continue"/>
                  <w:vAlign w:val="center"/>
                </w:tcPr>
                <w:p w14:paraId="1C598D0D">
                  <w:pPr>
                    <w:adjustRightInd w:val="0"/>
                    <w:snapToGrid w:val="0"/>
                    <w:jc w:val="center"/>
                    <w:rPr>
                      <w:kern w:val="0"/>
                      <w:sz w:val="22"/>
                      <w:szCs w:val="22"/>
                    </w:rPr>
                  </w:pPr>
                </w:p>
              </w:tc>
              <w:tc>
                <w:tcPr>
                  <w:tcW w:w="2027" w:type="dxa"/>
                  <w:vAlign w:val="center"/>
                </w:tcPr>
                <w:p w14:paraId="3284F29B">
                  <w:pPr>
                    <w:adjustRightInd w:val="0"/>
                    <w:snapToGrid w:val="0"/>
                    <w:jc w:val="center"/>
                    <w:rPr>
                      <w:spacing w:val="-4"/>
                      <w:sz w:val="22"/>
                      <w:szCs w:val="22"/>
                    </w:rPr>
                  </w:pPr>
                  <w:r>
                    <w:rPr>
                      <w:spacing w:val="-4"/>
                      <w:sz w:val="22"/>
                      <w:szCs w:val="22"/>
                    </w:rPr>
                    <w:t>油气回收在线检测系统</w:t>
                  </w:r>
                </w:p>
              </w:tc>
              <w:tc>
                <w:tcPr>
                  <w:tcW w:w="734" w:type="dxa"/>
                  <w:vAlign w:val="center"/>
                </w:tcPr>
                <w:p w14:paraId="315BF7B4">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303A949A">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5263941D">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05358E3E">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5135F0E7">
                  <w:pPr>
                    <w:adjustRightInd w:val="0"/>
                    <w:snapToGrid w:val="0"/>
                    <w:jc w:val="center"/>
                    <w:rPr>
                      <w:color w:val="FF0000"/>
                      <w:kern w:val="0"/>
                      <w:sz w:val="22"/>
                      <w:szCs w:val="22"/>
                    </w:rPr>
                  </w:pPr>
                  <w:r>
                    <w:rPr>
                      <w:color w:val="FF0000"/>
                      <w:kern w:val="0"/>
                      <w:sz w:val="22"/>
                      <w:szCs w:val="22"/>
                    </w:rPr>
                    <w:t>更替</w:t>
                  </w:r>
                </w:p>
              </w:tc>
            </w:tr>
            <w:tr w14:paraId="1C45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643352D8">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20</w:t>
                  </w:r>
                </w:p>
              </w:tc>
              <w:tc>
                <w:tcPr>
                  <w:tcW w:w="714" w:type="dxa"/>
                  <w:vMerge w:val="continue"/>
                  <w:vAlign w:val="center"/>
                </w:tcPr>
                <w:p w14:paraId="1FFE16C4">
                  <w:pPr>
                    <w:adjustRightInd w:val="0"/>
                    <w:snapToGrid w:val="0"/>
                    <w:jc w:val="center"/>
                    <w:rPr>
                      <w:kern w:val="0"/>
                      <w:sz w:val="22"/>
                      <w:szCs w:val="22"/>
                    </w:rPr>
                  </w:pPr>
                </w:p>
              </w:tc>
              <w:tc>
                <w:tcPr>
                  <w:tcW w:w="2027" w:type="dxa"/>
                  <w:vAlign w:val="center"/>
                </w:tcPr>
                <w:p w14:paraId="71BC1F10">
                  <w:pPr>
                    <w:adjustRightInd w:val="0"/>
                    <w:snapToGrid w:val="0"/>
                    <w:jc w:val="center"/>
                    <w:rPr>
                      <w:spacing w:val="-4"/>
                      <w:sz w:val="22"/>
                      <w:szCs w:val="22"/>
                    </w:rPr>
                  </w:pPr>
                  <w:r>
                    <w:rPr>
                      <w:spacing w:val="-4"/>
                      <w:sz w:val="22"/>
                      <w:szCs w:val="22"/>
                    </w:rPr>
                    <w:t>电源避雷保护器</w:t>
                  </w:r>
                </w:p>
              </w:tc>
              <w:tc>
                <w:tcPr>
                  <w:tcW w:w="734" w:type="dxa"/>
                  <w:vAlign w:val="center"/>
                </w:tcPr>
                <w:p w14:paraId="59009C0D">
                  <w:pPr>
                    <w:adjustRightInd w:val="0"/>
                    <w:snapToGrid w:val="0"/>
                    <w:jc w:val="center"/>
                    <w:rPr>
                      <w:color w:val="FF0000"/>
                      <w:kern w:val="0"/>
                      <w:sz w:val="22"/>
                      <w:szCs w:val="22"/>
                    </w:rPr>
                  </w:pPr>
                  <w:r>
                    <w:rPr>
                      <w:color w:val="FF0000"/>
                      <w:kern w:val="0"/>
                      <w:sz w:val="22"/>
                      <w:szCs w:val="22"/>
                    </w:rPr>
                    <w:t>3</w:t>
                  </w:r>
                </w:p>
              </w:tc>
              <w:tc>
                <w:tcPr>
                  <w:tcW w:w="883" w:type="dxa"/>
                  <w:vAlign w:val="center"/>
                </w:tcPr>
                <w:p w14:paraId="076F86A7">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5C8D65AB">
                  <w:pPr>
                    <w:adjustRightInd w:val="0"/>
                    <w:snapToGrid w:val="0"/>
                    <w:jc w:val="center"/>
                    <w:rPr>
                      <w:color w:val="FF0000"/>
                      <w:kern w:val="0"/>
                      <w:sz w:val="22"/>
                      <w:szCs w:val="22"/>
                    </w:rPr>
                  </w:pPr>
                  <w:r>
                    <w:rPr>
                      <w:color w:val="FF0000"/>
                      <w:kern w:val="0"/>
                      <w:sz w:val="22"/>
                      <w:szCs w:val="22"/>
                    </w:rPr>
                    <w:t>3</w:t>
                  </w:r>
                </w:p>
              </w:tc>
              <w:tc>
                <w:tcPr>
                  <w:tcW w:w="927" w:type="dxa"/>
                  <w:vAlign w:val="center"/>
                </w:tcPr>
                <w:p w14:paraId="12BB1306">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37824962">
                  <w:pPr>
                    <w:adjustRightInd w:val="0"/>
                    <w:snapToGrid w:val="0"/>
                    <w:jc w:val="center"/>
                    <w:rPr>
                      <w:color w:val="FF0000"/>
                      <w:kern w:val="0"/>
                      <w:sz w:val="22"/>
                      <w:szCs w:val="22"/>
                    </w:rPr>
                  </w:pPr>
                  <w:r>
                    <w:rPr>
                      <w:color w:val="FF0000"/>
                      <w:kern w:val="0"/>
                      <w:sz w:val="22"/>
                      <w:szCs w:val="22"/>
                    </w:rPr>
                    <w:t>更替</w:t>
                  </w:r>
                </w:p>
              </w:tc>
            </w:tr>
            <w:tr w14:paraId="6FD5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47D7A7E2">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21</w:t>
                  </w:r>
                </w:p>
              </w:tc>
              <w:tc>
                <w:tcPr>
                  <w:tcW w:w="714" w:type="dxa"/>
                  <w:vMerge w:val="continue"/>
                  <w:vAlign w:val="center"/>
                </w:tcPr>
                <w:p w14:paraId="3750741A">
                  <w:pPr>
                    <w:adjustRightInd w:val="0"/>
                    <w:snapToGrid w:val="0"/>
                    <w:jc w:val="center"/>
                    <w:rPr>
                      <w:kern w:val="0"/>
                      <w:sz w:val="22"/>
                      <w:szCs w:val="22"/>
                    </w:rPr>
                  </w:pPr>
                </w:p>
              </w:tc>
              <w:tc>
                <w:tcPr>
                  <w:tcW w:w="2027" w:type="dxa"/>
                  <w:vAlign w:val="center"/>
                </w:tcPr>
                <w:p w14:paraId="2482CB9C">
                  <w:pPr>
                    <w:adjustRightInd w:val="0"/>
                    <w:snapToGrid w:val="0"/>
                    <w:jc w:val="center"/>
                    <w:rPr>
                      <w:spacing w:val="-4"/>
                      <w:sz w:val="22"/>
                      <w:szCs w:val="22"/>
                    </w:rPr>
                  </w:pPr>
                  <w:r>
                    <w:rPr>
                      <w:spacing w:val="-4"/>
                      <w:sz w:val="22"/>
                      <w:szCs w:val="22"/>
                    </w:rPr>
                    <w:t>静电接地仪</w:t>
                  </w:r>
                </w:p>
              </w:tc>
              <w:tc>
                <w:tcPr>
                  <w:tcW w:w="734" w:type="dxa"/>
                  <w:vAlign w:val="center"/>
                </w:tcPr>
                <w:p w14:paraId="48C9E20F">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03F230BF">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7D44B3F3">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41B03614">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4FB863B1">
                  <w:pPr>
                    <w:adjustRightInd w:val="0"/>
                    <w:snapToGrid w:val="0"/>
                    <w:jc w:val="center"/>
                    <w:rPr>
                      <w:color w:val="FF0000"/>
                      <w:kern w:val="0"/>
                      <w:sz w:val="22"/>
                      <w:szCs w:val="22"/>
                    </w:rPr>
                  </w:pPr>
                  <w:r>
                    <w:rPr>
                      <w:color w:val="FF0000"/>
                      <w:kern w:val="0"/>
                      <w:sz w:val="22"/>
                      <w:szCs w:val="22"/>
                    </w:rPr>
                    <w:t>更替</w:t>
                  </w:r>
                </w:p>
              </w:tc>
            </w:tr>
            <w:tr w14:paraId="282B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46A3345E">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22</w:t>
                  </w:r>
                </w:p>
              </w:tc>
              <w:tc>
                <w:tcPr>
                  <w:tcW w:w="714" w:type="dxa"/>
                  <w:vMerge w:val="continue"/>
                  <w:vAlign w:val="center"/>
                </w:tcPr>
                <w:p w14:paraId="7E1CC479">
                  <w:pPr>
                    <w:adjustRightInd w:val="0"/>
                    <w:snapToGrid w:val="0"/>
                    <w:jc w:val="center"/>
                    <w:rPr>
                      <w:kern w:val="0"/>
                      <w:sz w:val="22"/>
                      <w:szCs w:val="22"/>
                    </w:rPr>
                  </w:pPr>
                </w:p>
              </w:tc>
              <w:tc>
                <w:tcPr>
                  <w:tcW w:w="2027" w:type="dxa"/>
                  <w:vAlign w:val="center"/>
                </w:tcPr>
                <w:p w14:paraId="30AA5D5B">
                  <w:pPr>
                    <w:adjustRightInd w:val="0"/>
                    <w:snapToGrid w:val="0"/>
                    <w:jc w:val="center"/>
                    <w:rPr>
                      <w:spacing w:val="-4"/>
                      <w:sz w:val="22"/>
                      <w:szCs w:val="22"/>
                    </w:rPr>
                  </w:pPr>
                  <w:r>
                    <w:rPr>
                      <w:spacing w:val="-4"/>
                      <w:sz w:val="22"/>
                      <w:szCs w:val="22"/>
                    </w:rPr>
                    <w:t>人体静电消除器</w:t>
                  </w:r>
                </w:p>
              </w:tc>
              <w:tc>
                <w:tcPr>
                  <w:tcW w:w="734" w:type="dxa"/>
                  <w:vAlign w:val="center"/>
                </w:tcPr>
                <w:p w14:paraId="12CC283B">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3D300D71">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77806FC1">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4969E830">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154C38CD">
                  <w:pPr>
                    <w:adjustRightInd w:val="0"/>
                    <w:snapToGrid w:val="0"/>
                    <w:jc w:val="center"/>
                    <w:rPr>
                      <w:color w:val="FF0000"/>
                      <w:kern w:val="0"/>
                      <w:sz w:val="22"/>
                      <w:szCs w:val="22"/>
                    </w:rPr>
                  </w:pPr>
                  <w:r>
                    <w:rPr>
                      <w:color w:val="FF0000"/>
                      <w:kern w:val="0"/>
                      <w:sz w:val="22"/>
                      <w:szCs w:val="22"/>
                    </w:rPr>
                    <w:t>更替</w:t>
                  </w:r>
                </w:p>
              </w:tc>
            </w:tr>
            <w:tr w14:paraId="2C40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6879D9DD">
                  <w:pPr>
                    <w:adjustRightInd w:val="0"/>
                    <w:snapToGrid w:val="0"/>
                    <w:jc w:val="center"/>
                    <w:rPr>
                      <w:rFonts w:ascii="Times New Roman" w:hAnsi="Times New Roman" w:eastAsia="宋体" w:cs="Times New Roman"/>
                      <w:kern w:val="0"/>
                      <w:sz w:val="22"/>
                      <w:szCs w:val="22"/>
                      <w:lang w:val="en-US" w:eastAsia="zh-CN" w:bidi="ar-SA"/>
                    </w:rPr>
                  </w:pPr>
                  <w:r>
                    <w:rPr>
                      <w:kern w:val="0"/>
                      <w:sz w:val="22"/>
                      <w:szCs w:val="22"/>
                    </w:rPr>
                    <w:t>23</w:t>
                  </w:r>
                </w:p>
              </w:tc>
              <w:tc>
                <w:tcPr>
                  <w:tcW w:w="714" w:type="dxa"/>
                  <w:vMerge w:val="continue"/>
                  <w:vAlign w:val="center"/>
                </w:tcPr>
                <w:p w14:paraId="25A7E687">
                  <w:pPr>
                    <w:adjustRightInd w:val="0"/>
                    <w:snapToGrid w:val="0"/>
                    <w:jc w:val="center"/>
                    <w:rPr>
                      <w:kern w:val="0"/>
                      <w:sz w:val="22"/>
                      <w:szCs w:val="22"/>
                    </w:rPr>
                  </w:pPr>
                </w:p>
              </w:tc>
              <w:tc>
                <w:tcPr>
                  <w:tcW w:w="2027" w:type="dxa"/>
                  <w:vAlign w:val="center"/>
                </w:tcPr>
                <w:p w14:paraId="35438A75">
                  <w:pPr>
                    <w:adjustRightInd w:val="0"/>
                    <w:snapToGrid w:val="0"/>
                    <w:jc w:val="center"/>
                    <w:rPr>
                      <w:spacing w:val="-4"/>
                      <w:sz w:val="22"/>
                      <w:szCs w:val="22"/>
                    </w:rPr>
                  </w:pPr>
                  <w:r>
                    <w:rPr>
                      <w:spacing w:val="-4"/>
                      <w:sz w:val="22"/>
                      <w:szCs w:val="22"/>
                    </w:rPr>
                    <w:t>视频监控系统</w:t>
                  </w:r>
                </w:p>
              </w:tc>
              <w:tc>
                <w:tcPr>
                  <w:tcW w:w="734" w:type="dxa"/>
                  <w:vAlign w:val="center"/>
                </w:tcPr>
                <w:p w14:paraId="7B2373EE">
                  <w:pPr>
                    <w:adjustRightInd w:val="0"/>
                    <w:snapToGrid w:val="0"/>
                    <w:jc w:val="center"/>
                    <w:rPr>
                      <w:color w:val="FF0000"/>
                      <w:kern w:val="0"/>
                      <w:sz w:val="22"/>
                      <w:szCs w:val="22"/>
                    </w:rPr>
                  </w:pPr>
                  <w:r>
                    <w:rPr>
                      <w:color w:val="FF0000"/>
                      <w:kern w:val="0"/>
                      <w:sz w:val="22"/>
                      <w:szCs w:val="22"/>
                    </w:rPr>
                    <w:t>1</w:t>
                  </w:r>
                </w:p>
              </w:tc>
              <w:tc>
                <w:tcPr>
                  <w:tcW w:w="883" w:type="dxa"/>
                  <w:vAlign w:val="center"/>
                </w:tcPr>
                <w:p w14:paraId="1A2371F7">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5CD7D7FC">
                  <w:pPr>
                    <w:adjustRightInd w:val="0"/>
                    <w:snapToGrid w:val="0"/>
                    <w:jc w:val="center"/>
                    <w:rPr>
                      <w:color w:val="FF0000"/>
                      <w:kern w:val="0"/>
                      <w:sz w:val="22"/>
                      <w:szCs w:val="22"/>
                    </w:rPr>
                  </w:pPr>
                  <w:r>
                    <w:rPr>
                      <w:color w:val="FF0000"/>
                      <w:kern w:val="0"/>
                      <w:sz w:val="22"/>
                      <w:szCs w:val="22"/>
                    </w:rPr>
                    <w:t>1</w:t>
                  </w:r>
                </w:p>
              </w:tc>
              <w:tc>
                <w:tcPr>
                  <w:tcW w:w="927" w:type="dxa"/>
                  <w:vAlign w:val="center"/>
                </w:tcPr>
                <w:p w14:paraId="1DB1DE17">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5F85D4C8">
                  <w:pPr>
                    <w:adjustRightInd w:val="0"/>
                    <w:snapToGrid w:val="0"/>
                    <w:jc w:val="center"/>
                    <w:rPr>
                      <w:color w:val="FF0000"/>
                      <w:kern w:val="0"/>
                      <w:sz w:val="22"/>
                      <w:szCs w:val="22"/>
                    </w:rPr>
                  </w:pPr>
                  <w:r>
                    <w:rPr>
                      <w:color w:val="FF0000"/>
                      <w:kern w:val="0"/>
                      <w:sz w:val="22"/>
                      <w:szCs w:val="22"/>
                    </w:rPr>
                    <w:t>利旧</w:t>
                  </w:r>
                </w:p>
              </w:tc>
            </w:tr>
            <w:tr w14:paraId="5AD8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0FCCDD33">
                  <w:pPr>
                    <w:adjustRightInd w:val="0"/>
                    <w:snapToGrid w:val="0"/>
                    <w:jc w:val="center"/>
                    <w:rPr>
                      <w:rFonts w:hint="default" w:ascii="Times New Roman" w:hAnsi="Times New Roman" w:eastAsia="宋体" w:cs="Times New Roman"/>
                      <w:kern w:val="0"/>
                      <w:sz w:val="22"/>
                      <w:szCs w:val="22"/>
                      <w:lang w:val="en-US" w:eastAsia="zh-CN" w:bidi="ar-SA"/>
                    </w:rPr>
                  </w:pPr>
                  <w:r>
                    <w:rPr>
                      <w:rFonts w:hint="eastAsia"/>
                      <w:kern w:val="0"/>
                      <w:sz w:val="22"/>
                      <w:szCs w:val="22"/>
                      <w:lang w:val="en-US" w:eastAsia="zh-CN"/>
                    </w:rPr>
                    <w:t>24</w:t>
                  </w:r>
                </w:p>
              </w:tc>
              <w:tc>
                <w:tcPr>
                  <w:tcW w:w="714" w:type="dxa"/>
                  <w:vMerge w:val="continue"/>
                  <w:vAlign w:val="center"/>
                </w:tcPr>
                <w:p w14:paraId="414EA9D8">
                  <w:pPr>
                    <w:adjustRightInd w:val="0"/>
                    <w:snapToGrid w:val="0"/>
                    <w:jc w:val="center"/>
                    <w:rPr>
                      <w:kern w:val="0"/>
                      <w:sz w:val="22"/>
                      <w:szCs w:val="22"/>
                    </w:rPr>
                  </w:pPr>
                </w:p>
              </w:tc>
              <w:tc>
                <w:tcPr>
                  <w:tcW w:w="2027" w:type="dxa"/>
                  <w:vAlign w:val="center"/>
                </w:tcPr>
                <w:p w14:paraId="01D6A5C7">
                  <w:pPr>
                    <w:adjustRightInd w:val="0"/>
                    <w:snapToGrid w:val="0"/>
                    <w:jc w:val="center"/>
                    <w:rPr>
                      <w:spacing w:val="-4"/>
                      <w:sz w:val="22"/>
                      <w:szCs w:val="22"/>
                    </w:rPr>
                  </w:pPr>
                  <w:r>
                    <w:rPr>
                      <w:spacing w:val="-4"/>
                      <w:sz w:val="22"/>
                      <w:szCs w:val="22"/>
                    </w:rPr>
                    <w:t>严禁烟火等警示安全标志</w:t>
                  </w:r>
                </w:p>
              </w:tc>
              <w:tc>
                <w:tcPr>
                  <w:tcW w:w="734" w:type="dxa"/>
                  <w:vAlign w:val="center"/>
                </w:tcPr>
                <w:p w14:paraId="22A282C2">
                  <w:pPr>
                    <w:adjustRightInd w:val="0"/>
                    <w:snapToGrid w:val="0"/>
                    <w:jc w:val="center"/>
                    <w:rPr>
                      <w:color w:val="FF0000"/>
                      <w:kern w:val="0"/>
                      <w:sz w:val="22"/>
                      <w:szCs w:val="22"/>
                    </w:rPr>
                  </w:pPr>
                  <w:r>
                    <w:rPr>
                      <w:color w:val="FF0000"/>
                      <w:kern w:val="0"/>
                      <w:sz w:val="22"/>
                      <w:szCs w:val="22"/>
                    </w:rPr>
                    <w:t>若干</w:t>
                  </w:r>
                </w:p>
              </w:tc>
              <w:tc>
                <w:tcPr>
                  <w:tcW w:w="883" w:type="dxa"/>
                  <w:vAlign w:val="center"/>
                </w:tcPr>
                <w:p w14:paraId="4F7F208C">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5B10840F">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若干</w:t>
                  </w:r>
                </w:p>
              </w:tc>
              <w:tc>
                <w:tcPr>
                  <w:tcW w:w="927" w:type="dxa"/>
                  <w:vAlign w:val="center"/>
                </w:tcPr>
                <w:p w14:paraId="5771F136">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23A70E30">
                  <w:pPr>
                    <w:adjustRightInd w:val="0"/>
                    <w:snapToGrid w:val="0"/>
                    <w:jc w:val="center"/>
                    <w:rPr>
                      <w:color w:val="FF0000"/>
                      <w:kern w:val="0"/>
                      <w:sz w:val="22"/>
                      <w:szCs w:val="22"/>
                    </w:rPr>
                  </w:pPr>
                  <w:r>
                    <w:rPr>
                      <w:color w:val="FF0000"/>
                      <w:kern w:val="0"/>
                      <w:sz w:val="22"/>
                      <w:szCs w:val="22"/>
                    </w:rPr>
                    <w:t>利旧</w:t>
                  </w:r>
                </w:p>
              </w:tc>
            </w:tr>
            <w:tr w14:paraId="4448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685C2C74">
                  <w:pPr>
                    <w:adjustRightInd w:val="0"/>
                    <w:snapToGrid w:val="0"/>
                    <w:jc w:val="center"/>
                    <w:rPr>
                      <w:rFonts w:hint="default" w:ascii="Times New Roman" w:hAnsi="Times New Roman" w:eastAsia="宋体" w:cs="Times New Roman"/>
                      <w:kern w:val="0"/>
                      <w:sz w:val="22"/>
                      <w:szCs w:val="22"/>
                      <w:lang w:val="en-US" w:eastAsia="zh-CN" w:bidi="ar-SA"/>
                    </w:rPr>
                  </w:pPr>
                  <w:r>
                    <w:rPr>
                      <w:rFonts w:hint="eastAsia"/>
                      <w:kern w:val="0"/>
                      <w:sz w:val="22"/>
                      <w:szCs w:val="22"/>
                      <w:lang w:val="en-US" w:eastAsia="zh-CN"/>
                    </w:rPr>
                    <w:t>25</w:t>
                  </w:r>
                </w:p>
              </w:tc>
              <w:tc>
                <w:tcPr>
                  <w:tcW w:w="714" w:type="dxa"/>
                  <w:vMerge w:val="continue"/>
                  <w:vAlign w:val="center"/>
                </w:tcPr>
                <w:p w14:paraId="33225C3F">
                  <w:pPr>
                    <w:adjustRightInd w:val="0"/>
                    <w:snapToGrid w:val="0"/>
                    <w:jc w:val="center"/>
                    <w:rPr>
                      <w:kern w:val="0"/>
                      <w:sz w:val="22"/>
                      <w:szCs w:val="22"/>
                    </w:rPr>
                  </w:pPr>
                </w:p>
              </w:tc>
              <w:tc>
                <w:tcPr>
                  <w:tcW w:w="2027" w:type="dxa"/>
                  <w:vAlign w:val="center"/>
                </w:tcPr>
                <w:p w14:paraId="4839AB43">
                  <w:pPr>
                    <w:adjustRightInd w:val="0"/>
                    <w:snapToGrid w:val="0"/>
                    <w:jc w:val="center"/>
                    <w:rPr>
                      <w:spacing w:val="-4"/>
                      <w:sz w:val="22"/>
                      <w:szCs w:val="22"/>
                    </w:rPr>
                  </w:pPr>
                  <w:r>
                    <w:rPr>
                      <w:spacing w:val="-4"/>
                      <w:sz w:val="22"/>
                      <w:szCs w:val="22"/>
                    </w:rPr>
                    <w:t>UPS电源</w:t>
                  </w:r>
                </w:p>
              </w:tc>
              <w:tc>
                <w:tcPr>
                  <w:tcW w:w="734" w:type="dxa"/>
                  <w:vAlign w:val="center"/>
                </w:tcPr>
                <w:p w14:paraId="676C0307">
                  <w:pPr>
                    <w:adjustRightInd w:val="0"/>
                    <w:snapToGrid w:val="0"/>
                    <w:jc w:val="center"/>
                    <w:rPr>
                      <w:color w:val="FF0000"/>
                      <w:kern w:val="0"/>
                      <w:sz w:val="22"/>
                      <w:szCs w:val="22"/>
                    </w:rPr>
                  </w:pPr>
                  <w:r>
                    <w:rPr>
                      <w:rFonts w:hint="eastAsia"/>
                      <w:color w:val="FF0000"/>
                      <w:kern w:val="0"/>
                      <w:sz w:val="22"/>
                      <w:szCs w:val="22"/>
                    </w:rPr>
                    <w:t>1</w:t>
                  </w:r>
                </w:p>
              </w:tc>
              <w:tc>
                <w:tcPr>
                  <w:tcW w:w="883" w:type="dxa"/>
                  <w:vAlign w:val="center"/>
                </w:tcPr>
                <w:p w14:paraId="35BD0DA4">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30C12E36">
                  <w:pPr>
                    <w:adjustRightInd w:val="0"/>
                    <w:snapToGrid w:val="0"/>
                    <w:jc w:val="center"/>
                    <w:rPr>
                      <w:color w:val="FF0000"/>
                      <w:kern w:val="0"/>
                      <w:sz w:val="22"/>
                      <w:szCs w:val="22"/>
                    </w:rPr>
                  </w:pPr>
                  <w:r>
                    <w:rPr>
                      <w:rFonts w:hint="eastAsia"/>
                      <w:color w:val="FF0000"/>
                      <w:kern w:val="0"/>
                      <w:sz w:val="22"/>
                      <w:szCs w:val="22"/>
                    </w:rPr>
                    <w:t>1</w:t>
                  </w:r>
                </w:p>
              </w:tc>
              <w:tc>
                <w:tcPr>
                  <w:tcW w:w="927" w:type="dxa"/>
                  <w:vAlign w:val="center"/>
                </w:tcPr>
                <w:p w14:paraId="2FD2AEB0">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7E169B17">
                  <w:pPr>
                    <w:adjustRightInd w:val="0"/>
                    <w:snapToGrid w:val="0"/>
                    <w:jc w:val="center"/>
                    <w:rPr>
                      <w:color w:val="FF0000"/>
                      <w:kern w:val="0"/>
                      <w:sz w:val="22"/>
                      <w:szCs w:val="22"/>
                    </w:rPr>
                  </w:pPr>
                  <w:r>
                    <w:rPr>
                      <w:color w:val="FF0000"/>
                      <w:kern w:val="0"/>
                      <w:sz w:val="22"/>
                      <w:szCs w:val="22"/>
                    </w:rPr>
                    <w:t>利旧</w:t>
                  </w:r>
                </w:p>
              </w:tc>
            </w:tr>
            <w:tr w14:paraId="4C11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75C804E1">
                  <w:pPr>
                    <w:adjustRightInd w:val="0"/>
                    <w:snapToGrid w:val="0"/>
                    <w:jc w:val="center"/>
                    <w:rPr>
                      <w:rFonts w:hint="default" w:eastAsia="宋体"/>
                      <w:kern w:val="0"/>
                      <w:sz w:val="22"/>
                      <w:szCs w:val="22"/>
                      <w:lang w:val="en-US" w:eastAsia="zh-CN"/>
                    </w:rPr>
                  </w:pPr>
                  <w:r>
                    <w:rPr>
                      <w:rFonts w:hint="eastAsia"/>
                      <w:kern w:val="0"/>
                      <w:sz w:val="22"/>
                      <w:szCs w:val="22"/>
                      <w:lang w:val="en-US" w:eastAsia="zh-CN"/>
                    </w:rPr>
                    <w:t>26</w:t>
                  </w:r>
                </w:p>
              </w:tc>
              <w:tc>
                <w:tcPr>
                  <w:tcW w:w="714" w:type="dxa"/>
                  <w:vMerge w:val="continue"/>
                  <w:vAlign w:val="center"/>
                </w:tcPr>
                <w:p w14:paraId="15702221">
                  <w:pPr>
                    <w:adjustRightInd w:val="0"/>
                    <w:snapToGrid w:val="0"/>
                    <w:jc w:val="center"/>
                    <w:rPr>
                      <w:kern w:val="0"/>
                      <w:sz w:val="22"/>
                      <w:szCs w:val="22"/>
                    </w:rPr>
                  </w:pPr>
                </w:p>
              </w:tc>
              <w:tc>
                <w:tcPr>
                  <w:tcW w:w="2027" w:type="dxa"/>
                  <w:vAlign w:val="center"/>
                </w:tcPr>
                <w:p w14:paraId="09D9FF2B">
                  <w:pPr>
                    <w:adjustRightInd w:val="0"/>
                    <w:snapToGrid w:val="0"/>
                    <w:jc w:val="center"/>
                    <w:rPr>
                      <w:color w:val="auto"/>
                      <w:spacing w:val="-4"/>
                      <w:sz w:val="22"/>
                      <w:szCs w:val="22"/>
                    </w:rPr>
                  </w:pPr>
                  <w:r>
                    <w:rPr>
                      <w:color w:val="auto"/>
                      <w:spacing w:val="-4"/>
                      <w:sz w:val="22"/>
                      <w:szCs w:val="22"/>
                    </w:rPr>
                    <w:t>柴油发电机</w:t>
                  </w:r>
                </w:p>
              </w:tc>
              <w:tc>
                <w:tcPr>
                  <w:tcW w:w="734" w:type="dxa"/>
                  <w:vAlign w:val="center"/>
                </w:tcPr>
                <w:p w14:paraId="0B1ECA6C">
                  <w:pPr>
                    <w:adjustRightInd w:val="0"/>
                    <w:snapToGrid w:val="0"/>
                    <w:jc w:val="center"/>
                    <w:rPr>
                      <w:color w:val="FF0000"/>
                      <w:kern w:val="0"/>
                      <w:sz w:val="22"/>
                      <w:szCs w:val="22"/>
                    </w:rPr>
                  </w:pPr>
                  <w:r>
                    <w:rPr>
                      <w:rFonts w:hint="eastAsia"/>
                      <w:color w:val="FF0000"/>
                      <w:kern w:val="0"/>
                      <w:sz w:val="22"/>
                      <w:szCs w:val="22"/>
                    </w:rPr>
                    <w:t>1</w:t>
                  </w:r>
                </w:p>
              </w:tc>
              <w:tc>
                <w:tcPr>
                  <w:tcW w:w="883" w:type="dxa"/>
                  <w:vAlign w:val="center"/>
                </w:tcPr>
                <w:p w14:paraId="374854BF">
                  <w:pPr>
                    <w:adjustRightInd w:val="0"/>
                    <w:snapToGrid w:val="0"/>
                    <w:jc w:val="center"/>
                    <w:rPr>
                      <w:color w:val="FF0000"/>
                      <w:kern w:val="0"/>
                      <w:sz w:val="22"/>
                      <w:szCs w:val="22"/>
                    </w:rPr>
                  </w:pPr>
                  <w:r>
                    <w:rPr>
                      <w:rFonts w:hint="eastAsia"/>
                      <w:color w:val="FF0000"/>
                      <w:kern w:val="0"/>
                      <w:sz w:val="22"/>
                      <w:szCs w:val="22"/>
                    </w:rPr>
                    <w:t>3</w:t>
                  </w:r>
                  <w:r>
                    <w:rPr>
                      <w:color w:val="FF0000"/>
                      <w:kern w:val="0"/>
                      <w:sz w:val="22"/>
                      <w:szCs w:val="22"/>
                    </w:rPr>
                    <w:t>0KW</w:t>
                  </w:r>
                </w:p>
              </w:tc>
              <w:tc>
                <w:tcPr>
                  <w:tcW w:w="717" w:type="dxa"/>
                  <w:vAlign w:val="center"/>
                </w:tcPr>
                <w:p w14:paraId="6CE7F01C">
                  <w:pPr>
                    <w:adjustRightInd w:val="0"/>
                    <w:snapToGrid w:val="0"/>
                    <w:jc w:val="center"/>
                    <w:rPr>
                      <w:color w:val="FF0000"/>
                      <w:kern w:val="0"/>
                      <w:sz w:val="22"/>
                      <w:szCs w:val="22"/>
                    </w:rPr>
                  </w:pPr>
                  <w:r>
                    <w:rPr>
                      <w:rFonts w:hint="eastAsia"/>
                      <w:color w:val="FF0000"/>
                      <w:kern w:val="0"/>
                      <w:sz w:val="22"/>
                      <w:szCs w:val="22"/>
                    </w:rPr>
                    <w:t>1</w:t>
                  </w:r>
                </w:p>
              </w:tc>
              <w:tc>
                <w:tcPr>
                  <w:tcW w:w="927" w:type="dxa"/>
                  <w:vAlign w:val="center"/>
                </w:tcPr>
                <w:p w14:paraId="24655A8A">
                  <w:pPr>
                    <w:adjustRightInd w:val="0"/>
                    <w:snapToGrid w:val="0"/>
                    <w:jc w:val="center"/>
                    <w:rPr>
                      <w:rFonts w:hint="eastAsia"/>
                      <w:color w:val="FF0000"/>
                      <w:kern w:val="0"/>
                      <w:sz w:val="22"/>
                      <w:szCs w:val="22"/>
                    </w:rPr>
                  </w:pPr>
                  <w:r>
                    <w:rPr>
                      <w:rFonts w:hint="eastAsia"/>
                      <w:color w:val="FF0000"/>
                      <w:kern w:val="0"/>
                      <w:sz w:val="22"/>
                      <w:szCs w:val="22"/>
                    </w:rPr>
                    <w:t>3</w:t>
                  </w:r>
                  <w:r>
                    <w:rPr>
                      <w:color w:val="FF0000"/>
                      <w:kern w:val="0"/>
                      <w:sz w:val="22"/>
                      <w:szCs w:val="22"/>
                    </w:rPr>
                    <w:t>0KW</w:t>
                  </w:r>
                </w:p>
              </w:tc>
              <w:tc>
                <w:tcPr>
                  <w:tcW w:w="1375" w:type="dxa"/>
                  <w:vAlign w:val="center"/>
                </w:tcPr>
                <w:p w14:paraId="18F36260">
                  <w:pPr>
                    <w:adjustRightInd w:val="0"/>
                    <w:snapToGrid w:val="0"/>
                    <w:jc w:val="center"/>
                    <w:rPr>
                      <w:color w:val="FF0000"/>
                      <w:kern w:val="0"/>
                      <w:sz w:val="22"/>
                      <w:szCs w:val="22"/>
                    </w:rPr>
                  </w:pPr>
                  <w:r>
                    <w:rPr>
                      <w:color w:val="FF0000"/>
                      <w:kern w:val="0"/>
                      <w:sz w:val="22"/>
                      <w:szCs w:val="22"/>
                    </w:rPr>
                    <w:t>利旧</w:t>
                  </w:r>
                </w:p>
              </w:tc>
            </w:tr>
            <w:tr w14:paraId="38F4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Align w:val="center"/>
                </w:tcPr>
                <w:p w14:paraId="49915591">
                  <w:pPr>
                    <w:adjustRightInd w:val="0"/>
                    <w:snapToGrid w:val="0"/>
                    <w:jc w:val="center"/>
                    <w:rPr>
                      <w:rFonts w:hint="default" w:eastAsia="宋体"/>
                      <w:kern w:val="0"/>
                      <w:sz w:val="22"/>
                      <w:szCs w:val="22"/>
                      <w:lang w:val="en-US" w:eastAsia="zh-CN"/>
                    </w:rPr>
                  </w:pPr>
                  <w:r>
                    <w:rPr>
                      <w:rFonts w:hint="eastAsia"/>
                      <w:kern w:val="0"/>
                      <w:sz w:val="22"/>
                      <w:szCs w:val="22"/>
                      <w:lang w:val="en-US" w:eastAsia="zh-CN"/>
                    </w:rPr>
                    <w:t>27</w:t>
                  </w:r>
                </w:p>
              </w:tc>
              <w:tc>
                <w:tcPr>
                  <w:tcW w:w="714" w:type="dxa"/>
                  <w:vMerge w:val="continue"/>
                  <w:vAlign w:val="center"/>
                </w:tcPr>
                <w:p w14:paraId="678C6F5E">
                  <w:pPr>
                    <w:adjustRightInd w:val="0"/>
                    <w:snapToGrid w:val="0"/>
                    <w:jc w:val="center"/>
                    <w:rPr>
                      <w:kern w:val="0"/>
                      <w:sz w:val="22"/>
                      <w:szCs w:val="22"/>
                    </w:rPr>
                  </w:pPr>
                </w:p>
              </w:tc>
              <w:tc>
                <w:tcPr>
                  <w:tcW w:w="2027" w:type="dxa"/>
                  <w:vAlign w:val="center"/>
                </w:tcPr>
                <w:p w14:paraId="1199653C">
                  <w:pPr>
                    <w:adjustRightInd w:val="0"/>
                    <w:snapToGrid w:val="0"/>
                    <w:jc w:val="center"/>
                    <w:rPr>
                      <w:spacing w:val="-4"/>
                      <w:sz w:val="22"/>
                      <w:szCs w:val="22"/>
                    </w:rPr>
                  </w:pPr>
                  <w:r>
                    <w:rPr>
                      <w:spacing w:val="-4"/>
                      <w:sz w:val="22"/>
                      <w:szCs w:val="22"/>
                    </w:rPr>
                    <w:t>紧急切断按钮</w:t>
                  </w:r>
                </w:p>
              </w:tc>
              <w:tc>
                <w:tcPr>
                  <w:tcW w:w="734" w:type="dxa"/>
                  <w:vAlign w:val="center"/>
                </w:tcPr>
                <w:p w14:paraId="44CD5A7B">
                  <w:pPr>
                    <w:adjustRightInd w:val="0"/>
                    <w:snapToGrid w:val="0"/>
                    <w:jc w:val="center"/>
                    <w:rPr>
                      <w:color w:val="FF0000"/>
                      <w:kern w:val="0"/>
                      <w:sz w:val="22"/>
                      <w:szCs w:val="22"/>
                    </w:rPr>
                  </w:pPr>
                  <w:r>
                    <w:rPr>
                      <w:rFonts w:hint="eastAsia"/>
                      <w:color w:val="FF0000"/>
                      <w:kern w:val="0"/>
                      <w:sz w:val="22"/>
                      <w:szCs w:val="22"/>
                    </w:rPr>
                    <w:t>1</w:t>
                  </w:r>
                </w:p>
              </w:tc>
              <w:tc>
                <w:tcPr>
                  <w:tcW w:w="883" w:type="dxa"/>
                  <w:vAlign w:val="center"/>
                </w:tcPr>
                <w:p w14:paraId="1514F68E">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60435F34">
                  <w:pPr>
                    <w:adjustRightInd w:val="0"/>
                    <w:snapToGrid w:val="0"/>
                    <w:jc w:val="center"/>
                    <w:rPr>
                      <w:color w:val="FF0000"/>
                      <w:kern w:val="0"/>
                      <w:sz w:val="22"/>
                      <w:szCs w:val="22"/>
                    </w:rPr>
                  </w:pPr>
                  <w:r>
                    <w:rPr>
                      <w:rFonts w:hint="eastAsia"/>
                      <w:color w:val="FF0000"/>
                      <w:kern w:val="0"/>
                      <w:sz w:val="22"/>
                      <w:szCs w:val="22"/>
                    </w:rPr>
                    <w:t>3</w:t>
                  </w:r>
                </w:p>
              </w:tc>
              <w:tc>
                <w:tcPr>
                  <w:tcW w:w="927" w:type="dxa"/>
                  <w:vAlign w:val="center"/>
                </w:tcPr>
                <w:p w14:paraId="06BC1FE9">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13A841E2">
                  <w:pPr>
                    <w:adjustRightInd w:val="0"/>
                    <w:snapToGrid w:val="0"/>
                    <w:jc w:val="center"/>
                    <w:rPr>
                      <w:color w:val="FF0000"/>
                      <w:kern w:val="0"/>
                      <w:sz w:val="22"/>
                      <w:szCs w:val="22"/>
                    </w:rPr>
                  </w:pPr>
                  <w:r>
                    <w:rPr>
                      <w:rFonts w:hint="eastAsia"/>
                      <w:color w:val="FF0000"/>
                      <w:kern w:val="0"/>
                      <w:sz w:val="22"/>
                      <w:szCs w:val="22"/>
                    </w:rPr>
                    <w:t>站房、罩棚立柱新增</w:t>
                  </w:r>
                </w:p>
              </w:tc>
            </w:tr>
            <w:tr w14:paraId="7AC8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4F0532A5">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28</w:t>
                  </w:r>
                </w:p>
              </w:tc>
              <w:tc>
                <w:tcPr>
                  <w:tcW w:w="714" w:type="dxa"/>
                  <w:vMerge w:val="continue"/>
                  <w:vAlign w:val="center"/>
                </w:tcPr>
                <w:p w14:paraId="1574CFC4">
                  <w:pPr>
                    <w:adjustRightInd w:val="0"/>
                    <w:snapToGrid w:val="0"/>
                    <w:jc w:val="center"/>
                    <w:rPr>
                      <w:kern w:val="0"/>
                      <w:sz w:val="22"/>
                      <w:szCs w:val="22"/>
                    </w:rPr>
                  </w:pPr>
                </w:p>
              </w:tc>
              <w:tc>
                <w:tcPr>
                  <w:tcW w:w="2027" w:type="dxa"/>
                  <w:vAlign w:val="center"/>
                </w:tcPr>
                <w:p w14:paraId="3D53544A">
                  <w:pPr>
                    <w:adjustRightInd w:val="0"/>
                    <w:snapToGrid w:val="0"/>
                    <w:jc w:val="center"/>
                    <w:rPr>
                      <w:spacing w:val="-4"/>
                      <w:sz w:val="22"/>
                      <w:szCs w:val="22"/>
                    </w:rPr>
                  </w:pPr>
                  <w:r>
                    <w:rPr>
                      <w:spacing w:val="-4"/>
                      <w:sz w:val="22"/>
                      <w:szCs w:val="22"/>
                    </w:rPr>
                    <w:t>应急照明</w:t>
                  </w:r>
                </w:p>
              </w:tc>
              <w:tc>
                <w:tcPr>
                  <w:tcW w:w="734" w:type="dxa"/>
                  <w:vAlign w:val="center"/>
                </w:tcPr>
                <w:p w14:paraId="40D57CAA">
                  <w:pPr>
                    <w:adjustRightInd w:val="0"/>
                    <w:snapToGrid w:val="0"/>
                    <w:jc w:val="center"/>
                    <w:rPr>
                      <w:color w:val="FF0000"/>
                      <w:kern w:val="0"/>
                      <w:sz w:val="22"/>
                      <w:szCs w:val="22"/>
                    </w:rPr>
                  </w:pPr>
                  <w:r>
                    <w:rPr>
                      <w:rFonts w:hint="eastAsia"/>
                      <w:color w:val="FF0000"/>
                      <w:kern w:val="0"/>
                      <w:sz w:val="22"/>
                      <w:szCs w:val="22"/>
                    </w:rPr>
                    <w:t>若干</w:t>
                  </w:r>
                </w:p>
              </w:tc>
              <w:tc>
                <w:tcPr>
                  <w:tcW w:w="883" w:type="dxa"/>
                  <w:vAlign w:val="center"/>
                </w:tcPr>
                <w:p w14:paraId="591C612B">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30C89F8A">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若干</w:t>
                  </w:r>
                </w:p>
              </w:tc>
              <w:tc>
                <w:tcPr>
                  <w:tcW w:w="927" w:type="dxa"/>
                  <w:vAlign w:val="center"/>
                </w:tcPr>
                <w:p w14:paraId="4C029FFD">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1B9D40B6">
                  <w:pPr>
                    <w:adjustRightInd w:val="0"/>
                    <w:snapToGrid w:val="0"/>
                    <w:jc w:val="center"/>
                    <w:rPr>
                      <w:color w:val="FF0000"/>
                      <w:kern w:val="0"/>
                      <w:sz w:val="22"/>
                      <w:szCs w:val="22"/>
                    </w:rPr>
                  </w:pPr>
                  <w:r>
                    <w:rPr>
                      <w:rFonts w:hint="eastAsia"/>
                      <w:color w:val="FF0000"/>
                      <w:kern w:val="0"/>
                      <w:sz w:val="22"/>
                      <w:szCs w:val="22"/>
                    </w:rPr>
                    <w:t>利旧</w:t>
                  </w:r>
                </w:p>
              </w:tc>
            </w:tr>
            <w:tr w14:paraId="7F6B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5D12292C">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29</w:t>
                  </w:r>
                </w:p>
              </w:tc>
              <w:tc>
                <w:tcPr>
                  <w:tcW w:w="714" w:type="dxa"/>
                  <w:vMerge w:val="continue"/>
                  <w:vAlign w:val="center"/>
                </w:tcPr>
                <w:p w14:paraId="1CC266EF">
                  <w:pPr>
                    <w:adjustRightInd w:val="0"/>
                    <w:snapToGrid w:val="0"/>
                    <w:jc w:val="center"/>
                    <w:rPr>
                      <w:kern w:val="0"/>
                      <w:sz w:val="22"/>
                      <w:szCs w:val="22"/>
                    </w:rPr>
                  </w:pPr>
                </w:p>
              </w:tc>
              <w:tc>
                <w:tcPr>
                  <w:tcW w:w="2027" w:type="dxa"/>
                  <w:vAlign w:val="center"/>
                </w:tcPr>
                <w:p w14:paraId="68F3B284">
                  <w:pPr>
                    <w:adjustRightInd w:val="0"/>
                    <w:snapToGrid w:val="0"/>
                    <w:jc w:val="center"/>
                    <w:rPr>
                      <w:color w:val="auto"/>
                      <w:spacing w:val="-4"/>
                      <w:sz w:val="22"/>
                      <w:szCs w:val="22"/>
                    </w:rPr>
                  </w:pPr>
                  <w:r>
                    <w:rPr>
                      <w:color w:val="auto"/>
                      <w:spacing w:val="-4"/>
                      <w:sz w:val="22"/>
                      <w:szCs w:val="22"/>
                    </w:rPr>
                    <w:t>防溢阀</w:t>
                  </w:r>
                </w:p>
              </w:tc>
              <w:tc>
                <w:tcPr>
                  <w:tcW w:w="734" w:type="dxa"/>
                  <w:vAlign w:val="center"/>
                </w:tcPr>
                <w:p w14:paraId="68146E08">
                  <w:pPr>
                    <w:adjustRightInd w:val="0"/>
                    <w:snapToGrid w:val="0"/>
                    <w:jc w:val="center"/>
                    <w:rPr>
                      <w:color w:val="FF0000"/>
                      <w:kern w:val="0"/>
                      <w:sz w:val="22"/>
                      <w:szCs w:val="22"/>
                    </w:rPr>
                  </w:pPr>
                  <w:r>
                    <w:rPr>
                      <w:rFonts w:hint="eastAsia"/>
                      <w:color w:val="FF0000"/>
                      <w:kern w:val="0"/>
                      <w:sz w:val="22"/>
                      <w:szCs w:val="22"/>
                    </w:rPr>
                    <w:t>4</w:t>
                  </w:r>
                </w:p>
              </w:tc>
              <w:tc>
                <w:tcPr>
                  <w:tcW w:w="883" w:type="dxa"/>
                  <w:vAlign w:val="center"/>
                </w:tcPr>
                <w:p w14:paraId="72CE2150">
                  <w:pPr>
                    <w:adjustRightInd w:val="0"/>
                    <w:snapToGrid w:val="0"/>
                    <w:jc w:val="center"/>
                    <w:rPr>
                      <w:color w:val="FF0000"/>
                      <w:kern w:val="0"/>
                      <w:sz w:val="22"/>
                      <w:szCs w:val="22"/>
                    </w:rPr>
                  </w:pPr>
                  <w:r>
                    <w:rPr>
                      <w:rFonts w:hint="eastAsia"/>
                      <w:color w:val="FF0000"/>
                      <w:kern w:val="0"/>
                      <w:sz w:val="22"/>
                      <w:szCs w:val="22"/>
                      <w:lang w:val="en-US" w:eastAsia="zh-CN"/>
                    </w:rPr>
                    <w:t>/</w:t>
                  </w:r>
                </w:p>
              </w:tc>
              <w:tc>
                <w:tcPr>
                  <w:tcW w:w="717" w:type="dxa"/>
                  <w:vAlign w:val="center"/>
                </w:tcPr>
                <w:p w14:paraId="68E0F64B">
                  <w:pPr>
                    <w:adjustRightInd w:val="0"/>
                    <w:snapToGrid w:val="0"/>
                    <w:jc w:val="center"/>
                    <w:rPr>
                      <w:color w:val="FF0000"/>
                      <w:kern w:val="0"/>
                      <w:sz w:val="22"/>
                      <w:szCs w:val="22"/>
                    </w:rPr>
                  </w:pPr>
                  <w:r>
                    <w:rPr>
                      <w:rFonts w:hint="eastAsia"/>
                      <w:color w:val="FF0000"/>
                      <w:kern w:val="0"/>
                      <w:sz w:val="22"/>
                      <w:szCs w:val="22"/>
                    </w:rPr>
                    <w:t>4</w:t>
                  </w:r>
                </w:p>
              </w:tc>
              <w:tc>
                <w:tcPr>
                  <w:tcW w:w="927" w:type="dxa"/>
                  <w:vAlign w:val="center"/>
                </w:tcPr>
                <w:p w14:paraId="5F0FA9BC">
                  <w:pPr>
                    <w:adjustRightInd w:val="0"/>
                    <w:snapToGrid w:val="0"/>
                    <w:jc w:val="center"/>
                    <w:rPr>
                      <w:rFonts w:hint="eastAsia"/>
                      <w:color w:val="FF0000"/>
                      <w:kern w:val="0"/>
                      <w:sz w:val="22"/>
                      <w:szCs w:val="22"/>
                    </w:rPr>
                  </w:pPr>
                  <w:r>
                    <w:rPr>
                      <w:rFonts w:hint="eastAsia"/>
                      <w:color w:val="FF0000"/>
                      <w:kern w:val="0"/>
                      <w:sz w:val="22"/>
                      <w:szCs w:val="22"/>
                      <w:lang w:val="en-US" w:eastAsia="zh-CN"/>
                    </w:rPr>
                    <w:t>/</w:t>
                  </w:r>
                </w:p>
              </w:tc>
              <w:tc>
                <w:tcPr>
                  <w:tcW w:w="1375" w:type="dxa"/>
                  <w:vAlign w:val="center"/>
                </w:tcPr>
                <w:p w14:paraId="19557B62">
                  <w:pPr>
                    <w:adjustRightInd w:val="0"/>
                    <w:snapToGrid w:val="0"/>
                    <w:jc w:val="center"/>
                    <w:rPr>
                      <w:rFonts w:hint="eastAsia" w:eastAsia="宋体"/>
                      <w:color w:val="FF0000"/>
                      <w:kern w:val="0"/>
                      <w:sz w:val="22"/>
                      <w:szCs w:val="22"/>
                      <w:lang w:eastAsia="zh-CN"/>
                    </w:rPr>
                  </w:pPr>
                  <w:r>
                    <w:rPr>
                      <w:rFonts w:hint="eastAsia"/>
                      <w:color w:val="FF0000"/>
                      <w:kern w:val="0"/>
                      <w:sz w:val="22"/>
                      <w:szCs w:val="22"/>
                    </w:rPr>
                    <w:t>配套</w:t>
                  </w:r>
                  <w:r>
                    <w:rPr>
                      <w:rFonts w:hint="eastAsia"/>
                      <w:color w:val="FF0000"/>
                      <w:kern w:val="0"/>
                      <w:sz w:val="22"/>
                      <w:szCs w:val="22"/>
                      <w:lang w:val="en-US" w:eastAsia="zh-CN"/>
                    </w:rPr>
                    <w:t>更换</w:t>
                  </w:r>
                </w:p>
              </w:tc>
            </w:tr>
            <w:tr w14:paraId="1ACD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4BA34B46">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30</w:t>
                  </w:r>
                </w:p>
              </w:tc>
              <w:tc>
                <w:tcPr>
                  <w:tcW w:w="714" w:type="dxa"/>
                  <w:vMerge w:val="continue"/>
                  <w:vAlign w:val="center"/>
                </w:tcPr>
                <w:p w14:paraId="528B96A4">
                  <w:pPr>
                    <w:adjustRightInd w:val="0"/>
                    <w:snapToGrid w:val="0"/>
                    <w:jc w:val="center"/>
                    <w:rPr>
                      <w:kern w:val="0"/>
                      <w:sz w:val="22"/>
                      <w:szCs w:val="22"/>
                    </w:rPr>
                  </w:pPr>
                </w:p>
              </w:tc>
              <w:tc>
                <w:tcPr>
                  <w:tcW w:w="2027" w:type="dxa"/>
                  <w:vAlign w:val="center"/>
                </w:tcPr>
                <w:p w14:paraId="501F0617">
                  <w:pPr>
                    <w:adjustRightInd w:val="0"/>
                    <w:snapToGrid w:val="0"/>
                    <w:jc w:val="center"/>
                    <w:rPr>
                      <w:color w:val="auto"/>
                      <w:spacing w:val="-4"/>
                      <w:sz w:val="22"/>
                      <w:szCs w:val="22"/>
                    </w:rPr>
                  </w:pPr>
                  <w:r>
                    <w:rPr>
                      <w:color w:val="auto"/>
                      <w:spacing w:val="-4"/>
                      <w:sz w:val="22"/>
                      <w:szCs w:val="22"/>
                    </w:rPr>
                    <w:t>剪切阀</w:t>
                  </w:r>
                </w:p>
              </w:tc>
              <w:tc>
                <w:tcPr>
                  <w:tcW w:w="734" w:type="dxa"/>
                  <w:vAlign w:val="center"/>
                </w:tcPr>
                <w:p w14:paraId="51398B81">
                  <w:pPr>
                    <w:adjustRightInd w:val="0"/>
                    <w:snapToGrid w:val="0"/>
                    <w:jc w:val="center"/>
                    <w:rPr>
                      <w:color w:val="FF0000"/>
                      <w:kern w:val="0"/>
                      <w:sz w:val="22"/>
                      <w:szCs w:val="22"/>
                    </w:rPr>
                  </w:pPr>
                  <w:r>
                    <w:rPr>
                      <w:rFonts w:hint="eastAsia"/>
                      <w:color w:val="FF0000"/>
                      <w:kern w:val="0"/>
                      <w:sz w:val="22"/>
                      <w:szCs w:val="22"/>
                    </w:rPr>
                    <w:t>6</w:t>
                  </w:r>
                </w:p>
              </w:tc>
              <w:tc>
                <w:tcPr>
                  <w:tcW w:w="883" w:type="dxa"/>
                  <w:vAlign w:val="center"/>
                </w:tcPr>
                <w:p w14:paraId="27A9A3F7">
                  <w:pPr>
                    <w:adjustRightInd w:val="0"/>
                    <w:snapToGrid w:val="0"/>
                    <w:jc w:val="center"/>
                    <w:rPr>
                      <w:color w:val="FF0000"/>
                      <w:kern w:val="0"/>
                      <w:sz w:val="22"/>
                      <w:szCs w:val="22"/>
                    </w:rPr>
                  </w:pPr>
                  <w:r>
                    <w:rPr>
                      <w:rFonts w:hint="eastAsia"/>
                      <w:color w:val="FF0000"/>
                      <w:kern w:val="0"/>
                      <w:sz w:val="22"/>
                      <w:szCs w:val="22"/>
                      <w:lang w:val="en-US" w:eastAsia="zh-CN"/>
                    </w:rPr>
                    <w:t>/</w:t>
                  </w:r>
                </w:p>
              </w:tc>
              <w:tc>
                <w:tcPr>
                  <w:tcW w:w="717" w:type="dxa"/>
                  <w:vAlign w:val="center"/>
                </w:tcPr>
                <w:p w14:paraId="3203F4E0">
                  <w:pPr>
                    <w:adjustRightInd w:val="0"/>
                    <w:snapToGrid w:val="0"/>
                    <w:jc w:val="center"/>
                    <w:rPr>
                      <w:color w:val="FF0000"/>
                      <w:kern w:val="0"/>
                      <w:sz w:val="22"/>
                      <w:szCs w:val="22"/>
                    </w:rPr>
                  </w:pPr>
                  <w:r>
                    <w:rPr>
                      <w:rFonts w:hint="eastAsia"/>
                      <w:color w:val="FF0000"/>
                      <w:kern w:val="0"/>
                      <w:sz w:val="22"/>
                      <w:szCs w:val="22"/>
                    </w:rPr>
                    <w:t>6</w:t>
                  </w:r>
                </w:p>
              </w:tc>
              <w:tc>
                <w:tcPr>
                  <w:tcW w:w="927" w:type="dxa"/>
                  <w:vAlign w:val="center"/>
                </w:tcPr>
                <w:p w14:paraId="786BD62B">
                  <w:pPr>
                    <w:adjustRightInd w:val="0"/>
                    <w:snapToGrid w:val="0"/>
                    <w:jc w:val="center"/>
                    <w:rPr>
                      <w:rFonts w:hint="eastAsia"/>
                      <w:color w:val="FF0000"/>
                      <w:kern w:val="0"/>
                      <w:sz w:val="22"/>
                      <w:szCs w:val="22"/>
                    </w:rPr>
                  </w:pPr>
                  <w:r>
                    <w:rPr>
                      <w:rFonts w:hint="eastAsia"/>
                      <w:color w:val="FF0000"/>
                      <w:kern w:val="0"/>
                      <w:sz w:val="22"/>
                      <w:szCs w:val="22"/>
                      <w:lang w:val="en-US" w:eastAsia="zh-CN"/>
                    </w:rPr>
                    <w:t>/</w:t>
                  </w:r>
                </w:p>
              </w:tc>
              <w:tc>
                <w:tcPr>
                  <w:tcW w:w="1375" w:type="dxa"/>
                  <w:vAlign w:val="center"/>
                </w:tcPr>
                <w:p w14:paraId="5CD60D6A">
                  <w:pPr>
                    <w:adjustRightInd w:val="0"/>
                    <w:snapToGrid w:val="0"/>
                    <w:jc w:val="center"/>
                    <w:rPr>
                      <w:color w:val="FF0000"/>
                      <w:kern w:val="0"/>
                      <w:sz w:val="22"/>
                      <w:szCs w:val="22"/>
                    </w:rPr>
                  </w:pPr>
                  <w:r>
                    <w:rPr>
                      <w:rFonts w:hint="eastAsia"/>
                      <w:color w:val="FF0000"/>
                      <w:kern w:val="0"/>
                      <w:sz w:val="22"/>
                      <w:szCs w:val="22"/>
                    </w:rPr>
                    <w:t>配套</w:t>
                  </w:r>
                  <w:r>
                    <w:rPr>
                      <w:rFonts w:hint="eastAsia"/>
                      <w:color w:val="FF0000"/>
                      <w:kern w:val="0"/>
                      <w:sz w:val="22"/>
                      <w:szCs w:val="22"/>
                      <w:lang w:val="en-US" w:eastAsia="zh-CN"/>
                    </w:rPr>
                    <w:t>更换</w:t>
                  </w:r>
                </w:p>
              </w:tc>
            </w:tr>
            <w:tr w14:paraId="150D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62CBA38A">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31</w:t>
                  </w:r>
                </w:p>
              </w:tc>
              <w:tc>
                <w:tcPr>
                  <w:tcW w:w="714" w:type="dxa"/>
                  <w:vMerge w:val="continue"/>
                  <w:vAlign w:val="center"/>
                </w:tcPr>
                <w:p w14:paraId="394DC6D7">
                  <w:pPr>
                    <w:adjustRightInd w:val="0"/>
                    <w:snapToGrid w:val="0"/>
                    <w:jc w:val="center"/>
                    <w:rPr>
                      <w:kern w:val="0"/>
                      <w:sz w:val="22"/>
                      <w:szCs w:val="22"/>
                    </w:rPr>
                  </w:pPr>
                </w:p>
              </w:tc>
              <w:tc>
                <w:tcPr>
                  <w:tcW w:w="2027" w:type="dxa"/>
                  <w:vAlign w:val="center"/>
                </w:tcPr>
                <w:p w14:paraId="77D1FA8C">
                  <w:pPr>
                    <w:adjustRightInd w:val="0"/>
                    <w:snapToGrid w:val="0"/>
                    <w:jc w:val="center"/>
                    <w:rPr>
                      <w:color w:val="auto"/>
                      <w:spacing w:val="-4"/>
                      <w:sz w:val="22"/>
                      <w:szCs w:val="22"/>
                    </w:rPr>
                  </w:pPr>
                  <w:r>
                    <w:rPr>
                      <w:color w:val="auto"/>
                      <w:spacing w:val="-4"/>
                      <w:sz w:val="22"/>
                      <w:szCs w:val="22"/>
                    </w:rPr>
                    <w:t>安全拉断阀</w:t>
                  </w:r>
                </w:p>
              </w:tc>
              <w:tc>
                <w:tcPr>
                  <w:tcW w:w="734" w:type="dxa"/>
                  <w:vAlign w:val="center"/>
                </w:tcPr>
                <w:p w14:paraId="4D85C1E6">
                  <w:pPr>
                    <w:adjustRightInd w:val="0"/>
                    <w:snapToGrid w:val="0"/>
                    <w:jc w:val="center"/>
                    <w:rPr>
                      <w:color w:val="FF0000"/>
                      <w:kern w:val="0"/>
                      <w:sz w:val="22"/>
                      <w:szCs w:val="22"/>
                    </w:rPr>
                  </w:pPr>
                  <w:r>
                    <w:rPr>
                      <w:rFonts w:hint="eastAsia"/>
                      <w:color w:val="FF0000"/>
                      <w:kern w:val="0"/>
                      <w:sz w:val="22"/>
                      <w:szCs w:val="22"/>
                    </w:rPr>
                    <w:t>8</w:t>
                  </w:r>
                </w:p>
              </w:tc>
              <w:tc>
                <w:tcPr>
                  <w:tcW w:w="883" w:type="dxa"/>
                  <w:vAlign w:val="center"/>
                </w:tcPr>
                <w:p w14:paraId="1F6C63E8">
                  <w:pPr>
                    <w:adjustRightInd w:val="0"/>
                    <w:snapToGrid w:val="0"/>
                    <w:jc w:val="center"/>
                    <w:rPr>
                      <w:color w:val="FF0000"/>
                      <w:kern w:val="0"/>
                      <w:sz w:val="22"/>
                      <w:szCs w:val="22"/>
                    </w:rPr>
                  </w:pPr>
                  <w:r>
                    <w:rPr>
                      <w:rFonts w:hint="eastAsia"/>
                      <w:color w:val="FF0000"/>
                      <w:kern w:val="0"/>
                      <w:sz w:val="22"/>
                      <w:szCs w:val="22"/>
                      <w:lang w:val="en-US" w:eastAsia="zh-CN"/>
                    </w:rPr>
                    <w:t>/</w:t>
                  </w:r>
                </w:p>
              </w:tc>
              <w:tc>
                <w:tcPr>
                  <w:tcW w:w="717" w:type="dxa"/>
                  <w:vAlign w:val="center"/>
                </w:tcPr>
                <w:p w14:paraId="1C417C79">
                  <w:pPr>
                    <w:adjustRightInd w:val="0"/>
                    <w:snapToGrid w:val="0"/>
                    <w:jc w:val="center"/>
                    <w:rPr>
                      <w:color w:val="FF0000"/>
                      <w:kern w:val="0"/>
                      <w:sz w:val="22"/>
                      <w:szCs w:val="22"/>
                    </w:rPr>
                  </w:pPr>
                  <w:r>
                    <w:rPr>
                      <w:rFonts w:hint="eastAsia"/>
                      <w:color w:val="FF0000"/>
                      <w:kern w:val="0"/>
                      <w:sz w:val="22"/>
                      <w:szCs w:val="22"/>
                    </w:rPr>
                    <w:t>8</w:t>
                  </w:r>
                </w:p>
              </w:tc>
              <w:tc>
                <w:tcPr>
                  <w:tcW w:w="927" w:type="dxa"/>
                  <w:vAlign w:val="center"/>
                </w:tcPr>
                <w:p w14:paraId="2EDB88F3">
                  <w:pPr>
                    <w:adjustRightInd w:val="0"/>
                    <w:snapToGrid w:val="0"/>
                    <w:jc w:val="center"/>
                    <w:rPr>
                      <w:rFonts w:hint="eastAsia"/>
                      <w:color w:val="FF0000"/>
                      <w:kern w:val="0"/>
                      <w:sz w:val="22"/>
                      <w:szCs w:val="22"/>
                    </w:rPr>
                  </w:pPr>
                  <w:r>
                    <w:rPr>
                      <w:rFonts w:hint="eastAsia"/>
                      <w:color w:val="FF0000"/>
                      <w:kern w:val="0"/>
                      <w:sz w:val="22"/>
                      <w:szCs w:val="22"/>
                      <w:lang w:val="en-US" w:eastAsia="zh-CN"/>
                    </w:rPr>
                    <w:t>/</w:t>
                  </w:r>
                </w:p>
              </w:tc>
              <w:tc>
                <w:tcPr>
                  <w:tcW w:w="1375" w:type="dxa"/>
                  <w:vAlign w:val="center"/>
                </w:tcPr>
                <w:p w14:paraId="1750E27C">
                  <w:pPr>
                    <w:adjustRightInd w:val="0"/>
                    <w:snapToGrid w:val="0"/>
                    <w:jc w:val="center"/>
                    <w:rPr>
                      <w:color w:val="FF0000"/>
                      <w:kern w:val="0"/>
                      <w:sz w:val="22"/>
                      <w:szCs w:val="22"/>
                    </w:rPr>
                  </w:pPr>
                  <w:r>
                    <w:rPr>
                      <w:rFonts w:hint="eastAsia"/>
                      <w:color w:val="FF0000"/>
                      <w:kern w:val="0"/>
                      <w:sz w:val="22"/>
                      <w:szCs w:val="22"/>
                    </w:rPr>
                    <w:t>配套</w:t>
                  </w:r>
                  <w:r>
                    <w:rPr>
                      <w:rFonts w:hint="eastAsia"/>
                      <w:color w:val="FF0000"/>
                      <w:kern w:val="0"/>
                      <w:sz w:val="22"/>
                      <w:szCs w:val="22"/>
                      <w:lang w:val="en-US" w:eastAsia="zh-CN"/>
                    </w:rPr>
                    <w:t>更换</w:t>
                  </w:r>
                </w:p>
              </w:tc>
            </w:tr>
            <w:tr w14:paraId="1407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1BEA4CB1">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32</w:t>
                  </w:r>
                </w:p>
              </w:tc>
              <w:tc>
                <w:tcPr>
                  <w:tcW w:w="714" w:type="dxa"/>
                  <w:vMerge w:val="continue"/>
                  <w:vAlign w:val="center"/>
                </w:tcPr>
                <w:p w14:paraId="068CEA76">
                  <w:pPr>
                    <w:adjustRightInd w:val="0"/>
                    <w:snapToGrid w:val="0"/>
                    <w:jc w:val="center"/>
                    <w:rPr>
                      <w:kern w:val="0"/>
                      <w:sz w:val="22"/>
                      <w:szCs w:val="22"/>
                    </w:rPr>
                  </w:pPr>
                </w:p>
              </w:tc>
              <w:tc>
                <w:tcPr>
                  <w:tcW w:w="2027" w:type="dxa"/>
                  <w:vAlign w:val="center"/>
                </w:tcPr>
                <w:p w14:paraId="670B6145">
                  <w:pPr>
                    <w:adjustRightInd w:val="0"/>
                    <w:snapToGrid w:val="0"/>
                    <w:jc w:val="center"/>
                    <w:rPr>
                      <w:spacing w:val="-4"/>
                      <w:sz w:val="22"/>
                      <w:szCs w:val="22"/>
                    </w:rPr>
                  </w:pPr>
                  <w:r>
                    <w:rPr>
                      <w:spacing w:val="-4"/>
                      <w:sz w:val="22"/>
                      <w:szCs w:val="22"/>
                    </w:rPr>
                    <w:t>消防沙池</w:t>
                  </w:r>
                </w:p>
              </w:tc>
              <w:tc>
                <w:tcPr>
                  <w:tcW w:w="734" w:type="dxa"/>
                  <w:vAlign w:val="center"/>
                </w:tcPr>
                <w:p w14:paraId="3A9F7AF2">
                  <w:pPr>
                    <w:adjustRightInd w:val="0"/>
                    <w:snapToGrid w:val="0"/>
                    <w:jc w:val="center"/>
                    <w:rPr>
                      <w:color w:val="FF0000"/>
                      <w:kern w:val="0"/>
                      <w:sz w:val="22"/>
                      <w:szCs w:val="22"/>
                    </w:rPr>
                  </w:pPr>
                  <w:r>
                    <w:rPr>
                      <w:rFonts w:hint="eastAsia"/>
                      <w:color w:val="FF0000"/>
                      <w:kern w:val="0"/>
                      <w:sz w:val="22"/>
                      <w:szCs w:val="22"/>
                    </w:rPr>
                    <w:t>2m</w:t>
                  </w:r>
                  <w:r>
                    <w:rPr>
                      <w:rFonts w:hint="eastAsia"/>
                      <w:color w:val="FF0000"/>
                      <w:kern w:val="0"/>
                      <w:sz w:val="22"/>
                      <w:szCs w:val="22"/>
                      <w:vertAlign w:val="superscript"/>
                    </w:rPr>
                    <w:t>3</w:t>
                  </w:r>
                </w:p>
              </w:tc>
              <w:tc>
                <w:tcPr>
                  <w:tcW w:w="883" w:type="dxa"/>
                  <w:vAlign w:val="center"/>
                </w:tcPr>
                <w:p w14:paraId="133C5874">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河沙</w:t>
                  </w:r>
                </w:p>
              </w:tc>
              <w:tc>
                <w:tcPr>
                  <w:tcW w:w="717" w:type="dxa"/>
                  <w:vAlign w:val="center"/>
                </w:tcPr>
                <w:p w14:paraId="0D1A1902">
                  <w:pPr>
                    <w:adjustRightInd w:val="0"/>
                    <w:snapToGrid w:val="0"/>
                    <w:jc w:val="center"/>
                    <w:rPr>
                      <w:color w:val="FF0000"/>
                      <w:kern w:val="0"/>
                      <w:sz w:val="22"/>
                      <w:szCs w:val="22"/>
                    </w:rPr>
                  </w:pPr>
                  <w:r>
                    <w:rPr>
                      <w:rFonts w:hint="eastAsia"/>
                      <w:color w:val="FF0000"/>
                      <w:kern w:val="0"/>
                      <w:sz w:val="22"/>
                      <w:szCs w:val="22"/>
                    </w:rPr>
                    <w:t>2m</w:t>
                  </w:r>
                  <w:r>
                    <w:rPr>
                      <w:rFonts w:hint="eastAsia"/>
                      <w:color w:val="FF0000"/>
                      <w:kern w:val="0"/>
                      <w:sz w:val="22"/>
                      <w:szCs w:val="22"/>
                      <w:vertAlign w:val="superscript"/>
                    </w:rPr>
                    <w:t>3</w:t>
                  </w:r>
                </w:p>
              </w:tc>
              <w:tc>
                <w:tcPr>
                  <w:tcW w:w="927" w:type="dxa"/>
                  <w:vAlign w:val="center"/>
                </w:tcPr>
                <w:p w14:paraId="3D2B8150">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河沙</w:t>
                  </w:r>
                </w:p>
              </w:tc>
              <w:tc>
                <w:tcPr>
                  <w:tcW w:w="1375" w:type="dxa"/>
                  <w:vAlign w:val="center"/>
                </w:tcPr>
                <w:p w14:paraId="3D3E246A">
                  <w:pPr>
                    <w:adjustRightInd w:val="0"/>
                    <w:snapToGrid w:val="0"/>
                    <w:jc w:val="center"/>
                    <w:rPr>
                      <w:color w:val="FF0000"/>
                      <w:kern w:val="0"/>
                      <w:sz w:val="22"/>
                      <w:szCs w:val="22"/>
                    </w:rPr>
                  </w:pPr>
                  <w:r>
                    <w:rPr>
                      <w:rFonts w:hint="eastAsia"/>
                      <w:color w:val="FF0000"/>
                      <w:kern w:val="0"/>
                      <w:sz w:val="22"/>
                      <w:szCs w:val="22"/>
                    </w:rPr>
                    <w:t>利旧</w:t>
                  </w:r>
                </w:p>
              </w:tc>
            </w:tr>
            <w:tr w14:paraId="71D3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647CF16B">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33</w:t>
                  </w:r>
                </w:p>
              </w:tc>
              <w:tc>
                <w:tcPr>
                  <w:tcW w:w="714" w:type="dxa"/>
                  <w:vMerge w:val="continue"/>
                  <w:vAlign w:val="center"/>
                </w:tcPr>
                <w:p w14:paraId="28468118">
                  <w:pPr>
                    <w:adjustRightInd w:val="0"/>
                    <w:snapToGrid w:val="0"/>
                    <w:jc w:val="center"/>
                    <w:rPr>
                      <w:kern w:val="0"/>
                      <w:sz w:val="22"/>
                      <w:szCs w:val="22"/>
                    </w:rPr>
                  </w:pPr>
                </w:p>
              </w:tc>
              <w:tc>
                <w:tcPr>
                  <w:tcW w:w="2027" w:type="dxa"/>
                  <w:vAlign w:val="center"/>
                </w:tcPr>
                <w:p w14:paraId="33D34CC9">
                  <w:pPr>
                    <w:adjustRightInd w:val="0"/>
                    <w:snapToGrid w:val="0"/>
                    <w:jc w:val="center"/>
                    <w:rPr>
                      <w:spacing w:val="-4"/>
                      <w:sz w:val="22"/>
                      <w:szCs w:val="22"/>
                    </w:rPr>
                  </w:pPr>
                  <w:r>
                    <w:rPr>
                      <w:spacing w:val="-4"/>
                      <w:sz w:val="22"/>
                      <w:szCs w:val="22"/>
                    </w:rPr>
                    <w:t>灭火毯</w:t>
                  </w:r>
                </w:p>
              </w:tc>
              <w:tc>
                <w:tcPr>
                  <w:tcW w:w="734" w:type="dxa"/>
                  <w:vAlign w:val="center"/>
                </w:tcPr>
                <w:p w14:paraId="4C359768">
                  <w:pPr>
                    <w:adjustRightInd w:val="0"/>
                    <w:snapToGrid w:val="0"/>
                    <w:jc w:val="center"/>
                    <w:rPr>
                      <w:color w:val="FF0000"/>
                      <w:kern w:val="0"/>
                      <w:sz w:val="22"/>
                      <w:szCs w:val="22"/>
                    </w:rPr>
                  </w:pPr>
                  <w:r>
                    <w:rPr>
                      <w:rFonts w:hint="eastAsia"/>
                      <w:color w:val="FF0000"/>
                      <w:kern w:val="0"/>
                      <w:sz w:val="22"/>
                      <w:szCs w:val="22"/>
                    </w:rPr>
                    <w:t>2</w:t>
                  </w:r>
                </w:p>
              </w:tc>
              <w:tc>
                <w:tcPr>
                  <w:tcW w:w="883" w:type="dxa"/>
                  <w:vAlign w:val="center"/>
                </w:tcPr>
                <w:p w14:paraId="3EFE4932">
                  <w:pPr>
                    <w:adjustRightInd w:val="0"/>
                    <w:snapToGrid w:val="0"/>
                    <w:jc w:val="center"/>
                    <w:rPr>
                      <w:rFonts w:hint="default" w:eastAsia="宋体"/>
                      <w:color w:val="FF0000"/>
                      <w:kern w:val="0"/>
                      <w:sz w:val="22"/>
                      <w:szCs w:val="22"/>
                      <w:lang w:val="en-US" w:eastAsia="zh-CN"/>
                    </w:rPr>
                  </w:pPr>
                  <w:r>
                    <w:rPr>
                      <w:rFonts w:hint="eastAsia"/>
                      <w:color w:val="FF0000"/>
                      <w:kern w:val="0"/>
                      <w:sz w:val="22"/>
                      <w:szCs w:val="22"/>
                      <w:lang w:val="en-US" w:eastAsia="zh-CN"/>
                    </w:rPr>
                    <w:t>2m×2m</w:t>
                  </w:r>
                </w:p>
              </w:tc>
              <w:tc>
                <w:tcPr>
                  <w:tcW w:w="717" w:type="dxa"/>
                  <w:vAlign w:val="center"/>
                </w:tcPr>
                <w:p w14:paraId="3C4AE9E4">
                  <w:pPr>
                    <w:adjustRightInd w:val="0"/>
                    <w:snapToGrid w:val="0"/>
                    <w:jc w:val="center"/>
                    <w:rPr>
                      <w:color w:val="FF0000"/>
                      <w:kern w:val="0"/>
                      <w:sz w:val="22"/>
                      <w:szCs w:val="22"/>
                    </w:rPr>
                  </w:pPr>
                  <w:r>
                    <w:rPr>
                      <w:rFonts w:hint="eastAsia"/>
                      <w:color w:val="FF0000"/>
                      <w:kern w:val="0"/>
                      <w:sz w:val="22"/>
                      <w:szCs w:val="22"/>
                    </w:rPr>
                    <w:t>5</w:t>
                  </w:r>
                </w:p>
              </w:tc>
              <w:tc>
                <w:tcPr>
                  <w:tcW w:w="927" w:type="dxa"/>
                  <w:vAlign w:val="center"/>
                </w:tcPr>
                <w:p w14:paraId="0C4B91A8">
                  <w:pPr>
                    <w:adjustRightInd w:val="0"/>
                    <w:snapToGrid w:val="0"/>
                    <w:jc w:val="center"/>
                    <w:rPr>
                      <w:rFonts w:hint="eastAsia"/>
                      <w:color w:val="FF0000"/>
                      <w:kern w:val="0"/>
                      <w:sz w:val="22"/>
                      <w:szCs w:val="22"/>
                    </w:rPr>
                  </w:pPr>
                  <w:r>
                    <w:rPr>
                      <w:rFonts w:hint="eastAsia"/>
                      <w:color w:val="FF0000"/>
                      <w:kern w:val="0"/>
                      <w:sz w:val="22"/>
                      <w:szCs w:val="22"/>
                      <w:lang w:val="en-US" w:eastAsia="zh-CN"/>
                    </w:rPr>
                    <w:t>2m×2m</w:t>
                  </w:r>
                </w:p>
              </w:tc>
              <w:tc>
                <w:tcPr>
                  <w:tcW w:w="1375" w:type="dxa"/>
                  <w:vAlign w:val="center"/>
                </w:tcPr>
                <w:p w14:paraId="20FBAACB">
                  <w:pPr>
                    <w:adjustRightInd w:val="0"/>
                    <w:snapToGrid w:val="0"/>
                    <w:jc w:val="center"/>
                    <w:rPr>
                      <w:color w:val="FF0000"/>
                      <w:kern w:val="0"/>
                      <w:sz w:val="22"/>
                      <w:szCs w:val="22"/>
                    </w:rPr>
                  </w:pPr>
                  <w:r>
                    <w:rPr>
                      <w:rFonts w:hint="eastAsia"/>
                      <w:color w:val="FF0000"/>
                      <w:kern w:val="0"/>
                      <w:sz w:val="22"/>
                      <w:szCs w:val="22"/>
                    </w:rPr>
                    <w:t>新增3张</w:t>
                  </w:r>
                </w:p>
              </w:tc>
            </w:tr>
            <w:tr w14:paraId="1DC6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207C8CF0">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34</w:t>
                  </w:r>
                </w:p>
              </w:tc>
              <w:tc>
                <w:tcPr>
                  <w:tcW w:w="714" w:type="dxa"/>
                  <w:vMerge w:val="continue"/>
                  <w:vAlign w:val="center"/>
                </w:tcPr>
                <w:p w14:paraId="6537841D">
                  <w:pPr>
                    <w:adjustRightInd w:val="0"/>
                    <w:snapToGrid w:val="0"/>
                    <w:jc w:val="center"/>
                    <w:rPr>
                      <w:kern w:val="0"/>
                      <w:sz w:val="22"/>
                      <w:szCs w:val="22"/>
                    </w:rPr>
                  </w:pPr>
                </w:p>
              </w:tc>
              <w:tc>
                <w:tcPr>
                  <w:tcW w:w="2027" w:type="dxa"/>
                  <w:vAlign w:val="center"/>
                </w:tcPr>
                <w:p w14:paraId="1DD43DD4">
                  <w:pPr>
                    <w:adjustRightInd w:val="0"/>
                    <w:snapToGrid w:val="0"/>
                    <w:jc w:val="center"/>
                    <w:rPr>
                      <w:spacing w:val="-4"/>
                      <w:sz w:val="22"/>
                      <w:szCs w:val="22"/>
                    </w:rPr>
                  </w:pPr>
                  <w:r>
                    <w:rPr>
                      <w:spacing w:val="-4"/>
                      <w:sz w:val="22"/>
                      <w:szCs w:val="22"/>
                    </w:rPr>
                    <w:t>灭火器</w:t>
                  </w:r>
                </w:p>
              </w:tc>
              <w:tc>
                <w:tcPr>
                  <w:tcW w:w="734" w:type="dxa"/>
                  <w:vAlign w:val="center"/>
                </w:tcPr>
                <w:p w14:paraId="7254BA11">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8</w:t>
                  </w:r>
                </w:p>
              </w:tc>
              <w:tc>
                <w:tcPr>
                  <w:tcW w:w="883" w:type="dxa"/>
                  <w:vAlign w:val="center"/>
                </w:tcPr>
                <w:p w14:paraId="37730607">
                  <w:pPr>
                    <w:adjustRightInd w:val="0"/>
                    <w:snapToGrid w:val="0"/>
                    <w:jc w:val="center"/>
                    <w:rPr>
                      <w:rFonts w:hint="default" w:eastAsia="宋体"/>
                      <w:color w:val="FF0000"/>
                      <w:kern w:val="0"/>
                      <w:sz w:val="22"/>
                      <w:szCs w:val="22"/>
                      <w:lang w:val="en-US" w:eastAsia="zh-CN"/>
                    </w:rPr>
                  </w:pPr>
                  <w:r>
                    <w:rPr>
                      <w:rFonts w:hint="default" w:eastAsia="宋体"/>
                      <w:color w:val="FF0000"/>
                      <w:kern w:val="0"/>
                      <w:sz w:val="22"/>
                      <w:szCs w:val="22"/>
                      <w:lang w:val="en-US" w:eastAsia="zh-CN"/>
                    </w:rPr>
                    <w:t>MF/ABC</w:t>
                  </w:r>
                </w:p>
              </w:tc>
              <w:tc>
                <w:tcPr>
                  <w:tcW w:w="717" w:type="dxa"/>
                  <w:vAlign w:val="center"/>
                </w:tcPr>
                <w:p w14:paraId="52BB0B17">
                  <w:pPr>
                    <w:adjustRightInd w:val="0"/>
                    <w:snapToGrid w:val="0"/>
                    <w:jc w:val="center"/>
                    <w:rPr>
                      <w:color w:val="FF0000"/>
                      <w:kern w:val="0"/>
                      <w:sz w:val="22"/>
                      <w:szCs w:val="22"/>
                    </w:rPr>
                  </w:pPr>
                  <w:r>
                    <w:rPr>
                      <w:rFonts w:hint="eastAsia"/>
                      <w:color w:val="FF0000"/>
                      <w:kern w:val="0"/>
                      <w:sz w:val="22"/>
                      <w:szCs w:val="22"/>
                      <w:lang w:val="en-US" w:eastAsia="zh-CN"/>
                    </w:rPr>
                    <w:t>1</w:t>
                  </w:r>
                  <w:r>
                    <w:rPr>
                      <w:rFonts w:hint="eastAsia"/>
                      <w:color w:val="FF0000"/>
                      <w:kern w:val="0"/>
                      <w:sz w:val="22"/>
                      <w:szCs w:val="22"/>
                    </w:rPr>
                    <w:t>8</w:t>
                  </w:r>
                </w:p>
              </w:tc>
              <w:tc>
                <w:tcPr>
                  <w:tcW w:w="927" w:type="dxa"/>
                  <w:vAlign w:val="center"/>
                </w:tcPr>
                <w:p w14:paraId="1719F86F">
                  <w:pPr>
                    <w:adjustRightInd w:val="0"/>
                    <w:snapToGrid w:val="0"/>
                    <w:jc w:val="center"/>
                    <w:rPr>
                      <w:rFonts w:hint="eastAsia"/>
                      <w:color w:val="FF0000"/>
                      <w:kern w:val="0"/>
                      <w:sz w:val="22"/>
                      <w:szCs w:val="22"/>
                      <w:lang w:val="en-US" w:eastAsia="zh-CN"/>
                    </w:rPr>
                  </w:pPr>
                  <w:r>
                    <w:rPr>
                      <w:rFonts w:hint="default" w:eastAsia="宋体"/>
                      <w:color w:val="FF0000"/>
                      <w:kern w:val="0"/>
                      <w:sz w:val="22"/>
                      <w:szCs w:val="22"/>
                      <w:lang w:val="en-US" w:eastAsia="zh-CN"/>
                    </w:rPr>
                    <w:t>MF/ABC</w:t>
                  </w:r>
                </w:p>
              </w:tc>
              <w:tc>
                <w:tcPr>
                  <w:tcW w:w="1375" w:type="dxa"/>
                  <w:vAlign w:val="center"/>
                </w:tcPr>
                <w:p w14:paraId="6CA5554F">
                  <w:pPr>
                    <w:adjustRightInd w:val="0"/>
                    <w:snapToGrid w:val="0"/>
                    <w:jc w:val="center"/>
                    <w:rPr>
                      <w:color w:val="FF0000"/>
                      <w:kern w:val="0"/>
                      <w:sz w:val="22"/>
                      <w:szCs w:val="22"/>
                    </w:rPr>
                  </w:pPr>
                  <w:r>
                    <w:rPr>
                      <w:rFonts w:hint="eastAsia"/>
                      <w:color w:val="FF0000"/>
                      <w:kern w:val="0"/>
                      <w:sz w:val="22"/>
                      <w:szCs w:val="22"/>
                    </w:rPr>
                    <w:t>新增</w:t>
                  </w:r>
                  <w:r>
                    <w:rPr>
                      <w:rFonts w:hint="eastAsia"/>
                      <w:color w:val="FF0000"/>
                      <w:kern w:val="0"/>
                      <w:sz w:val="22"/>
                      <w:szCs w:val="22"/>
                      <w:lang w:val="en-US" w:eastAsia="zh-CN"/>
                    </w:rPr>
                    <w:t>10</w:t>
                  </w:r>
                  <w:r>
                    <w:rPr>
                      <w:rFonts w:hint="eastAsia"/>
                      <w:color w:val="FF0000"/>
                      <w:kern w:val="0"/>
                      <w:sz w:val="22"/>
                      <w:szCs w:val="22"/>
                    </w:rPr>
                    <w:t>台</w:t>
                  </w:r>
                </w:p>
              </w:tc>
            </w:tr>
            <w:tr w14:paraId="53C6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0FE741EE">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35</w:t>
                  </w:r>
                </w:p>
              </w:tc>
              <w:tc>
                <w:tcPr>
                  <w:tcW w:w="714" w:type="dxa"/>
                  <w:vMerge w:val="continue"/>
                  <w:vAlign w:val="center"/>
                </w:tcPr>
                <w:p w14:paraId="35D8FCF6">
                  <w:pPr>
                    <w:adjustRightInd w:val="0"/>
                    <w:snapToGrid w:val="0"/>
                    <w:jc w:val="center"/>
                    <w:rPr>
                      <w:kern w:val="0"/>
                      <w:sz w:val="22"/>
                      <w:szCs w:val="22"/>
                    </w:rPr>
                  </w:pPr>
                </w:p>
              </w:tc>
              <w:tc>
                <w:tcPr>
                  <w:tcW w:w="2027" w:type="dxa"/>
                  <w:vAlign w:val="center"/>
                </w:tcPr>
                <w:p w14:paraId="606D375E">
                  <w:pPr>
                    <w:adjustRightInd w:val="0"/>
                    <w:snapToGrid w:val="0"/>
                    <w:jc w:val="center"/>
                    <w:rPr>
                      <w:spacing w:val="-4"/>
                      <w:sz w:val="22"/>
                      <w:szCs w:val="22"/>
                    </w:rPr>
                  </w:pPr>
                  <w:r>
                    <w:rPr>
                      <w:spacing w:val="-4"/>
                      <w:sz w:val="22"/>
                      <w:szCs w:val="22"/>
                    </w:rPr>
                    <w:t>消防沙桶</w:t>
                  </w:r>
                </w:p>
              </w:tc>
              <w:tc>
                <w:tcPr>
                  <w:tcW w:w="734" w:type="dxa"/>
                  <w:vAlign w:val="center"/>
                </w:tcPr>
                <w:p w14:paraId="58F1EE5C">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5</w:t>
                  </w:r>
                </w:p>
              </w:tc>
              <w:tc>
                <w:tcPr>
                  <w:tcW w:w="883" w:type="dxa"/>
                  <w:vAlign w:val="center"/>
                </w:tcPr>
                <w:p w14:paraId="545217C3">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6C667399">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5</w:t>
                  </w:r>
                </w:p>
              </w:tc>
              <w:tc>
                <w:tcPr>
                  <w:tcW w:w="927" w:type="dxa"/>
                  <w:vAlign w:val="center"/>
                </w:tcPr>
                <w:p w14:paraId="12DFE5AD">
                  <w:pPr>
                    <w:adjustRightInd w:val="0"/>
                    <w:snapToGrid w:val="0"/>
                    <w:jc w:val="center"/>
                    <w:rPr>
                      <w:rFonts w:hint="default"/>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316D93AB">
                  <w:pPr>
                    <w:adjustRightInd w:val="0"/>
                    <w:snapToGrid w:val="0"/>
                    <w:jc w:val="center"/>
                    <w:rPr>
                      <w:color w:val="FF0000"/>
                      <w:kern w:val="0"/>
                      <w:sz w:val="22"/>
                      <w:szCs w:val="22"/>
                    </w:rPr>
                  </w:pPr>
                  <w:r>
                    <w:rPr>
                      <w:rFonts w:hint="eastAsia"/>
                      <w:color w:val="FF0000"/>
                      <w:kern w:val="0"/>
                      <w:sz w:val="22"/>
                      <w:szCs w:val="22"/>
                    </w:rPr>
                    <w:t>利旧</w:t>
                  </w:r>
                </w:p>
              </w:tc>
            </w:tr>
            <w:tr w14:paraId="6FD5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16F1BF7A">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36</w:t>
                  </w:r>
                </w:p>
              </w:tc>
              <w:tc>
                <w:tcPr>
                  <w:tcW w:w="714" w:type="dxa"/>
                  <w:vMerge w:val="continue"/>
                  <w:vAlign w:val="center"/>
                </w:tcPr>
                <w:p w14:paraId="534B7007">
                  <w:pPr>
                    <w:adjustRightInd w:val="0"/>
                    <w:snapToGrid w:val="0"/>
                    <w:jc w:val="center"/>
                    <w:rPr>
                      <w:kern w:val="0"/>
                      <w:sz w:val="22"/>
                      <w:szCs w:val="22"/>
                    </w:rPr>
                  </w:pPr>
                </w:p>
              </w:tc>
              <w:tc>
                <w:tcPr>
                  <w:tcW w:w="2027" w:type="dxa"/>
                  <w:vAlign w:val="center"/>
                </w:tcPr>
                <w:p w14:paraId="1015AC0A">
                  <w:pPr>
                    <w:adjustRightInd w:val="0"/>
                    <w:snapToGrid w:val="0"/>
                    <w:jc w:val="center"/>
                    <w:rPr>
                      <w:spacing w:val="-4"/>
                      <w:sz w:val="22"/>
                      <w:szCs w:val="22"/>
                    </w:rPr>
                  </w:pPr>
                  <w:r>
                    <w:rPr>
                      <w:spacing w:val="-4"/>
                      <w:sz w:val="22"/>
                      <w:szCs w:val="22"/>
                    </w:rPr>
                    <w:t>消防锹</w:t>
                  </w:r>
                </w:p>
              </w:tc>
              <w:tc>
                <w:tcPr>
                  <w:tcW w:w="734" w:type="dxa"/>
                  <w:vAlign w:val="center"/>
                </w:tcPr>
                <w:p w14:paraId="2A75B9E6">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5</w:t>
                  </w:r>
                </w:p>
              </w:tc>
              <w:tc>
                <w:tcPr>
                  <w:tcW w:w="883" w:type="dxa"/>
                  <w:vAlign w:val="center"/>
                </w:tcPr>
                <w:p w14:paraId="0169843A">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4802461D">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5</w:t>
                  </w:r>
                </w:p>
              </w:tc>
              <w:tc>
                <w:tcPr>
                  <w:tcW w:w="927" w:type="dxa"/>
                  <w:vAlign w:val="center"/>
                </w:tcPr>
                <w:p w14:paraId="770BA241">
                  <w:pPr>
                    <w:adjustRightInd w:val="0"/>
                    <w:snapToGrid w:val="0"/>
                    <w:jc w:val="center"/>
                    <w:rPr>
                      <w:rFonts w:hint="default"/>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1A48A459">
                  <w:pPr>
                    <w:adjustRightInd w:val="0"/>
                    <w:snapToGrid w:val="0"/>
                    <w:jc w:val="center"/>
                    <w:rPr>
                      <w:color w:val="FF0000"/>
                      <w:kern w:val="0"/>
                      <w:sz w:val="22"/>
                      <w:szCs w:val="22"/>
                    </w:rPr>
                  </w:pPr>
                  <w:r>
                    <w:rPr>
                      <w:rFonts w:hint="eastAsia"/>
                      <w:color w:val="FF0000"/>
                      <w:kern w:val="0"/>
                      <w:sz w:val="22"/>
                      <w:szCs w:val="22"/>
                    </w:rPr>
                    <w:t>利旧</w:t>
                  </w:r>
                </w:p>
              </w:tc>
            </w:tr>
            <w:tr w14:paraId="604E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shd w:val="clear" w:color="auto" w:fill="auto"/>
                  <w:vAlign w:val="center"/>
                </w:tcPr>
                <w:p w14:paraId="19268F04">
                  <w:pPr>
                    <w:adjustRightInd w:val="0"/>
                    <w:snapToGrid w:val="0"/>
                    <w:jc w:val="center"/>
                    <w:rPr>
                      <w:rFonts w:ascii="Times New Roman" w:hAnsi="Times New Roman" w:eastAsia="宋体" w:cs="Times New Roman"/>
                      <w:kern w:val="0"/>
                      <w:sz w:val="22"/>
                      <w:szCs w:val="22"/>
                      <w:lang w:val="en-US" w:eastAsia="zh-CN" w:bidi="ar-SA"/>
                    </w:rPr>
                  </w:pPr>
                  <w:r>
                    <w:rPr>
                      <w:rFonts w:hint="eastAsia"/>
                      <w:kern w:val="0"/>
                      <w:sz w:val="22"/>
                      <w:szCs w:val="22"/>
                    </w:rPr>
                    <w:t>37</w:t>
                  </w:r>
                </w:p>
              </w:tc>
              <w:tc>
                <w:tcPr>
                  <w:tcW w:w="714" w:type="dxa"/>
                  <w:vMerge w:val="continue"/>
                  <w:vAlign w:val="center"/>
                </w:tcPr>
                <w:p w14:paraId="77495102">
                  <w:pPr>
                    <w:adjustRightInd w:val="0"/>
                    <w:snapToGrid w:val="0"/>
                    <w:jc w:val="center"/>
                    <w:rPr>
                      <w:kern w:val="0"/>
                      <w:sz w:val="22"/>
                      <w:szCs w:val="22"/>
                    </w:rPr>
                  </w:pPr>
                </w:p>
              </w:tc>
              <w:tc>
                <w:tcPr>
                  <w:tcW w:w="2027" w:type="dxa"/>
                  <w:vAlign w:val="center"/>
                </w:tcPr>
                <w:p w14:paraId="52B5C1A5">
                  <w:pPr>
                    <w:adjustRightInd w:val="0"/>
                    <w:snapToGrid w:val="0"/>
                    <w:jc w:val="center"/>
                    <w:rPr>
                      <w:spacing w:val="-4"/>
                      <w:sz w:val="22"/>
                      <w:szCs w:val="22"/>
                    </w:rPr>
                  </w:pPr>
                  <w:r>
                    <w:rPr>
                      <w:spacing w:val="-4"/>
                      <w:sz w:val="22"/>
                      <w:szCs w:val="22"/>
                    </w:rPr>
                    <w:t>防静电工作服、手套、鞋子</w:t>
                  </w:r>
                </w:p>
              </w:tc>
              <w:tc>
                <w:tcPr>
                  <w:tcW w:w="734" w:type="dxa"/>
                  <w:vAlign w:val="center"/>
                </w:tcPr>
                <w:p w14:paraId="21D2C3F7">
                  <w:pPr>
                    <w:adjustRightInd w:val="0"/>
                    <w:snapToGrid w:val="0"/>
                    <w:jc w:val="center"/>
                    <w:rPr>
                      <w:color w:val="FF0000"/>
                      <w:kern w:val="0"/>
                      <w:sz w:val="22"/>
                      <w:szCs w:val="22"/>
                    </w:rPr>
                  </w:pPr>
                  <w:r>
                    <w:rPr>
                      <w:rFonts w:hint="eastAsia"/>
                      <w:color w:val="FF0000"/>
                      <w:kern w:val="0"/>
                      <w:sz w:val="22"/>
                      <w:szCs w:val="22"/>
                    </w:rPr>
                    <w:t>若干</w:t>
                  </w:r>
                </w:p>
              </w:tc>
              <w:tc>
                <w:tcPr>
                  <w:tcW w:w="883" w:type="dxa"/>
                  <w:vAlign w:val="center"/>
                </w:tcPr>
                <w:p w14:paraId="2DB49939">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717" w:type="dxa"/>
                  <w:vAlign w:val="center"/>
                </w:tcPr>
                <w:p w14:paraId="0466E5EB">
                  <w:pPr>
                    <w:adjustRightInd w:val="0"/>
                    <w:snapToGrid w:val="0"/>
                    <w:jc w:val="center"/>
                    <w:rPr>
                      <w:rFonts w:hint="eastAsia" w:eastAsia="宋体"/>
                      <w:color w:val="FF0000"/>
                      <w:kern w:val="0"/>
                      <w:sz w:val="22"/>
                      <w:szCs w:val="22"/>
                      <w:lang w:eastAsia="zh-CN"/>
                    </w:rPr>
                  </w:pPr>
                  <w:r>
                    <w:rPr>
                      <w:rFonts w:hint="eastAsia"/>
                      <w:color w:val="FF0000"/>
                      <w:kern w:val="0"/>
                      <w:sz w:val="22"/>
                      <w:szCs w:val="22"/>
                      <w:lang w:val="en-US" w:eastAsia="zh-CN"/>
                    </w:rPr>
                    <w:t>若干</w:t>
                  </w:r>
                </w:p>
              </w:tc>
              <w:tc>
                <w:tcPr>
                  <w:tcW w:w="927" w:type="dxa"/>
                  <w:vAlign w:val="center"/>
                </w:tcPr>
                <w:p w14:paraId="2FA9D208">
                  <w:pPr>
                    <w:adjustRightInd w:val="0"/>
                    <w:snapToGrid w:val="0"/>
                    <w:jc w:val="center"/>
                    <w:rPr>
                      <w:rFonts w:hint="eastAsia" w:eastAsia="宋体"/>
                      <w:color w:val="FF0000"/>
                      <w:kern w:val="0"/>
                      <w:sz w:val="22"/>
                      <w:szCs w:val="22"/>
                      <w:lang w:val="en-US" w:eastAsia="zh-CN"/>
                    </w:rPr>
                  </w:pPr>
                  <w:r>
                    <w:rPr>
                      <w:rFonts w:hint="eastAsia"/>
                      <w:color w:val="FF0000"/>
                      <w:kern w:val="0"/>
                      <w:sz w:val="22"/>
                      <w:szCs w:val="22"/>
                      <w:lang w:val="en-US" w:eastAsia="zh-CN"/>
                    </w:rPr>
                    <w:t>/</w:t>
                  </w:r>
                </w:p>
              </w:tc>
              <w:tc>
                <w:tcPr>
                  <w:tcW w:w="1375" w:type="dxa"/>
                  <w:vAlign w:val="center"/>
                </w:tcPr>
                <w:p w14:paraId="7A8F2369">
                  <w:pPr>
                    <w:adjustRightInd w:val="0"/>
                    <w:snapToGrid w:val="0"/>
                    <w:jc w:val="center"/>
                    <w:rPr>
                      <w:color w:val="FF0000"/>
                      <w:kern w:val="0"/>
                      <w:sz w:val="22"/>
                      <w:szCs w:val="22"/>
                    </w:rPr>
                  </w:pPr>
                  <w:r>
                    <w:rPr>
                      <w:rFonts w:hint="eastAsia"/>
                      <w:color w:val="FF0000"/>
                      <w:kern w:val="0"/>
                      <w:sz w:val="22"/>
                      <w:szCs w:val="22"/>
                    </w:rPr>
                    <w:t>利旧</w:t>
                  </w:r>
                </w:p>
              </w:tc>
            </w:tr>
          </w:tbl>
          <w:p w14:paraId="4955F9EC">
            <w:pPr>
              <w:adjustRightInd w:val="0"/>
              <w:snapToGrid w:val="0"/>
              <w:spacing w:line="460" w:lineRule="exact"/>
              <w:jc w:val="left"/>
              <w:rPr>
                <w:b/>
                <w:sz w:val="26"/>
                <w:szCs w:val="26"/>
              </w:rPr>
            </w:pPr>
            <w:r>
              <w:rPr>
                <w:b/>
                <w:sz w:val="26"/>
                <w:szCs w:val="26"/>
              </w:rPr>
              <w:t>2.</w:t>
            </w:r>
            <w:r>
              <w:rPr>
                <w:rFonts w:hint="eastAsia"/>
                <w:b/>
                <w:sz w:val="26"/>
                <w:szCs w:val="26"/>
                <w:lang w:val="en-US" w:eastAsia="zh-CN"/>
              </w:rPr>
              <w:t>5</w:t>
            </w:r>
            <w:r>
              <w:rPr>
                <w:b/>
                <w:sz w:val="26"/>
                <w:szCs w:val="26"/>
              </w:rPr>
              <w:t>主要原辅料</w:t>
            </w:r>
            <w:r>
              <w:rPr>
                <w:rFonts w:hint="eastAsia"/>
                <w:b/>
                <w:sz w:val="26"/>
                <w:szCs w:val="26"/>
              </w:rPr>
              <w:t>及理化性质</w:t>
            </w:r>
          </w:p>
          <w:p w14:paraId="12E201DC">
            <w:pPr>
              <w:autoSpaceDE w:val="0"/>
              <w:autoSpaceDN w:val="0"/>
              <w:adjustRightInd w:val="0"/>
              <w:snapToGrid w:val="0"/>
              <w:spacing w:line="460" w:lineRule="exact"/>
              <w:ind w:firstLine="520" w:firstLineChars="200"/>
              <w:rPr>
                <w:bCs/>
                <w:sz w:val="26"/>
                <w:szCs w:val="26"/>
              </w:rPr>
            </w:pPr>
            <w:r>
              <w:rPr>
                <w:rFonts w:hint="eastAsia"/>
                <w:bCs/>
                <w:sz w:val="26"/>
                <w:szCs w:val="26"/>
              </w:rPr>
              <w:t>本项目</w:t>
            </w:r>
            <w:r>
              <w:rPr>
                <w:rFonts w:hint="eastAsia"/>
                <w:bCs/>
                <w:sz w:val="26"/>
                <w:szCs w:val="26"/>
                <w:lang w:val="en-US" w:eastAsia="zh-CN"/>
              </w:rPr>
              <w:t>改造完成前</w:t>
            </w:r>
            <w:r>
              <w:rPr>
                <w:rFonts w:hint="eastAsia"/>
                <w:bCs/>
                <w:sz w:val="26"/>
                <w:szCs w:val="26"/>
              </w:rPr>
              <w:t>后原辅材料消耗</w:t>
            </w:r>
            <w:r>
              <w:rPr>
                <w:rFonts w:hint="eastAsia"/>
                <w:bCs/>
                <w:sz w:val="26"/>
                <w:szCs w:val="26"/>
                <w:lang w:val="en-US" w:eastAsia="zh-CN"/>
              </w:rPr>
              <w:t>情况</w:t>
            </w:r>
            <w:r>
              <w:rPr>
                <w:rFonts w:hint="eastAsia"/>
                <w:bCs/>
                <w:sz w:val="26"/>
                <w:szCs w:val="26"/>
              </w:rPr>
              <w:t>如下：</w:t>
            </w:r>
          </w:p>
          <w:p w14:paraId="2C99CF2B">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color w:val="auto"/>
              </w:rPr>
            </w:pPr>
            <w:r>
              <w:rPr>
                <w:b w:val="0"/>
                <w:color w:val="auto"/>
                <w:sz w:val="22"/>
                <w:szCs w:val="21"/>
              </w:rPr>
              <w:t>表2.</w:t>
            </w:r>
            <w:r>
              <w:rPr>
                <w:rFonts w:hint="eastAsia"/>
                <w:b w:val="0"/>
                <w:color w:val="auto"/>
                <w:sz w:val="22"/>
                <w:szCs w:val="21"/>
                <w:lang w:val="en-US" w:eastAsia="zh-CN"/>
              </w:rPr>
              <w:t>5-1</w:t>
            </w:r>
            <w:r>
              <w:rPr>
                <w:b w:val="0"/>
                <w:color w:val="auto"/>
                <w:sz w:val="22"/>
                <w:szCs w:val="21"/>
              </w:rPr>
              <w:t xml:space="preserve">  </w:t>
            </w:r>
            <w:r>
              <w:rPr>
                <w:rFonts w:hint="eastAsia"/>
                <w:b w:val="0"/>
                <w:color w:val="auto"/>
                <w:sz w:val="22"/>
                <w:szCs w:val="21"/>
              </w:rPr>
              <w:t>汽油、柴油年销售量情况表以及原辅材料消耗量</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174"/>
              <w:gridCol w:w="717"/>
              <w:gridCol w:w="893"/>
              <w:gridCol w:w="1189"/>
              <w:gridCol w:w="894"/>
              <w:gridCol w:w="1189"/>
              <w:gridCol w:w="1333"/>
            </w:tblGrid>
            <w:tr w14:paraId="3C6A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14" w:type="dxa"/>
                  <w:vMerge w:val="restart"/>
                  <w:vAlign w:val="center"/>
                </w:tcPr>
                <w:p w14:paraId="23AD80DC">
                  <w:pPr>
                    <w:jc w:val="center"/>
                    <w:rPr>
                      <w:sz w:val="22"/>
                      <w:szCs w:val="22"/>
                    </w:rPr>
                  </w:pPr>
                  <w:r>
                    <w:rPr>
                      <w:rFonts w:hint="eastAsia"/>
                      <w:sz w:val="22"/>
                      <w:szCs w:val="22"/>
                    </w:rPr>
                    <w:t>序号</w:t>
                  </w:r>
                </w:p>
              </w:tc>
              <w:tc>
                <w:tcPr>
                  <w:tcW w:w="1175" w:type="dxa"/>
                  <w:vMerge w:val="restart"/>
                  <w:vAlign w:val="center"/>
                </w:tcPr>
                <w:p w14:paraId="52354266">
                  <w:pPr>
                    <w:jc w:val="center"/>
                    <w:rPr>
                      <w:sz w:val="22"/>
                      <w:szCs w:val="22"/>
                    </w:rPr>
                  </w:pPr>
                  <w:r>
                    <w:rPr>
                      <w:rFonts w:hint="eastAsia"/>
                      <w:sz w:val="22"/>
                      <w:szCs w:val="22"/>
                    </w:rPr>
                    <w:t>名称</w:t>
                  </w:r>
                </w:p>
              </w:tc>
              <w:tc>
                <w:tcPr>
                  <w:tcW w:w="617" w:type="dxa"/>
                  <w:vMerge w:val="restart"/>
                  <w:vAlign w:val="center"/>
                </w:tcPr>
                <w:p w14:paraId="60413206">
                  <w:pPr>
                    <w:jc w:val="center"/>
                    <w:rPr>
                      <w:sz w:val="22"/>
                      <w:szCs w:val="22"/>
                    </w:rPr>
                  </w:pPr>
                  <w:r>
                    <w:rPr>
                      <w:rFonts w:hint="eastAsia"/>
                      <w:sz w:val="22"/>
                      <w:szCs w:val="22"/>
                    </w:rPr>
                    <w:t>单位</w:t>
                  </w:r>
                </w:p>
              </w:tc>
              <w:tc>
                <w:tcPr>
                  <w:tcW w:w="2092" w:type="dxa"/>
                  <w:gridSpan w:val="2"/>
                  <w:vAlign w:val="center"/>
                </w:tcPr>
                <w:p w14:paraId="4028EA65">
                  <w:pPr>
                    <w:jc w:val="center"/>
                    <w:rPr>
                      <w:sz w:val="22"/>
                      <w:szCs w:val="22"/>
                    </w:rPr>
                  </w:pPr>
                  <w:r>
                    <w:rPr>
                      <w:rFonts w:hint="eastAsia"/>
                      <w:sz w:val="22"/>
                      <w:szCs w:val="22"/>
                      <w:lang w:val="en-US" w:eastAsia="zh-CN"/>
                    </w:rPr>
                    <w:t>改造</w:t>
                  </w:r>
                  <w:r>
                    <w:rPr>
                      <w:rFonts w:hint="eastAsia"/>
                      <w:sz w:val="22"/>
                      <w:szCs w:val="22"/>
                    </w:rPr>
                    <w:t>前项目</w:t>
                  </w:r>
                </w:p>
              </w:tc>
              <w:tc>
                <w:tcPr>
                  <w:tcW w:w="2093" w:type="dxa"/>
                  <w:gridSpan w:val="2"/>
                  <w:vAlign w:val="center"/>
                </w:tcPr>
                <w:p w14:paraId="7CB4F2D7">
                  <w:pPr>
                    <w:jc w:val="center"/>
                    <w:rPr>
                      <w:sz w:val="22"/>
                      <w:szCs w:val="22"/>
                    </w:rPr>
                  </w:pPr>
                  <w:r>
                    <w:rPr>
                      <w:rFonts w:hint="eastAsia"/>
                      <w:sz w:val="22"/>
                      <w:szCs w:val="22"/>
                      <w:lang w:val="en-US" w:eastAsia="zh-CN"/>
                    </w:rPr>
                    <w:t>改造</w:t>
                  </w:r>
                  <w:r>
                    <w:rPr>
                      <w:rFonts w:hint="eastAsia"/>
                      <w:sz w:val="22"/>
                      <w:szCs w:val="22"/>
                    </w:rPr>
                    <w:t>后项目</w:t>
                  </w:r>
                </w:p>
              </w:tc>
              <w:tc>
                <w:tcPr>
                  <w:tcW w:w="1344" w:type="dxa"/>
                  <w:vMerge w:val="restart"/>
                  <w:vAlign w:val="center"/>
                </w:tcPr>
                <w:p w14:paraId="44D50D41">
                  <w:pPr>
                    <w:jc w:val="center"/>
                    <w:rPr>
                      <w:sz w:val="22"/>
                      <w:szCs w:val="22"/>
                    </w:rPr>
                  </w:pPr>
                  <w:r>
                    <w:rPr>
                      <w:rFonts w:hint="eastAsia"/>
                      <w:sz w:val="22"/>
                      <w:szCs w:val="22"/>
                    </w:rPr>
                    <w:t>来源</w:t>
                  </w:r>
                </w:p>
              </w:tc>
            </w:tr>
            <w:tr w14:paraId="7FE2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14" w:type="dxa"/>
                  <w:vMerge w:val="continue"/>
                  <w:vAlign w:val="center"/>
                </w:tcPr>
                <w:p w14:paraId="542D545E">
                  <w:pPr>
                    <w:jc w:val="center"/>
                    <w:rPr>
                      <w:sz w:val="22"/>
                      <w:szCs w:val="22"/>
                    </w:rPr>
                  </w:pPr>
                </w:p>
              </w:tc>
              <w:tc>
                <w:tcPr>
                  <w:tcW w:w="1175" w:type="dxa"/>
                  <w:vMerge w:val="continue"/>
                  <w:vAlign w:val="center"/>
                </w:tcPr>
                <w:p w14:paraId="6A0A69F2">
                  <w:pPr>
                    <w:jc w:val="center"/>
                    <w:rPr>
                      <w:sz w:val="22"/>
                      <w:szCs w:val="22"/>
                    </w:rPr>
                  </w:pPr>
                </w:p>
              </w:tc>
              <w:tc>
                <w:tcPr>
                  <w:tcW w:w="617" w:type="dxa"/>
                  <w:vMerge w:val="continue"/>
                  <w:vAlign w:val="center"/>
                </w:tcPr>
                <w:p w14:paraId="2C8F53EA">
                  <w:pPr>
                    <w:jc w:val="center"/>
                    <w:rPr>
                      <w:sz w:val="22"/>
                      <w:szCs w:val="22"/>
                    </w:rPr>
                  </w:pPr>
                </w:p>
              </w:tc>
              <w:tc>
                <w:tcPr>
                  <w:tcW w:w="896" w:type="dxa"/>
                  <w:vAlign w:val="center"/>
                </w:tcPr>
                <w:p w14:paraId="1192FA2C">
                  <w:pPr>
                    <w:jc w:val="center"/>
                    <w:rPr>
                      <w:sz w:val="22"/>
                      <w:szCs w:val="22"/>
                    </w:rPr>
                  </w:pPr>
                  <w:r>
                    <w:rPr>
                      <w:rFonts w:hint="eastAsia"/>
                      <w:sz w:val="22"/>
                      <w:szCs w:val="22"/>
                    </w:rPr>
                    <w:t>年销售量/年用量</w:t>
                  </w:r>
                </w:p>
              </w:tc>
              <w:tc>
                <w:tcPr>
                  <w:tcW w:w="1196" w:type="dxa"/>
                  <w:vAlign w:val="center"/>
                </w:tcPr>
                <w:p w14:paraId="4E942C5F">
                  <w:pPr>
                    <w:jc w:val="center"/>
                    <w:rPr>
                      <w:sz w:val="22"/>
                      <w:szCs w:val="22"/>
                    </w:rPr>
                  </w:pPr>
                  <w:r>
                    <w:rPr>
                      <w:rFonts w:hint="eastAsia"/>
                      <w:sz w:val="22"/>
                      <w:szCs w:val="22"/>
                    </w:rPr>
                    <w:t>最大储存量</w:t>
                  </w:r>
                </w:p>
              </w:tc>
              <w:tc>
                <w:tcPr>
                  <w:tcW w:w="897" w:type="dxa"/>
                  <w:vAlign w:val="center"/>
                </w:tcPr>
                <w:p w14:paraId="25770FCE">
                  <w:pPr>
                    <w:jc w:val="center"/>
                    <w:rPr>
                      <w:sz w:val="22"/>
                      <w:szCs w:val="22"/>
                    </w:rPr>
                  </w:pPr>
                  <w:r>
                    <w:rPr>
                      <w:rFonts w:hint="eastAsia"/>
                      <w:sz w:val="22"/>
                      <w:szCs w:val="22"/>
                    </w:rPr>
                    <w:t>年销售量/年用量</w:t>
                  </w:r>
                </w:p>
              </w:tc>
              <w:tc>
                <w:tcPr>
                  <w:tcW w:w="1196" w:type="dxa"/>
                  <w:vAlign w:val="center"/>
                </w:tcPr>
                <w:p w14:paraId="63A61CC3">
                  <w:pPr>
                    <w:jc w:val="center"/>
                    <w:rPr>
                      <w:sz w:val="22"/>
                      <w:szCs w:val="22"/>
                    </w:rPr>
                  </w:pPr>
                  <w:r>
                    <w:rPr>
                      <w:rFonts w:hint="eastAsia"/>
                      <w:sz w:val="22"/>
                      <w:szCs w:val="22"/>
                    </w:rPr>
                    <w:t>最大储存量</w:t>
                  </w:r>
                </w:p>
              </w:tc>
              <w:tc>
                <w:tcPr>
                  <w:tcW w:w="1344" w:type="dxa"/>
                  <w:vMerge w:val="continue"/>
                  <w:vAlign w:val="center"/>
                </w:tcPr>
                <w:p w14:paraId="76AA5741">
                  <w:pPr>
                    <w:jc w:val="center"/>
                    <w:rPr>
                      <w:sz w:val="22"/>
                      <w:szCs w:val="22"/>
                    </w:rPr>
                  </w:pPr>
                </w:p>
              </w:tc>
            </w:tr>
            <w:tr w14:paraId="3687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14" w:type="dxa"/>
                  <w:vAlign w:val="center"/>
                </w:tcPr>
                <w:p w14:paraId="25CFE5C8">
                  <w:pPr>
                    <w:jc w:val="center"/>
                    <w:rPr>
                      <w:sz w:val="22"/>
                      <w:szCs w:val="22"/>
                    </w:rPr>
                  </w:pPr>
                  <w:r>
                    <w:rPr>
                      <w:rFonts w:hint="eastAsia"/>
                      <w:sz w:val="22"/>
                      <w:szCs w:val="22"/>
                    </w:rPr>
                    <w:t>1</w:t>
                  </w:r>
                </w:p>
              </w:tc>
              <w:tc>
                <w:tcPr>
                  <w:tcW w:w="1175" w:type="dxa"/>
                  <w:vAlign w:val="center"/>
                </w:tcPr>
                <w:p w14:paraId="33AEE753">
                  <w:pPr>
                    <w:jc w:val="center"/>
                    <w:rPr>
                      <w:sz w:val="22"/>
                      <w:szCs w:val="22"/>
                    </w:rPr>
                  </w:pPr>
                  <w:r>
                    <w:rPr>
                      <w:kern w:val="0"/>
                      <w:sz w:val="22"/>
                      <w:szCs w:val="22"/>
                    </w:rPr>
                    <w:t>0</w:t>
                  </w:r>
                  <w:r>
                    <w:rPr>
                      <w:rFonts w:hint="eastAsia"/>
                      <w:kern w:val="0"/>
                      <w:sz w:val="22"/>
                      <w:szCs w:val="22"/>
                    </w:rPr>
                    <w:t>#柴油</w:t>
                  </w:r>
                </w:p>
              </w:tc>
              <w:tc>
                <w:tcPr>
                  <w:tcW w:w="617" w:type="dxa"/>
                  <w:vAlign w:val="center"/>
                </w:tcPr>
                <w:p w14:paraId="57ED216F">
                  <w:pPr>
                    <w:jc w:val="center"/>
                    <w:rPr>
                      <w:sz w:val="22"/>
                      <w:szCs w:val="22"/>
                    </w:rPr>
                  </w:pPr>
                  <w:r>
                    <w:rPr>
                      <w:rFonts w:hint="eastAsia"/>
                      <w:sz w:val="22"/>
                      <w:szCs w:val="22"/>
                    </w:rPr>
                    <w:t>t</w:t>
                  </w:r>
                </w:p>
              </w:tc>
              <w:tc>
                <w:tcPr>
                  <w:tcW w:w="896" w:type="dxa"/>
                  <w:vAlign w:val="center"/>
                </w:tcPr>
                <w:p w14:paraId="3F2887B3">
                  <w:pPr>
                    <w:jc w:val="center"/>
                    <w:rPr>
                      <w:rFonts w:hint="default" w:eastAsia="宋体"/>
                      <w:color w:val="FF0000"/>
                      <w:sz w:val="22"/>
                      <w:szCs w:val="22"/>
                      <w:lang w:val="en-US" w:eastAsia="zh-CN"/>
                    </w:rPr>
                  </w:pPr>
                  <w:r>
                    <w:rPr>
                      <w:rFonts w:hint="eastAsia"/>
                      <w:color w:val="FF0000"/>
                      <w:sz w:val="22"/>
                      <w:szCs w:val="22"/>
                      <w:lang w:val="en-US" w:eastAsia="zh-CN"/>
                    </w:rPr>
                    <w:t>490</w:t>
                  </w:r>
                </w:p>
              </w:tc>
              <w:tc>
                <w:tcPr>
                  <w:tcW w:w="1196" w:type="dxa"/>
                  <w:vAlign w:val="center"/>
                </w:tcPr>
                <w:p w14:paraId="17C1EFA4">
                  <w:pPr>
                    <w:jc w:val="center"/>
                    <w:rPr>
                      <w:rFonts w:hint="default" w:eastAsia="宋体"/>
                      <w:sz w:val="22"/>
                      <w:szCs w:val="22"/>
                      <w:lang w:val="en-US" w:eastAsia="zh-CN"/>
                    </w:rPr>
                  </w:pPr>
                  <w:r>
                    <w:rPr>
                      <w:rFonts w:hint="eastAsia"/>
                      <w:sz w:val="22"/>
                      <w:szCs w:val="22"/>
                      <w:lang w:val="en-US" w:eastAsia="zh-CN"/>
                    </w:rPr>
                    <w:t>21.36</w:t>
                  </w:r>
                </w:p>
              </w:tc>
              <w:tc>
                <w:tcPr>
                  <w:tcW w:w="897" w:type="dxa"/>
                  <w:vAlign w:val="center"/>
                </w:tcPr>
                <w:p w14:paraId="061330C3">
                  <w:pPr>
                    <w:jc w:val="center"/>
                    <w:rPr>
                      <w:rFonts w:hint="default" w:eastAsia="宋体"/>
                      <w:color w:val="FF0000"/>
                      <w:sz w:val="22"/>
                      <w:szCs w:val="22"/>
                      <w:lang w:val="en-US" w:eastAsia="zh-CN"/>
                    </w:rPr>
                  </w:pPr>
                  <w:r>
                    <w:rPr>
                      <w:rFonts w:hint="eastAsia"/>
                      <w:color w:val="FF0000"/>
                      <w:sz w:val="22"/>
                      <w:szCs w:val="22"/>
                      <w:lang w:val="en-US" w:eastAsia="zh-CN"/>
                    </w:rPr>
                    <w:t>520</w:t>
                  </w:r>
                </w:p>
              </w:tc>
              <w:tc>
                <w:tcPr>
                  <w:tcW w:w="1196" w:type="dxa"/>
                  <w:vAlign w:val="center"/>
                </w:tcPr>
                <w:p w14:paraId="70D9ACBC">
                  <w:pPr>
                    <w:jc w:val="center"/>
                    <w:rPr>
                      <w:rFonts w:hint="default" w:eastAsia="宋体"/>
                      <w:sz w:val="22"/>
                      <w:szCs w:val="22"/>
                      <w:lang w:val="en-US" w:eastAsia="zh-CN"/>
                    </w:rPr>
                  </w:pPr>
                  <w:r>
                    <w:rPr>
                      <w:rFonts w:hint="eastAsia"/>
                      <w:sz w:val="22"/>
                      <w:szCs w:val="22"/>
                      <w:lang w:val="en-US" w:eastAsia="zh-CN"/>
                    </w:rPr>
                    <w:t>14.24</w:t>
                  </w:r>
                </w:p>
              </w:tc>
              <w:tc>
                <w:tcPr>
                  <w:tcW w:w="1344" w:type="dxa"/>
                  <w:vMerge w:val="restart"/>
                  <w:vAlign w:val="center"/>
                </w:tcPr>
                <w:p w14:paraId="69C49B4F">
                  <w:pPr>
                    <w:jc w:val="center"/>
                    <w:rPr>
                      <w:sz w:val="22"/>
                      <w:szCs w:val="22"/>
                    </w:rPr>
                  </w:pPr>
                  <w:r>
                    <w:rPr>
                      <w:rFonts w:hint="eastAsia"/>
                      <w:sz w:val="22"/>
                      <w:szCs w:val="22"/>
                    </w:rPr>
                    <w:t>中国石化销售</w:t>
                  </w:r>
                  <w:r>
                    <w:rPr>
                      <w:rFonts w:hint="eastAsia"/>
                      <w:sz w:val="22"/>
                      <w:szCs w:val="22"/>
                      <w:lang w:val="en-US" w:eastAsia="zh-CN"/>
                    </w:rPr>
                    <w:t>股份</w:t>
                  </w:r>
                  <w:r>
                    <w:rPr>
                      <w:rFonts w:hint="eastAsia"/>
                      <w:sz w:val="22"/>
                      <w:szCs w:val="22"/>
                    </w:rPr>
                    <w:t>有限公司重庆分公司</w:t>
                  </w:r>
                </w:p>
              </w:tc>
            </w:tr>
            <w:tr w14:paraId="62D6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14" w:type="dxa"/>
                  <w:vAlign w:val="center"/>
                </w:tcPr>
                <w:p w14:paraId="78BD6C7C">
                  <w:pPr>
                    <w:jc w:val="center"/>
                    <w:rPr>
                      <w:sz w:val="22"/>
                      <w:szCs w:val="22"/>
                    </w:rPr>
                  </w:pPr>
                  <w:r>
                    <w:rPr>
                      <w:rFonts w:hint="eastAsia"/>
                      <w:sz w:val="22"/>
                      <w:szCs w:val="22"/>
                    </w:rPr>
                    <w:t>2</w:t>
                  </w:r>
                </w:p>
              </w:tc>
              <w:tc>
                <w:tcPr>
                  <w:tcW w:w="1175" w:type="dxa"/>
                  <w:vAlign w:val="center"/>
                </w:tcPr>
                <w:p w14:paraId="15F7CC4F">
                  <w:pPr>
                    <w:jc w:val="center"/>
                    <w:rPr>
                      <w:kern w:val="0"/>
                      <w:sz w:val="22"/>
                      <w:szCs w:val="22"/>
                    </w:rPr>
                  </w:pPr>
                  <w:r>
                    <w:rPr>
                      <w:rFonts w:hint="eastAsia"/>
                      <w:kern w:val="0"/>
                      <w:sz w:val="22"/>
                      <w:szCs w:val="22"/>
                    </w:rPr>
                    <w:t>9</w:t>
                  </w:r>
                  <w:r>
                    <w:rPr>
                      <w:kern w:val="0"/>
                      <w:sz w:val="22"/>
                      <w:szCs w:val="22"/>
                    </w:rPr>
                    <w:t>2</w:t>
                  </w:r>
                  <w:r>
                    <w:rPr>
                      <w:rFonts w:hint="eastAsia"/>
                      <w:kern w:val="0"/>
                      <w:sz w:val="22"/>
                      <w:szCs w:val="22"/>
                    </w:rPr>
                    <w:t>#汽油</w:t>
                  </w:r>
                </w:p>
              </w:tc>
              <w:tc>
                <w:tcPr>
                  <w:tcW w:w="617" w:type="dxa"/>
                  <w:vAlign w:val="center"/>
                </w:tcPr>
                <w:p w14:paraId="5E659E88">
                  <w:pPr>
                    <w:jc w:val="center"/>
                    <w:rPr>
                      <w:sz w:val="22"/>
                      <w:szCs w:val="22"/>
                    </w:rPr>
                  </w:pPr>
                  <w:r>
                    <w:rPr>
                      <w:rFonts w:hint="eastAsia"/>
                      <w:sz w:val="22"/>
                      <w:szCs w:val="22"/>
                    </w:rPr>
                    <w:t>t</w:t>
                  </w:r>
                </w:p>
              </w:tc>
              <w:tc>
                <w:tcPr>
                  <w:tcW w:w="896" w:type="dxa"/>
                  <w:vAlign w:val="center"/>
                </w:tcPr>
                <w:p w14:paraId="7B7FAB35">
                  <w:pPr>
                    <w:jc w:val="center"/>
                    <w:rPr>
                      <w:rFonts w:hint="default" w:eastAsia="宋体"/>
                      <w:color w:val="FF0000"/>
                      <w:sz w:val="22"/>
                      <w:szCs w:val="22"/>
                      <w:lang w:val="en-US" w:eastAsia="zh-CN"/>
                    </w:rPr>
                  </w:pPr>
                  <w:r>
                    <w:rPr>
                      <w:rFonts w:hint="eastAsia"/>
                      <w:color w:val="FF0000"/>
                      <w:sz w:val="22"/>
                      <w:szCs w:val="22"/>
                      <w:lang w:val="en-US" w:eastAsia="zh-CN"/>
                    </w:rPr>
                    <w:t>2150</w:t>
                  </w:r>
                </w:p>
              </w:tc>
              <w:tc>
                <w:tcPr>
                  <w:tcW w:w="1196" w:type="dxa"/>
                  <w:vAlign w:val="center"/>
                </w:tcPr>
                <w:p w14:paraId="5AABADDF">
                  <w:pPr>
                    <w:jc w:val="center"/>
                    <w:rPr>
                      <w:rFonts w:hint="default" w:eastAsia="宋体"/>
                      <w:sz w:val="22"/>
                      <w:szCs w:val="22"/>
                      <w:lang w:val="en-US" w:eastAsia="zh-CN"/>
                    </w:rPr>
                  </w:pPr>
                  <w:r>
                    <w:rPr>
                      <w:rFonts w:hint="eastAsia"/>
                      <w:sz w:val="22"/>
                      <w:szCs w:val="22"/>
                      <w:lang w:val="en-US" w:eastAsia="zh-CN"/>
                    </w:rPr>
                    <w:t>8.64</w:t>
                  </w:r>
                </w:p>
              </w:tc>
              <w:tc>
                <w:tcPr>
                  <w:tcW w:w="897" w:type="dxa"/>
                  <w:vAlign w:val="center"/>
                </w:tcPr>
                <w:p w14:paraId="073A24BF">
                  <w:pPr>
                    <w:jc w:val="center"/>
                    <w:rPr>
                      <w:rFonts w:hint="default"/>
                      <w:color w:val="FF0000"/>
                      <w:sz w:val="22"/>
                      <w:szCs w:val="22"/>
                      <w:lang w:val="en-US"/>
                    </w:rPr>
                  </w:pPr>
                  <w:r>
                    <w:rPr>
                      <w:rFonts w:hint="eastAsia"/>
                      <w:color w:val="FF0000"/>
                      <w:sz w:val="22"/>
                      <w:szCs w:val="22"/>
                      <w:lang w:val="en-US" w:eastAsia="zh-CN"/>
                    </w:rPr>
                    <w:t>2300</w:t>
                  </w:r>
                </w:p>
              </w:tc>
              <w:tc>
                <w:tcPr>
                  <w:tcW w:w="1196" w:type="dxa"/>
                  <w:vAlign w:val="center"/>
                </w:tcPr>
                <w:p w14:paraId="1373FCFB">
                  <w:pPr>
                    <w:jc w:val="center"/>
                    <w:rPr>
                      <w:rFonts w:hint="default" w:eastAsia="宋体"/>
                      <w:sz w:val="22"/>
                      <w:szCs w:val="22"/>
                      <w:lang w:val="en-US" w:eastAsia="zh-CN"/>
                    </w:rPr>
                  </w:pPr>
                  <w:r>
                    <w:rPr>
                      <w:rFonts w:hint="eastAsia"/>
                      <w:sz w:val="22"/>
                      <w:szCs w:val="22"/>
                      <w:lang w:val="en-US" w:eastAsia="zh-CN"/>
                    </w:rPr>
                    <w:t>17.28</w:t>
                  </w:r>
                </w:p>
              </w:tc>
              <w:tc>
                <w:tcPr>
                  <w:tcW w:w="1344" w:type="dxa"/>
                  <w:vMerge w:val="continue"/>
                  <w:vAlign w:val="center"/>
                </w:tcPr>
                <w:p w14:paraId="63BCF383">
                  <w:pPr>
                    <w:jc w:val="center"/>
                    <w:rPr>
                      <w:sz w:val="22"/>
                      <w:szCs w:val="22"/>
                    </w:rPr>
                  </w:pPr>
                </w:p>
              </w:tc>
            </w:tr>
            <w:tr w14:paraId="245E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14" w:type="dxa"/>
                  <w:vAlign w:val="center"/>
                </w:tcPr>
                <w:p w14:paraId="6501BB37">
                  <w:pPr>
                    <w:jc w:val="center"/>
                    <w:rPr>
                      <w:sz w:val="22"/>
                      <w:szCs w:val="22"/>
                    </w:rPr>
                  </w:pPr>
                  <w:r>
                    <w:rPr>
                      <w:rFonts w:hint="eastAsia"/>
                      <w:sz w:val="22"/>
                      <w:szCs w:val="22"/>
                    </w:rPr>
                    <w:t>3</w:t>
                  </w:r>
                </w:p>
              </w:tc>
              <w:tc>
                <w:tcPr>
                  <w:tcW w:w="1175" w:type="dxa"/>
                  <w:vAlign w:val="center"/>
                </w:tcPr>
                <w:p w14:paraId="0E7820BF">
                  <w:pPr>
                    <w:jc w:val="center"/>
                    <w:rPr>
                      <w:kern w:val="0"/>
                      <w:sz w:val="22"/>
                      <w:szCs w:val="22"/>
                    </w:rPr>
                  </w:pPr>
                  <w:r>
                    <w:rPr>
                      <w:rFonts w:hint="eastAsia"/>
                      <w:kern w:val="0"/>
                      <w:sz w:val="22"/>
                      <w:szCs w:val="22"/>
                    </w:rPr>
                    <w:t>9</w:t>
                  </w:r>
                  <w:r>
                    <w:rPr>
                      <w:kern w:val="0"/>
                      <w:sz w:val="22"/>
                      <w:szCs w:val="22"/>
                    </w:rPr>
                    <w:t>5</w:t>
                  </w:r>
                  <w:r>
                    <w:rPr>
                      <w:rFonts w:hint="eastAsia"/>
                      <w:kern w:val="0"/>
                      <w:sz w:val="22"/>
                      <w:szCs w:val="22"/>
                    </w:rPr>
                    <w:t>#汽油</w:t>
                  </w:r>
                </w:p>
              </w:tc>
              <w:tc>
                <w:tcPr>
                  <w:tcW w:w="617" w:type="dxa"/>
                  <w:vAlign w:val="center"/>
                </w:tcPr>
                <w:p w14:paraId="318D0B37">
                  <w:pPr>
                    <w:jc w:val="center"/>
                    <w:rPr>
                      <w:sz w:val="22"/>
                      <w:szCs w:val="22"/>
                    </w:rPr>
                  </w:pPr>
                  <w:r>
                    <w:rPr>
                      <w:rFonts w:hint="eastAsia"/>
                      <w:sz w:val="22"/>
                      <w:szCs w:val="22"/>
                    </w:rPr>
                    <w:t>t</w:t>
                  </w:r>
                </w:p>
              </w:tc>
              <w:tc>
                <w:tcPr>
                  <w:tcW w:w="896" w:type="dxa"/>
                  <w:vAlign w:val="center"/>
                </w:tcPr>
                <w:p w14:paraId="0AF40FEE">
                  <w:pPr>
                    <w:jc w:val="center"/>
                    <w:rPr>
                      <w:rFonts w:hint="default" w:eastAsia="宋体"/>
                      <w:color w:val="FF0000"/>
                      <w:sz w:val="22"/>
                      <w:szCs w:val="22"/>
                      <w:lang w:val="en-US" w:eastAsia="zh-CN"/>
                    </w:rPr>
                  </w:pPr>
                  <w:r>
                    <w:rPr>
                      <w:rFonts w:hint="eastAsia"/>
                      <w:color w:val="FF0000"/>
                      <w:sz w:val="22"/>
                      <w:szCs w:val="22"/>
                      <w:lang w:val="en-US" w:eastAsia="zh-CN"/>
                    </w:rPr>
                    <w:t>1360</w:t>
                  </w:r>
                </w:p>
              </w:tc>
              <w:tc>
                <w:tcPr>
                  <w:tcW w:w="1196" w:type="dxa"/>
                  <w:vAlign w:val="center"/>
                </w:tcPr>
                <w:p w14:paraId="23B373D1">
                  <w:pPr>
                    <w:jc w:val="center"/>
                    <w:rPr>
                      <w:rFonts w:hint="default" w:eastAsia="宋体"/>
                      <w:sz w:val="22"/>
                      <w:szCs w:val="22"/>
                      <w:lang w:val="en-US" w:eastAsia="zh-CN"/>
                    </w:rPr>
                  </w:pPr>
                  <w:r>
                    <w:rPr>
                      <w:rFonts w:hint="eastAsia"/>
                      <w:sz w:val="22"/>
                      <w:szCs w:val="22"/>
                      <w:lang w:val="en-US" w:eastAsia="zh-CN"/>
                    </w:rPr>
                    <w:t>8.64</w:t>
                  </w:r>
                </w:p>
              </w:tc>
              <w:tc>
                <w:tcPr>
                  <w:tcW w:w="897" w:type="dxa"/>
                  <w:vAlign w:val="center"/>
                </w:tcPr>
                <w:p w14:paraId="366EEB0C">
                  <w:pPr>
                    <w:jc w:val="center"/>
                    <w:rPr>
                      <w:color w:val="FF0000"/>
                      <w:sz w:val="22"/>
                      <w:szCs w:val="22"/>
                    </w:rPr>
                  </w:pPr>
                  <w:r>
                    <w:rPr>
                      <w:rFonts w:hint="eastAsia"/>
                      <w:color w:val="FF0000"/>
                      <w:sz w:val="22"/>
                      <w:szCs w:val="22"/>
                      <w:lang w:val="en-US" w:eastAsia="zh-CN"/>
                    </w:rPr>
                    <w:t>1400</w:t>
                  </w:r>
                </w:p>
              </w:tc>
              <w:tc>
                <w:tcPr>
                  <w:tcW w:w="1196" w:type="dxa"/>
                  <w:vAlign w:val="center"/>
                </w:tcPr>
                <w:p w14:paraId="12134207">
                  <w:pPr>
                    <w:jc w:val="center"/>
                    <w:rPr>
                      <w:rFonts w:hint="default" w:eastAsia="宋体"/>
                      <w:sz w:val="22"/>
                      <w:szCs w:val="22"/>
                      <w:lang w:val="en-US" w:eastAsia="zh-CN"/>
                    </w:rPr>
                  </w:pPr>
                  <w:r>
                    <w:rPr>
                      <w:rFonts w:hint="eastAsia"/>
                      <w:sz w:val="22"/>
                      <w:szCs w:val="22"/>
                      <w:lang w:val="en-US" w:eastAsia="zh-CN"/>
                    </w:rPr>
                    <w:t>17.28</w:t>
                  </w:r>
                </w:p>
              </w:tc>
              <w:tc>
                <w:tcPr>
                  <w:tcW w:w="1344" w:type="dxa"/>
                  <w:vMerge w:val="continue"/>
                  <w:vAlign w:val="center"/>
                </w:tcPr>
                <w:p w14:paraId="07D8D48C">
                  <w:pPr>
                    <w:jc w:val="center"/>
                    <w:rPr>
                      <w:sz w:val="22"/>
                      <w:szCs w:val="22"/>
                    </w:rPr>
                  </w:pPr>
                </w:p>
              </w:tc>
            </w:tr>
            <w:tr w14:paraId="048D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D03F50C">
                  <w:pPr>
                    <w:jc w:val="center"/>
                    <w:rPr>
                      <w:sz w:val="22"/>
                      <w:szCs w:val="22"/>
                    </w:rPr>
                  </w:pPr>
                  <w:r>
                    <w:rPr>
                      <w:rFonts w:hint="eastAsia"/>
                      <w:sz w:val="22"/>
                      <w:szCs w:val="22"/>
                    </w:rPr>
                    <w:t>4</w:t>
                  </w:r>
                </w:p>
              </w:tc>
              <w:tc>
                <w:tcPr>
                  <w:tcW w:w="1175" w:type="dxa"/>
                  <w:vAlign w:val="center"/>
                </w:tcPr>
                <w:p w14:paraId="6BDC785E">
                  <w:pPr>
                    <w:jc w:val="center"/>
                    <w:rPr>
                      <w:kern w:val="0"/>
                      <w:sz w:val="22"/>
                      <w:szCs w:val="22"/>
                    </w:rPr>
                  </w:pPr>
                  <w:r>
                    <w:rPr>
                      <w:rFonts w:hint="eastAsia"/>
                      <w:kern w:val="0"/>
                      <w:sz w:val="22"/>
                      <w:szCs w:val="22"/>
                    </w:rPr>
                    <w:t>9</w:t>
                  </w:r>
                  <w:r>
                    <w:rPr>
                      <w:kern w:val="0"/>
                      <w:sz w:val="22"/>
                      <w:szCs w:val="22"/>
                    </w:rPr>
                    <w:t>8</w:t>
                  </w:r>
                  <w:r>
                    <w:rPr>
                      <w:rFonts w:hint="eastAsia"/>
                      <w:kern w:val="0"/>
                      <w:sz w:val="22"/>
                      <w:szCs w:val="22"/>
                    </w:rPr>
                    <w:t>#汽油</w:t>
                  </w:r>
                </w:p>
              </w:tc>
              <w:tc>
                <w:tcPr>
                  <w:tcW w:w="617" w:type="dxa"/>
                  <w:vAlign w:val="center"/>
                </w:tcPr>
                <w:p w14:paraId="04029208">
                  <w:pPr>
                    <w:jc w:val="center"/>
                    <w:rPr>
                      <w:sz w:val="22"/>
                      <w:szCs w:val="22"/>
                    </w:rPr>
                  </w:pPr>
                  <w:r>
                    <w:rPr>
                      <w:rFonts w:hint="eastAsia"/>
                      <w:sz w:val="22"/>
                      <w:szCs w:val="22"/>
                    </w:rPr>
                    <w:t>t</w:t>
                  </w:r>
                </w:p>
              </w:tc>
              <w:tc>
                <w:tcPr>
                  <w:tcW w:w="896" w:type="dxa"/>
                  <w:vAlign w:val="center"/>
                </w:tcPr>
                <w:p w14:paraId="71A8F553">
                  <w:pPr>
                    <w:jc w:val="center"/>
                    <w:rPr>
                      <w:color w:val="FF0000"/>
                      <w:sz w:val="22"/>
                      <w:szCs w:val="22"/>
                    </w:rPr>
                  </w:pPr>
                  <w:r>
                    <w:rPr>
                      <w:rFonts w:hint="eastAsia"/>
                      <w:color w:val="FF0000"/>
                      <w:sz w:val="22"/>
                      <w:szCs w:val="22"/>
                    </w:rPr>
                    <w:t>0</w:t>
                  </w:r>
                </w:p>
              </w:tc>
              <w:tc>
                <w:tcPr>
                  <w:tcW w:w="1196" w:type="dxa"/>
                  <w:vAlign w:val="center"/>
                </w:tcPr>
                <w:p w14:paraId="79D868BC">
                  <w:pPr>
                    <w:jc w:val="center"/>
                    <w:rPr>
                      <w:sz w:val="22"/>
                      <w:szCs w:val="22"/>
                    </w:rPr>
                  </w:pPr>
                  <w:r>
                    <w:rPr>
                      <w:rFonts w:hint="eastAsia"/>
                      <w:sz w:val="22"/>
                      <w:szCs w:val="22"/>
                    </w:rPr>
                    <w:t>0</w:t>
                  </w:r>
                </w:p>
              </w:tc>
              <w:tc>
                <w:tcPr>
                  <w:tcW w:w="897" w:type="dxa"/>
                  <w:vAlign w:val="center"/>
                </w:tcPr>
                <w:p w14:paraId="7E36F099">
                  <w:pPr>
                    <w:jc w:val="center"/>
                    <w:rPr>
                      <w:rFonts w:hint="default" w:eastAsia="宋体"/>
                      <w:color w:val="FF0000"/>
                      <w:sz w:val="22"/>
                      <w:szCs w:val="22"/>
                      <w:lang w:val="en-US" w:eastAsia="zh-CN"/>
                    </w:rPr>
                  </w:pPr>
                  <w:r>
                    <w:rPr>
                      <w:rFonts w:hint="eastAsia"/>
                      <w:color w:val="FF0000"/>
                      <w:sz w:val="22"/>
                      <w:szCs w:val="22"/>
                      <w:lang w:val="en-US" w:eastAsia="zh-CN"/>
                    </w:rPr>
                    <w:t>450</w:t>
                  </w:r>
                </w:p>
              </w:tc>
              <w:tc>
                <w:tcPr>
                  <w:tcW w:w="1196" w:type="dxa"/>
                  <w:vAlign w:val="center"/>
                </w:tcPr>
                <w:p w14:paraId="1CB92AF9">
                  <w:pPr>
                    <w:jc w:val="center"/>
                    <w:rPr>
                      <w:rFonts w:hint="default" w:eastAsia="宋体"/>
                      <w:sz w:val="22"/>
                      <w:szCs w:val="22"/>
                      <w:lang w:val="en-US" w:eastAsia="zh-CN"/>
                    </w:rPr>
                  </w:pPr>
                  <w:r>
                    <w:rPr>
                      <w:rFonts w:hint="eastAsia"/>
                      <w:sz w:val="22"/>
                      <w:szCs w:val="22"/>
                      <w:lang w:val="en-US" w:eastAsia="zh-CN"/>
                    </w:rPr>
                    <w:t>11.52</w:t>
                  </w:r>
                </w:p>
              </w:tc>
              <w:tc>
                <w:tcPr>
                  <w:tcW w:w="1344" w:type="dxa"/>
                  <w:vMerge w:val="continue"/>
                  <w:vAlign w:val="center"/>
                </w:tcPr>
                <w:p w14:paraId="06B26302">
                  <w:pPr>
                    <w:jc w:val="center"/>
                    <w:rPr>
                      <w:sz w:val="22"/>
                      <w:szCs w:val="22"/>
                    </w:rPr>
                  </w:pPr>
                </w:p>
              </w:tc>
            </w:tr>
            <w:tr w14:paraId="54D0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B26C465">
                  <w:pPr>
                    <w:jc w:val="center"/>
                    <w:rPr>
                      <w:sz w:val="22"/>
                      <w:szCs w:val="22"/>
                    </w:rPr>
                  </w:pPr>
                  <w:r>
                    <w:rPr>
                      <w:rFonts w:hint="eastAsia"/>
                      <w:sz w:val="22"/>
                      <w:szCs w:val="22"/>
                    </w:rPr>
                    <w:t>5</w:t>
                  </w:r>
                </w:p>
              </w:tc>
              <w:tc>
                <w:tcPr>
                  <w:tcW w:w="1175" w:type="dxa"/>
                  <w:vAlign w:val="center"/>
                </w:tcPr>
                <w:p w14:paraId="69491A59">
                  <w:pPr>
                    <w:jc w:val="center"/>
                    <w:rPr>
                      <w:color w:val="auto"/>
                      <w:kern w:val="0"/>
                      <w:sz w:val="22"/>
                      <w:szCs w:val="22"/>
                    </w:rPr>
                  </w:pPr>
                  <w:r>
                    <w:rPr>
                      <w:rFonts w:hint="eastAsia"/>
                      <w:color w:val="auto"/>
                      <w:kern w:val="0"/>
                      <w:sz w:val="22"/>
                      <w:szCs w:val="22"/>
                    </w:rPr>
                    <w:t>抗磨液压油（16kg）</w:t>
                  </w:r>
                </w:p>
              </w:tc>
              <w:tc>
                <w:tcPr>
                  <w:tcW w:w="617" w:type="dxa"/>
                  <w:vAlign w:val="center"/>
                </w:tcPr>
                <w:p w14:paraId="3484C95C">
                  <w:pPr>
                    <w:jc w:val="center"/>
                    <w:rPr>
                      <w:color w:val="auto"/>
                      <w:sz w:val="22"/>
                      <w:szCs w:val="22"/>
                    </w:rPr>
                  </w:pPr>
                  <w:r>
                    <w:rPr>
                      <w:rFonts w:hint="eastAsia"/>
                      <w:color w:val="auto"/>
                      <w:sz w:val="22"/>
                      <w:szCs w:val="22"/>
                    </w:rPr>
                    <w:t>t</w:t>
                  </w:r>
                </w:p>
              </w:tc>
              <w:tc>
                <w:tcPr>
                  <w:tcW w:w="896" w:type="dxa"/>
                  <w:vAlign w:val="center"/>
                </w:tcPr>
                <w:p w14:paraId="652DA004">
                  <w:pPr>
                    <w:jc w:val="center"/>
                    <w:rPr>
                      <w:color w:val="auto"/>
                      <w:sz w:val="22"/>
                      <w:szCs w:val="22"/>
                    </w:rPr>
                  </w:pPr>
                  <w:r>
                    <w:rPr>
                      <w:rFonts w:hint="eastAsia"/>
                      <w:color w:val="auto"/>
                      <w:sz w:val="22"/>
                      <w:szCs w:val="22"/>
                    </w:rPr>
                    <w:t>1</w:t>
                  </w:r>
                </w:p>
              </w:tc>
              <w:tc>
                <w:tcPr>
                  <w:tcW w:w="1196" w:type="dxa"/>
                  <w:vAlign w:val="center"/>
                </w:tcPr>
                <w:p w14:paraId="2260B23D">
                  <w:pPr>
                    <w:jc w:val="center"/>
                    <w:rPr>
                      <w:color w:val="auto"/>
                      <w:sz w:val="22"/>
                      <w:szCs w:val="22"/>
                    </w:rPr>
                  </w:pPr>
                  <w:r>
                    <w:rPr>
                      <w:rFonts w:hint="eastAsia"/>
                      <w:color w:val="auto"/>
                      <w:sz w:val="22"/>
                      <w:szCs w:val="22"/>
                    </w:rPr>
                    <w:t>0.1</w:t>
                  </w:r>
                </w:p>
              </w:tc>
              <w:tc>
                <w:tcPr>
                  <w:tcW w:w="897" w:type="dxa"/>
                  <w:vAlign w:val="center"/>
                </w:tcPr>
                <w:p w14:paraId="72A2A081">
                  <w:pPr>
                    <w:jc w:val="center"/>
                    <w:rPr>
                      <w:color w:val="auto"/>
                      <w:sz w:val="22"/>
                      <w:szCs w:val="22"/>
                    </w:rPr>
                  </w:pPr>
                  <w:r>
                    <w:rPr>
                      <w:rFonts w:hint="eastAsia"/>
                      <w:color w:val="auto"/>
                      <w:sz w:val="22"/>
                      <w:szCs w:val="22"/>
                    </w:rPr>
                    <w:t>1</w:t>
                  </w:r>
                </w:p>
              </w:tc>
              <w:tc>
                <w:tcPr>
                  <w:tcW w:w="1196" w:type="dxa"/>
                  <w:vAlign w:val="center"/>
                </w:tcPr>
                <w:p w14:paraId="63F4669A">
                  <w:pPr>
                    <w:jc w:val="center"/>
                    <w:rPr>
                      <w:color w:val="auto"/>
                      <w:sz w:val="22"/>
                      <w:szCs w:val="22"/>
                    </w:rPr>
                  </w:pPr>
                  <w:r>
                    <w:rPr>
                      <w:rFonts w:hint="eastAsia"/>
                      <w:color w:val="auto"/>
                      <w:sz w:val="22"/>
                      <w:szCs w:val="22"/>
                    </w:rPr>
                    <w:t>0.1</w:t>
                  </w:r>
                </w:p>
              </w:tc>
              <w:tc>
                <w:tcPr>
                  <w:tcW w:w="1344" w:type="dxa"/>
                  <w:vMerge w:val="restart"/>
                  <w:vAlign w:val="center"/>
                </w:tcPr>
                <w:p w14:paraId="321117F5">
                  <w:pPr>
                    <w:jc w:val="center"/>
                    <w:rPr>
                      <w:rFonts w:hint="eastAsia" w:eastAsia="宋体"/>
                      <w:sz w:val="22"/>
                      <w:szCs w:val="22"/>
                      <w:lang w:eastAsia="zh-CN"/>
                    </w:rPr>
                  </w:pPr>
                  <w:r>
                    <w:rPr>
                      <w:rFonts w:hint="eastAsia"/>
                      <w:kern w:val="0"/>
                      <w:sz w:val="22"/>
                      <w:szCs w:val="22"/>
                    </w:rPr>
                    <w:t>供应商配送</w:t>
                  </w:r>
                  <w:r>
                    <w:rPr>
                      <w:rFonts w:hint="eastAsia"/>
                      <w:kern w:val="0"/>
                      <w:sz w:val="22"/>
                      <w:szCs w:val="22"/>
                      <w:lang w:val="en-US" w:eastAsia="zh-CN"/>
                    </w:rPr>
                    <w:t>后暂存待用</w:t>
                  </w:r>
                  <w:r>
                    <w:rPr>
                      <w:rFonts w:hint="eastAsia"/>
                      <w:kern w:val="0"/>
                      <w:sz w:val="22"/>
                      <w:szCs w:val="22"/>
                    </w:rPr>
                    <w:t>，瓶装，不设置加注机，存于</w:t>
                  </w:r>
                  <w:r>
                    <w:rPr>
                      <w:rFonts w:hint="eastAsia"/>
                      <w:kern w:val="0"/>
                      <w:sz w:val="22"/>
                      <w:szCs w:val="22"/>
                      <w:lang w:val="en-US" w:eastAsia="zh-CN"/>
                    </w:rPr>
                    <w:t>油站站房</w:t>
                  </w:r>
                </w:p>
              </w:tc>
            </w:tr>
            <w:tr w14:paraId="65F2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DD827E0">
                  <w:pPr>
                    <w:jc w:val="center"/>
                    <w:rPr>
                      <w:sz w:val="22"/>
                      <w:szCs w:val="22"/>
                    </w:rPr>
                  </w:pPr>
                  <w:r>
                    <w:rPr>
                      <w:rFonts w:hint="eastAsia"/>
                      <w:sz w:val="22"/>
                      <w:szCs w:val="22"/>
                    </w:rPr>
                    <w:t>6</w:t>
                  </w:r>
                </w:p>
              </w:tc>
              <w:tc>
                <w:tcPr>
                  <w:tcW w:w="1175" w:type="dxa"/>
                  <w:vAlign w:val="center"/>
                </w:tcPr>
                <w:p w14:paraId="487EB1B6">
                  <w:pPr>
                    <w:jc w:val="center"/>
                    <w:rPr>
                      <w:color w:val="auto"/>
                      <w:kern w:val="0"/>
                      <w:sz w:val="22"/>
                      <w:szCs w:val="22"/>
                    </w:rPr>
                  </w:pPr>
                  <w:r>
                    <w:rPr>
                      <w:rFonts w:hint="eastAsia"/>
                      <w:color w:val="auto"/>
                      <w:kern w:val="0"/>
                      <w:sz w:val="22"/>
                      <w:szCs w:val="22"/>
                    </w:rPr>
                    <w:t>机油（1L、5L）</w:t>
                  </w:r>
                </w:p>
              </w:tc>
              <w:tc>
                <w:tcPr>
                  <w:tcW w:w="617" w:type="dxa"/>
                  <w:vAlign w:val="center"/>
                </w:tcPr>
                <w:p w14:paraId="3F747E31">
                  <w:pPr>
                    <w:jc w:val="center"/>
                    <w:rPr>
                      <w:color w:val="auto"/>
                      <w:sz w:val="22"/>
                      <w:szCs w:val="22"/>
                    </w:rPr>
                  </w:pPr>
                  <w:r>
                    <w:rPr>
                      <w:rFonts w:hint="eastAsia"/>
                      <w:color w:val="auto"/>
                      <w:sz w:val="22"/>
                      <w:szCs w:val="22"/>
                    </w:rPr>
                    <w:t>t</w:t>
                  </w:r>
                </w:p>
              </w:tc>
              <w:tc>
                <w:tcPr>
                  <w:tcW w:w="896" w:type="dxa"/>
                  <w:vAlign w:val="center"/>
                </w:tcPr>
                <w:p w14:paraId="7319E6EE">
                  <w:pPr>
                    <w:jc w:val="center"/>
                    <w:rPr>
                      <w:color w:val="auto"/>
                      <w:sz w:val="22"/>
                      <w:szCs w:val="22"/>
                    </w:rPr>
                  </w:pPr>
                  <w:r>
                    <w:rPr>
                      <w:rFonts w:hint="eastAsia"/>
                      <w:color w:val="auto"/>
                      <w:sz w:val="22"/>
                      <w:szCs w:val="22"/>
                    </w:rPr>
                    <w:t>1</w:t>
                  </w:r>
                </w:p>
              </w:tc>
              <w:tc>
                <w:tcPr>
                  <w:tcW w:w="1196" w:type="dxa"/>
                  <w:vAlign w:val="center"/>
                </w:tcPr>
                <w:p w14:paraId="43BD1D17">
                  <w:pPr>
                    <w:jc w:val="center"/>
                    <w:rPr>
                      <w:color w:val="auto"/>
                      <w:sz w:val="22"/>
                      <w:szCs w:val="22"/>
                    </w:rPr>
                  </w:pPr>
                  <w:r>
                    <w:rPr>
                      <w:rFonts w:hint="eastAsia"/>
                      <w:color w:val="auto"/>
                      <w:sz w:val="22"/>
                      <w:szCs w:val="22"/>
                    </w:rPr>
                    <w:t>0.06</w:t>
                  </w:r>
                </w:p>
              </w:tc>
              <w:tc>
                <w:tcPr>
                  <w:tcW w:w="897" w:type="dxa"/>
                  <w:vAlign w:val="center"/>
                </w:tcPr>
                <w:p w14:paraId="4911D319">
                  <w:pPr>
                    <w:jc w:val="center"/>
                    <w:rPr>
                      <w:color w:val="auto"/>
                      <w:sz w:val="22"/>
                      <w:szCs w:val="22"/>
                    </w:rPr>
                  </w:pPr>
                  <w:r>
                    <w:rPr>
                      <w:rFonts w:hint="eastAsia"/>
                      <w:color w:val="auto"/>
                      <w:sz w:val="22"/>
                      <w:szCs w:val="22"/>
                    </w:rPr>
                    <w:t>1</w:t>
                  </w:r>
                </w:p>
              </w:tc>
              <w:tc>
                <w:tcPr>
                  <w:tcW w:w="1196" w:type="dxa"/>
                  <w:vAlign w:val="center"/>
                </w:tcPr>
                <w:p w14:paraId="4BDC3475">
                  <w:pPr>
                    <w:jc w:val="center"/>
                    <w:rPr>
                      <w:color w:val="auto"/>
                      <w:sz w:val="22"/>
                      <w:szCs w:val="22"/>
                    </w:rPr>
                  </w:pPr>
                  <w:r>
                    <w:rPr>
                      <w:rFonts w:hint="eastAsia"/>
                      <w:color w:val="auto"/>
                      <w:sz w:val="22"/>
                      <w:szCs w:val="22"/>
                    </w:rPr>
                    <w:t>0.06</w:t>
                  </w:r>
                </w:p>
              </w:tc>
              <w:tc>
                <w:tcPr>
                  <w:tcW w:w="1344" w:type="dxa"/>
                  <w:vMerge w:val="continue"/>
                  <w:vAlign w:val="center"/>
                </w:tcPr>
                <w:p w14:paraId="59D54631">
                  <w:pPr>
                    <w:jc w:val="center"/>
                    <w:rPr>
                      <w:kern w:val="0"/>
                      <w:sz w:val="22"/>
                      <w:szCs w:val="22"/>
                    </w:rPr>
                  </w:pPr>
                </w:p>
              </w:tc>
            </w:tr>
            <w:tr w14:paraId="2FF4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59F05491">
                  <w:pPr>
                    <w:jc w:val="center"/>
                    <w:rPr>
                      <w:sz w:val="22"/>
                      <w:szCs w:val="22"/>
                    </w:rPr>
                  </w:pPr>
                  <w:r>
                    <w:rPr>
                      <w:rFonts w:hint="eastAsia"/>
                      <w:sz w:val="22"/>
                      <w:szCs w:val="22"/>
                    </w:rPr>
                    <w:t>7</w:t>
                  </w:r>
                </w:p>
              </w:tc>
              <w:tc>
                <w:tcPr>
                  <w:tcW w:w="1175" w:type="dxa"/>
                  <w:vAlign w:val="center"/>
                </w:tcPr>
                <w:p w14:paraId="73E92566">
                  <w:pPr>
                    <w:jc w:val="center"/>
                    <w:rPr>
                      <w:color w:val="auto"/>
                      <w:kern w:val="0"/>
                      <w:sz w:val="22"/>
                      <w:szCs w:val="22"/>
                    </w:rPr>
                  </w:pPr>
                  <w:r>
                    <w:rPr>
                      <w:rFonts w:hint="eastAsia"/>
                      <w:color w:val="auto"/>
                      <w:kern w:val="0"/>
                      <w:sz w:val="22"/>
                      <w:szCs w:val="22"/>
                    </w:rPr>
                    <w:t>车用尿素溶液（10L）</w:t>
                  </w:r>
                </w:p>
              </w:tc>
              <w:tc>
                <w:tcPr>
                  <w:tcW w:w="617" w:type="dxa"/>
                  <w:vAlign w:val="center"/>
                </w:tcPr>
                <w:p w14:paraId="524CBB61">
                  <w:pPr>
                    <w:jc w:val="center"/>
                    <w:rPr>
                      <w:color w:val="auto"/>
                      <w:sz w:val="22"/>
                      <w:szCs w:val="22"/>
                    </w:rPr>
                  </w:pPr>
                  <w:r>
                    <w:rPr>
                      <w:rFonts w:hint="eastAsia"/>
                      <w:color w:val="auto"/>
                      <w:sz w:val="22"/>
                      <w:szCs w:val="22"/>
                    </w:rPr>
                    <w:t>t</w:t>
                  </w:r>
                </w:p>
              </w:tc>
              <w:tc>
                <w:tcPr>
                  <w:tcW w:w="896" w:type="dxa"/>
                  <w:vAlign w:val="center"/>
                </w:tcPr>
                <w:p w14:paraId="64BD65DB">
                  <w:pPr>
                    <w:jc w:val="center"/>
                    <w:rPr>
                      <w:color w:val="auto"/>
                      <w:sz w:val="22"/>
                      <w:szCs w:val="22"/>
                    </w:rPr>
                  </w:pPr>
                  <w:r>
                    <w:rPr>
                      <w:rFonts w:hint="eastAsia"/>
                      <w:color w:val="auto"/>
                      <w:sz w:val="22"/>
                      <w:szCs w:val="22"/>
                    </w:rPr>
                    <w:t>1</w:t>
                  </w:r>
                </w:p>
              </w:tc>
              <w:tc>
                <w:tcPr>
                  <w:tcW w:w="1196" w:type="dxa"/>
                  <w:vAlign w:val="center"/>
                </w:tcPr>
                <w:p w14:paraId="50F978CB">
                  <w:pPr>
                    <w:jc w:val="center"/>
                    <w:rPr>
                      <w:color w:val="auto"/>
                      <w:sz w:val="22"/>
                      <w:szCs w:val="22"/>
                    </w:rPr>
                  </w:pPr>
                  <w:r>
                    <w:rPr>
                      <w:rFonts w:hint="eastAsia"/>
                      <w:color w:val="auto"/>
                      <w:sz w:val="22"/>
                      <w:szCs w:val="22"/>
                    </w:rPr>
                    <w:t>0.1</w:t>
                  </w:r>
                </w:p>
              </w:tc>
              <w:tc>
                <w:tcPr>
                  <w:tcW w:w="897" w:type="dxa"/>
                  <w:vAlign w:val="center"/>
                </w:tcPr>
                <w:p w14:paraId="0D9BF5B7">
                  <w:pPr>
                    <w:jc w:val="center"/>
                    <w:rPr>
                      <w:color w:val="auto"/>
                      <w:sz w:val="22"/>
                      <w:szCs w:val="22"/>
                    </w:rPr>
                  </w:pPr>
                  <w:r>
                    <w:rPr>
                      <w:rFonts w:hint="eastAsia"/>
                      <w:color w:val="auto"/>
                      <w:sz w:val="22"/>
                      <w:szCs w:val="22"/>
                    </w:rPr>
                    <w:t>1</w:t>
                  </w:r>
                </w:p>
              </w:tc>
              <w:tc>
                <w:tcPr>
                  <w:tcW w:w="1196" w:type="dxa"/>
                  <w:vAlign w:val="center"/>
                </w:tcPr>
                <w:p w14:paraId="332E2B86">
                  <w:pPr>
                    <w:jc w:val="center"/>
                    <w:rPr>
                      <w:color w:val="auto"/>
                      <w:sz w:val="22"/>
                      <w:szCs w:val="22"/>
                    </w:rPr>
                  </w:pPr>
                  <w:r>
                    <w:rPr>
                      <w:rFonts w:hint="eastAsia"/>
                      <w:color w:val="auto"/>
                      <w:sz w:val="22"/>
                      <w:szCs w:val="22"/>
                    </w:rPr>
                    <w:t>0.1</w:t>
                  </w:r>
                </w:p>
              </w:tc>
              <w:tc>
                <w:tcPr>
                  <w:tcW w:w="1344" w:type="dxa"/>
                  <w:vMerge w:val="continue"/>
                  <w:vAlign w:val="center"/>
                </w:tcPr>
                <w:p w14:paraId="0D487672">
                  <w:pPr>
                    <w:jc w:val="center"/>
                    <w:rPr>
                      <w:sz w:val="22"/>
                      <w:szCs w:val="22"/>
                    </w:rPr>
                  </w:pPr>
                </w:p>
              </w:tc>
            </w:tr>
            <w:tr w14:paraId="2367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0760AE9C">
                  <w:pPr>
                    <w:jc w:val="center"/>
                    <w:rPr>
                      <w:sz w:val="22"/>
                      <w:szCs w:val="22"/>
                    </w:rPr>
                  </w:pPr>
                  <w:r>
                    <w:rPr>
                      <w:rFonts w:hint="eastAsia"/>
                      <w:sz w:val="22"/>
                      <w:szCs w:val="22"/>
                    </w:rPr>
                    <w:t>8</w:t>
                  </w:r>
                </w:p>
              </w:tc>
              <w:tc>
                <w:tcPr>
                  <w:tcW w:w="1175" w:type="dxa"/>
                  <w:vAlign w:val="center"/>
                </w:tcPr>
                <w:p w14:paraId="23175D55">
                  <w:pPr>
                    <w:jc w:val="center"/>
                    <w:rPr>
                      <w:kern w:val="0"/>
                      <w:sz w:val="22"/>
                      <w:szCs w:val="22"/>
                    </w:rPr>
                  </w:pPr>
                  <w:r>
                    <w:rPr>
                      <w:rFonts w:hint="eastAsia"/>
                      <w:kern w:val="0"/>
                      <w:sz w:val="22"/>
                      <w:szCs w:val="22"/>
                    </w:rPr>
                    <w:t>洗车剂</w:t>
                  </w:r>
                </w:p>
              </w:tc>
              <w:tc>
                <w:tcPr>
                  <w:tcW w:w="617" w:type="dxa"/>
                  <w:vAlign w:val="center"/>
                </w:tcPr>
                <w:p w14:paraId="5264445E">
                  <w:pPr>
                    <w:jc w:val="center"/>
                    <w:rPr>
                      <w:sz w:val="22"/>
                      <w:szCs w:val="22"/>
                    </w:rPr>
                  </w:pPr>
                  <w:r>
                    <w:rPr>
                      <w:rFonts w:hint="eastAsia"/>
                      <w:sz w:val="22"/>
                      <w:szCs w:val="22"/>
                    </w:rPr>
                    <w:t>t</w:t>
                  </w:r>
                </w:p>
              </w:tc>
              <w:tc>
                <w:tcPr>
                  <w:tcW w:w="896" w:type="dxa"/>
                  <w:vAlign w:val="center"/>
                </w:tcPr>
                <w:p w14:paraId="6B9FB6B8">
                  <w:pPr>
                    <w:jc w:val="center"/>
                    <w:rPr>
                      <w:rFonts w:hint="eastAsia" w:eastAsia="宋体"/>
                      <w:sz w:val="22"/>
                      <w:szCs w:val="22"/>
                      <w:lang w:val="en-US" w:eastAsia="zh-CN"/>
                    </w:rPr>
                  </w:pPr>
                  <w:r>
                    <w:rPr>
                      <w:rFonts w:hint="eastAsia"/>
                      <w:sz w:val="22"/>
                      <w:szCs w:val="22"/>
                      <w:lang w:val="en-US" w:eastAsia="zh-CN"/>
                    </w:rPr>
                    <w:t>/</w:t>
                  </w:r>
                </w:p>
              </w:tc>
              <w:tc>
                <w:tcPr>
                  <w:tcW w:w="1196" w:type="dxa"/>
                  <w:vAlign w:val="center"/>
                </w:tcPr>
                <w:p w14:paraId="69319240">
                  <w:pPr>
                    <w:jc w:val="center"/>
                    <w:rPr>
                      <w:sz w:val="22"/>
                      <w:szCs w:val="22"/>
                    </w:rPr>
                  </w:pPr>
                  <w:r>
                    <w:rPr>
                      <w:rFonts w:hint="eastAsia"/>
                      <w:sz w:val="22"/>
                      <w:szCs w:val="22"/>
                    </w:rPr>
                    <w:t>/</w:t>
                  </w:r>
                </w:p>
              </w:tc>
              <w:tc>
                <w:tcPr>
                  <w:tcW w:w="897" w:type="dxa"/>
                  <w:vAlign w:val="center"/>
                </w:tcPr>
                <w:p w14:paraId="2DC48030">
                  <w:pPr>
                    <w:jc w:val="center"/>
                    <w:rPr>
                      <w:sz w:val="22"/>
                      <w:szCs w:val="22"/>
                    </w:rPr>
                  </w:pPr>
                  <w:r>
                    <w:rPr>
                      <w:rFonts w:hint="eastAsia"/>
                      <w:sz w:val="22"/>
                      <w:szCs w:val="22"/>
                    </w:rPr>
                    <w:t>0</w:t>
                  </w:r>
                  <w:r>
                    <w:rPr>
                      <w:sz w:val="22"/>
                      <w:szCs w:val="22"/>
                    </w:rPr>
                    <w:t>.12</w:t>
                  </w:r>
                </w:p>
              </w:tc>
              <w:tc>
                <w:tcPr>
                  <w:tcW w:w="2540" w:type="dxa"/>
                  <w:gridSpan w:val="2"/>
                  <w:vAlign w:val="center"/>
                </w:tcPr>
                <w:p w14:paraId="67D64D7F">
                  <w:pPr>
                    <w:autoSpaceDE w:val="0"/>
                    <w:autoSpaceDN w:val="0"/>
                    <w:adjustRightInd w:val="0"/>
                    <w:spacing w:line="300" w:lineRule="exact"/>
                    <w:jc w:val="center"/>
                    <w:rPr>
                      <w:kern w:val="0"/>
                      <w:sz w:val="22"/>
                      <w:szCs w:val="22"/>
                    </w:rPr>
                  </w:pPr>
                  <w:r>
                    <w:rPr>
                      <w:rFonts w:hint="eastAsia"/>
                      <w:kern w:val="0"/>
                      <w:sz w:val="22"/>
                      <w:szCs w:val="22"/>
                    </w:rPr>
                    <w:t>不储存，由厂家直接供应后直接兑入自动洗车系统内</w:t>
                  </w:r>
                </w:p>
              </w:tc>
            </w:tr>
            <w:tr w14:paraId="5079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06DB918">
                  <w:pPr>
                    <w:jc w:val="center"/>
                    <w:rPr>
                      <w:sz w:val="22"/>
                      <w:szCs w:val="22"/>
                    </w:rPr>
                  </w:pPr>
                  <w:r>
                    <w:rPr>
                      <w:rFonts w:hint="eastAsia"/>
                      <w:sz w:val="22"/>
                      <w:szCs w:val="22"/>
                    </w:rPr>
                    <w:t>9</w:t>
                  </w:r>
                </w:p>
              </w:tc>
              <w:tc>
                <w:tcPr>
                  <w:tcW w:w="1175" w:type="dxa"/>
                  <w:vAlign w:val="center"/>
                </w:tcPr>
                <w:p w14:paraId="6C62AD7A">
                  <w:pPr>
                    <w:jc w:val="center"/>
                    <w:rPr>
                      <w:sz w:val="22"/>
                      <w:szCs w:val="22"/>
                    </w:rPr>
                  </w:pPr>
                  <w:r>
                    <w:rPr>
                      <w:rFonts w:hint="eastAsia"/>
                      <w:sz w:val="22"/>
                      <w:szCs w:val="22"/>
                    </w:rPr>
                    <w:t>电</w:t>
                  </w:r>
                </w:p>
              </w:tc>
              <w:tc>
                <w:tcPr>
                  <w:tcW w:w="617" w:type="dxa"/>
                  <w:vAlign w:val="center"/>
                </w:tcPr>
                <w:p w14:paraId="20A60068">
                  <w:pPr>
                    <w:jc w:val="center"/>
                    <w:rPr>
                      <w:sz w:val="22"/>
                      <w:szCs w:val="22"/>
                    </w:rPr>
                  </w:pPr>
                  <w:r>
                    <w:rPr>
                      <w:sz w:val="22"/>
                      <w:szCs w:val="22"/>
                    </w:rPr>
                    <w:t>万kW·h</w:t>
                  </w:r>
                </w:p>
              </w:tc>
              <w:tc>
                <w:tcPr>
                  <w:tcW w:w="896" w:type="dxa"/>
                  <w:vAlign w:val="center"/>
                </w:tcPr>
                <w:p w14:paraId="1B6A5C97">
                  <w:pPr>
                    <w:jc w:val="center"/>
                    <w:rPr>
                      <w:sz w:val="22"/>
                      <w:szCs w:val="22"/>
                    </w:rPr>
                  </w:pPr>
                  <w:r>
                    <w:rPr>
                      <w:sz w:val="22"/>
                      <w:szCs w:val="22"/>
                    </w:rPr>
                    <w:t>1.0</w:t>
                  </w:r>
                </w:p>
              </w:tc>
              <w:tc>
                <w:tcPr>
                  <w:tcW w:w="1196" w:type="dxa"/>
                  <w:vAlign w:val="center"/>
                </w:tcPr>
                <w:p w14:paraId="5A6ED948">
                  <w:pPr>
                    <w:jc w:val="center"/>
                    <w:rPr>
                      <w:sz w:val="22"/>
                      <w:szCs w:val="22"/>
                    </w:rPr>
                  </w:pPr>
                  <w:r>
                    <w:rPr>
                      <w:rFonts w:hint="eastAsia"/>
                      <w:sz w:val="22"/>
                      <w:szCs w:val="22"/>
                    </w:rPr>
                    <w:t>/</w:t>
                  </w:r>
                </w:p>
              </w:tc>
              <w:tc>
                <w:tcPr>
                  <w:tcW w:w="897" w:type="dxa"/>
                  <w:vAlign w:val="center"/>
                </w:tcPr>
                <w:p w14:paraId="6992837C">
                  <w:pPr>
                    <w:jc w:val="center"/>
                    <w:rPr>
                      <w:sz w:val="22"/>
                      <w:szCs w:val="22"/>
                    </w:rPr>
                  </w:pPr>
                  <w:r>
                    <w:rPr>
                      <w:sz w:val="22"/>
                      <w:szCs w:val="22"/>
                    </w:rPr>
                    <w:t>1.2</w:t>
                  </w:r>
                </w:p>
              </w:tc>
              <w:tc>
                <w:tcPr>
                  <w:tcW w:w="1196" w:type="dxa"/>
                  <w:vAlign w:val="center"/>
                </w:tcPr>
                <w:p w14:paraId="34CB0E34">
                  <w:pPr>
                    <w:jc w:val="center"/>
                    <w:rPr>
                      <w:sz w:val="22"/>
                      <w:szCs w:val="22"/>
                    </w:rPr>
                  </w:pPr>
                  <w:r>
                    <w:rPr>
                      <w:rFonts w:hint="eastAsia"/>
                      <w:sz w:val="22"/>
                      <w:szCs w:val="22"/>
                    </w:rPr>
                    <w:t>/</w:t>
                  </w:r>
                </w:p>
              </w:tc>
              <w:tc>
                <w:tcPr>
                  <w:tcW w:w="1344" w:type="dxa"/>
                  <w:vAlign w:val="center"/>
                </w:tcPr>
                <w:p w14:paraId="6CECB8C7">
                  <w:pPr>
                    <w:jc w:val="center"/>
                    <w:rPr>
                      <w:sz w:val="22"/>
                      <w:szCs w:val="22"/>
                    </w:rPr>
                  </w:pPr>
                  <w:r>
                    <w:rPr>
                      <w:rFonts w:hint="eastAsia"/>
                      <w:sz w:val="22"/>
                      <w:szCs w:val="22"/>
                    </w:rPr>
                    <w:t>由市政供电管网引入</w:t>
                  </w:r>
                </w:p>
              </w:tc>
            </w:tr>
            <w:tr w14:paraId="4FCC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vAlign w:val="center"/>
                </w:tcPr>
                <w:p w14:paraId="66ED778A">
                  <w:pPr>
                    <w:jc w:val="center"/>
                    <w:rPr>
                      <w:sz w:val="22"/>
                      <w:szCs w:val="22"/>
                    </w:rPr>
                  </w:pPr>
                  <w:r>
                    <w:rPr>
                      <w:rFonts w:hint="eastAsia"/>
                      <w:sz w:val="22"/>
                      <w:szCs w:val="22"/>
                    </w:rPr>
                    <w:t>10</w:t>
                  </w:r>
                </w:p>
              </w:tc>
              <w:tc>
                <w:tcPr>
                  <w:tcW w:w="1175" w:type="dxa"/>
                  <w:vAlign w:val="center"/>
                </w:tcPr>
                <w:p w14:paraId="3F0FD3FB">
                  <w:pPr>
                    <w:jc w:val="center"/>
                    <w:rPr>
                      <w:sz w:val="22"/>
                      <w:szCs w:val="22"/>
                    </w:rPr>
                  </w:pPr>
                  <w:r>
                    <w:rPr>
                      <w:rFonts w:hint="eastAsia"/>
                      <w:sz w:val="22"/>
                      <w:szCs w:val="22"/>
                    </w:rPr>
                    <w:t>新鲜水</w:t>
                  </w:r>
                </w:p>
              </w:tc>
              <w:tc>
                <w:tcPr>
                  <w:tcW w:w="617" w:type="dxa"/>
                  <w:vAlign w:val="center"/>
                </w:tcPr>
                <w:p w14:paraId="5D441EC5">
                  <w:pPr>
                    <w:jc w:val="center"/>
                    <w:rPr>
                      <w:sz w:val="22"/>
                      <w:szCs w:val="22"/>
                    </w:rPr>
                  </w:pPr>
                  <w:r>
                    <w:rPr>
                      <w:sz w:val="22"/>
                      <w:szCs w:val="22"/>
                    </w:rPr>
                    <w:t>万m</w:t>
                  </w:r>
                  <w:r>
                    <w:rPr>
                      <w:sz w:val="22"/>
                      <w:szCs w:val="22"/>
                      <w:vertAlign w:val="superscript"/>
                    </w:rPr>
                    <w:t>3</w:t>
                  </w:r>
                </w:p>
              </w:tc>
              <w:tc>
                <w:tcPr>
                  <w:tcW w:w="896" w:type="dxa"/>
                  <w:vAlign w:val="center"/>
                </w:tcPr>
                <w:p w14:paraId="195D5C90">
                  <w:pPr>
                    <w:jc w:val="center"/>
                    <w:rPr>
                      <w:sz w:val="22"/>
                      <w:szCs w:val="22"/>
                    </w:rPr>
                  </w:pPr>
                  <w:r>
                    <w:rPr>
                      <w:sz w:val="22"/>
                      <w:szCs w:val="22"/>
                    </w:rPr>
                    <w:t>0.144</w:t>
                  </w:r>
                </w:p>
              </w:tc>
              <w:tc>
                <w:tcPr>
                  <w:tcW w:w="1196" w:type="dxa"/>
                  <w:vAlign w:val="center"/>
                </w:tcPr>
                <w:p w14:paraId="2DB4B07E">
                  <w:pPr>
                    <w:jc w:val="center"/>
                    <w:rPr>
                      <w:sz w:val="22"/>
                      <w:szCs w:val="22"/>
                    </w:rPr>
                  </w:pPr>
                  <w:r>
                    <w:rPr>
                      <w:rFonts w:hint="eastAsia"/>
                      <w:sz w:val="22"/>
                      <w:szCs w:val="22"/>
                    </w:rPr>
                    <w:t>/</w:t>
                  </w:r>
                </w:p>
              </w:tc>
              <w:tc>
                <w:tcPr>
                  <w:tcW w:w="897" w:type="dxa"/>
                  <w:vAlign w:val="center"/>
                </w:tcPr>
                <w:p w14:paraId="07E3A3C0">
                  <w:pPr>
                    <w:jc w:val="center"/>
                    <w:rPr>
                      <w:rFonts w:hint="default" w:eastAsia="宋体"/>
                      <w:sz w:val="22"/>
                      <w:szCs w:val="22"/>
                      <w:lang w:val="en-US" w:eastAsia="zh-CN"/>
                    </w:rPr>
                  </w:pPr>
                  <w:r>
                    <w:rPr>
                      <w:rFonts w:hint="eastAsia"/>
                      <w:color w:val="auto"/>
                      <w:sz w:val="22"/>
                      <w:szCs w:val="22"/>
                      <w:lang w:val="en-US" w:eastAsia="zh-CN"/>
                    </w:rPr>
                    <w:t>0.168</w:t>
                  </w:r>
                </w:p>
              </w:tc>
              <w:tc>
                <w:tcPr>
                  <w:tcW w:w="1196" w:type="dxa"/>
                  <w:vAlign w:val="center"/>
                </w:tcPr>
                <w:p w14:paraId="430DA549">
                  <w:pPr>
                    <w:jc w:val="center"/>
                    <w:rPr>
                      <w:sz w:val="22"/>
                      <w:szCs w:val="22"/>
                    </w:rPr>
                  </w:pPr>
                  <w:r>
                    <w:rPr>
                      <w:rFonts w:hint="eastAsia"/>
                      <w:sz w:val="22"/>
                      <w:szCs w:val="22"/>
                    </w:rPr>
                    <w:t>/</w:t>
                  </w:r>
                </w:p>
              </w:tc>
              <w:tc>
                <w:tcPr>
                  <w:tcW w:w="1344" w:type="dxa"/>
                  <w:vAlign w:val="center"/>
                </w:tcPr>
                <w:p w14:paraId="7D8AC59F">
                  <w:pPr>
                    <w:jc w:val="center"/>
                    <w:rPr>
                      <w:sz w:val="22"/>
                      <w:szCs w:val="22"/>
                    </w:rPr>
                  </w:pPr>
                  <w:r>
                    <w:rPr>
                      <w:rFonts w:hint="eastAsia"/>
                      <w:sz w:val="22"/>
                      <w:szCs w:val="22"/>
                    </w:rPr>
                    <w:t>由市政供水管网引入</w:t>
                  </w:r>
                </w:p>
              </w:tc>
            </w:tr>
          </w:tbl>
          <w:p w14:paraId="1E50B8C5">
            <w:pPr>
              <w:adjustRightInd w:val="0"/>
              <w:snapToGrid w:val="0"/>
              <w:ind w:left="440" w:hanging="440" w:hangingChars="200"/>
              <w:rPr>
                <w:bCs/>
                <w:sz w:val="26"/>
                <w:szCs w:val="26"/>
              </w:rPr>
            </w:pPr>
            <w:r>
              <w:rPr>
                <w:rFonts w:hint="eastAsia"/>
                <w:bCs/>
                <w:sz w:val="22"/>
                <w:szCs w:val="22"/>
              </w:rPr>
              <w:t>注：</w:t>
            </w:r>
            <w:r>
              <w:rPr>
                <w:rFonts w:hint="eastAsia" w:ascii="宋体" w:hAnsi="宋体" w:cs="宋体"/>
                <w:bCs/>
                <w:sz w:val="22"/>
                <w:szCs w:val="22"/>
              </w:rPr>
              <w:t>①</w:t>
            </w:r>
            <w:r>
              <w:rPr>
                <w:rFonts w:hint="eastAsia"/>
                <w:sz w:val="22"/>
                <w:szCs w:val="22"/>
              </w:rPr>
              <w:t>9</w:t>
            </w:r>
            <w:r>
              <w:rPr>
                <w:sz w:val="22"/>
                <w:szCs w:val="22"/>
              </w:rPr>
              <w:t>2</w:t>
            </w:r>
            <w:r>
              <w:rPr>
                <w:rFonts w:hint="eastAsia"/>
                <w:sz w:val="22"/>
                <w:szCs w:val="22"/>
              </w:rPr>
              <w:t>#、9</w:t>
            </w:r>
            <w:r>
              <w:rPr>
                <w:sz w:val="22"/>
                <w:szCs w:val="22"/>
              </w:rPr>
              <w:t>5</w:t>
            </w:r>
            <w:r>
              <w:rPr>
                <w:rFonts w:hint="eastAsia"/>
                <w:sz w:val="22"/>
                <w:szCs w:val="22"/>
              </w:rPr>
              <w:t>#、98#汽油密度</w:t>
            </w:r>
            <w:r>
              <w:rPr>
                <w:rFonts w:hint="eastAsia"/>
                <w:sz w:val="22"/>
                <w:szCs w:val="22"/>
                <w:lang w:val="en-US" w:eastAsia="zh-CN"/>
              </w:rPr>
              <w:t>均按</w:t>
            </w:r>
            <w:r>
              <w:rPr>
                <w:rFonts w:hint="eastAsia"/>
                <w:sz w:val="22"/>
                <w:szCs w:val="22"/>
              </w:rPr>
              <w:t>为0</w:t>
            </w:r>
            <w:r>
              <w:rPr>
                <w:sz w:val="22"/>
                <w:szCs w:val="22"/>
              </w:rPr>
              <w:t>.</w:t>
            </w:r>
            <w:r>
              <w:rPr>
                <w:rFonts w:hint="eastAsia"/>
                <w:sz w:val="22"/>
                <w:szCs w:val="22"/>
              </w:rPr>
              <w:t>7</w:t>
            </w:r>
            <w:r>
              <w:rPr>
                <w:sz w:val="22"/>
                <w:szCs w:val="22"/>
              </w:rPr>
              <w:t>2g/mL</w:t>
            </w:r>
            <w:r>
              <w:rPr>
                <w:rFonts w:hint="eastAsia"/>
                <w:sz w:val="22"/>
                <w:szCs w:val="22"/>
                <w:lang w:val="en-US" w:eastAsia="zh-CN"/>
              </w:rPr>
              <w:t>计</w:t>
            </w:r>
            <w:r>
              <w:rPr>
                <w:rFonts w:hint="eastAsia"/>
                <w:sz w:val="22"/>
                <w:szCs w:val="22"/>
                <w:lang w:eastAsia="zh-CN"/>
              </w:rPr>
              <w:t>，</w:t>
            </w:r>
            <w:r>
              <w:rPr>
                <w:sz w:val="22"/>
                <w:szCs w:val="22"/>
              </w:rPr>
              <w:t>0</w:t>
            </w:r>
            <w:r>
              <w:rPr>
                <w:rFonts w:hint="eastAsia"/>
                <w:sz w:val="22"/>
                <w:szCs w:val="22"/>
              </w:rPr>
              <w:t>#柴油密度为</w:t>
            </w:r>
            <w:r>
              <w:rPr>
                <w:sz w:val="22"/>
                <w:szCs w:val="22"/>
              </w:rPr>
              <w:t>0.8</w:t>
            </w:r>
            <w:r>
              <w:rPr>
                <w:rFonts w:hint="eastAsia"/>
                <w:sz w:val="22"/>
                <w:szCs w:val="22"/>
                <w:lang w:val="en-US" w:eastAsia="zh-CN"/>
              </w:rPr>
              <w:t>9</w:t>
            </w:r>
            <w:r>
              <w:rPr>
                <w:sz w:val="22"/>
                <w:szCs w:val="22"/>
              </w:rPr>
              <w:t>g/mL</w:t>
            </w:r>
            <w:r>
              <w:rPr>
                <w:rFonts w:hint="eastAsia"/>
                <w:sz w:val="22"/>
                <w:szCs w:val="22"/>
              </w:rPr>
              <w:t>；</w:t>
            </w:r>
            <w:r>
              <w:rPr>
                <w:rFonts w:hint="eastAsia" w:ascii="宋体" w:hAnsi="宋体" w:cs="宋体"/>
                <w:bCs/>
                <w:sz w:val="22"/>
                <w:szCs w:val="22"/>
              </w:rPr>
              <w:t>②</w:t>
            </w:r>
            <w:r>
              <w:rPr>
                <w:rFonts w:hint="eastAsia"/>
                <w:bCs/>
                <w:sz w:val="22"/>
                <w:szCs w:val="22"/>
              </w:rPr>
              <w:t>汽柴油</w:t>
            </w:r>
            <w:r>
              <w:rPr>
                <w:rFonts w:hint="eastAsia"/>
                <w:bCs/>
                <w:sz w:val="22"/>
                <w:szCs w:val="22"/>
                <w:lang w:val="en-US" w:eastAsia="zh-CN"/>
              </w:rPr>
              <w:t>储罐</w:t>
            </w:r>
            <w:r>
              <w:rPr>
                <w:rFonts w:hint="eastAsia"/>
                <w:bCs/>
                <w:sz w:val="22"/>
                <w:szCs w:val="22"/>
              </w:rPr>
              <w:t>充装系数</w:t>
            </w:r>
            <w:r>
              <w:rPr>
                <w:rFonts w:hint="eastAsia"/>
                <w:bCs/>
                <w:sz w:val="22"/>
                <w:szCs w:val="22"/>
                <w:lang w:val="en-US" w:eastAsia="zh-CN"/>
              </w:rPr>
              <w:t>均按</w:t>
            </w:r>
            <w:r>
              <w:rPr>
                <w:rFonts w:hint="eastAsia"/>
                <w:bCs/>
                <w:sz w:val="22"/>
                <w:szCs w:val="22"/>
              </w:rPr>
              <w:t>0</w:t>
            </w:r>
            <w:r>
              <w:rPr>
                <w:bCs/>
                <w:sz w:val="22"/>
                <w:szCs w:val="22"/>
              </w:rPr>
              <w:t>.8</w:t>
            </w:r>
            <w:r>
              <w:rPr>
                <w:rFonts w:hint="eastAsia"/>
                <w:bCs/>
                <w:sz w:val="22"/>
                <w:szCs w:val="22"/>
                <w:lang w:val="en-US" w:eastAsia="zh-CN"/>
              </w:rPr>
              <w:t>计</w:t>
            </w:r>
            <w:r>
              <w:rPr>
                <w:rFonts w:hint="eastAsia"/>
                <w:bCs/>
                <w:sz w:val="22"/>
                <w:szCs w:val="22"/>
              </w:rPr>
              <w:t>。</w:t>
            </w:r>
          </w:p>
          <w:p w14:paraId="184620F5">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520" w:firstLineChars="200"/>
              <w:jc w:val="left"/>
              <w:textAlignment w:val="auto"/>
              <w:rPr>
                <w:bCs/>
                <w:sz w:val="26"/>
                <w:szCs w:val="26"/>
              </w:rPr>
            </w:pPr>
            <w:r>
              <w:rPr>
                <w:rFonts w:hint="eastAsia"/>
                <w:bCs/>
                <w:sz w:val="26"/>
                <w:szCs w:val="26"/>
              </w:rPr>
              <w:t>本项目汽油、柴油的理化性质分别见下表2</w:t>
            </w:r>
            <w:r>
              <w:rPr>
                <w:bCs/>
                <w:sz w:val="26"/>
                <w:szCs w:val="26"/>
              </w:rPr>
              <w:t>.</w:t>
            </w:r>
            <w:r>
              <w:rPr>
                <w:rFonts w:hint="eastAsia"/>
                <w:bCs/>
                <w:sz w:val="26"/>
                <w:szCs w:val="26"/>
                <w:lang w:val="en-US" w:eastAsia="zh-CN"/>
              </w:rPr>
              <w:t>5-2</w:t>
            </w:r>
            <w:r>
              <w:rPr>
                <w:rFonts w:hint="eastAsia"/>
                <w:bCs/>
                <w:sz w:val="26"/>
                <w:szCs w:val="26"/>
              </w:rPr>
              <w:t>、表2</w:t>
            </w:r>
            <w:r>
              <w:rPr>
                <w:bCs/>
                <w:sz w:val="26"/>
                <w:szCs w:val="26"/>
              </w:rPr>
              <w:t>.</w:t>
            </w:r>
            <w:r>
              <w:rPr>
                <w:rFonts w:hint="eastAsia"/>
                <w:bCs/>
                <w:sz w:val="26"/>
                <w:szCs w:val="26"/>
                <w:lang w:val="en-US" w:eastAsia="zh-CN"/>
              </w:rPr>
              <w:t>5-3</w:t>
            </w:r>
            <w:r>
              <w:rPr>
                <w:rFonts w:hint="eastAsia"/>
                <w:bCs/>
                <w:sz w:val="26"/>
                <w:szCs w:val="26"/>
              </w:rPr>
              <w:t>。</w:t>
            </w:r>
          </w:p>
          <w:p w14:paraId="556B0708">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sz w:val="22"/>
                <w:szCs w:val="21"/>
              </w:rPr>
            </w:pPr>
            <w:r>
              <w:rPr>
                <w:b w:val="0"/>
                <w:bCs/>
                <w:color w:val="auto"/>
                <w:sz w:val="22"/>
                <w:szCs w:val="21"/>
              </w:rPr>
              <w:t>表2.</w:t>
            </w:r>
            <w:r>
              <w:rPr>
                <w:rFonts w:hint="eastAsia"/>
                <w:b w:val="0"/>
                <w:bCs/>
                <w:color w:val="auto"/>
                <w:sz w:val="22"/>
                <w:szCs w:val="21"/>
                <w:lang w:val="en-US" w:eastAsia="zh-CN"/>
              </w:rPr>
              <w:t xml:space="preserve">5-2  </w:t>
            </w:r>
            <w:r>
              <w:rPr>
                <w:rFonts w:hint="eastAsia"/>
                <w:b w:val="0"/>
                <w:bCs/>
                <w:color w:val="auto"/>
                <w:sz w:val="22"/>
                <w:szCs w:val="21"/>
              </w:rPr>
              <w:t>汽油理化及</w:t>
            </w:r>
            <w:r>
              <w:rPr>
                <w:rFonts w:hint="eastAsia"/>
                <w:b w:val="0"/>
                <w:bCs/>
                <w:color w:val="auto"/>
                <w:sz w:val="22"/>
                <w:szCs w:val="21"/>
                <w:lang w:val="en-US" w:eastAsia="zh-CN"/>
              </w:rPr>
              <w:t>危险</w:t>
            </w:r>
            <w:r>
              <w:rPr>
                <w:rFonts w:hint="eastAsia"/>
                <w:b w:val="0"/>
                <w:bCs/>
                <w:color w:val="auto"/>
                <w:sz w:val="22"/>
                <w:szCs w:val="21"/>
              </w:rPr>
              <w:t>性质统计表</w:t>
            </w:r>
          </w:p>
          <w:tbl>
            <w:tblPr>
              <w:tblStyle w:val="17"/>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493"/>
              <w:gridCol w:w="3747"/>
            </w:tblGrid>
            <w:tr w14:paraId="6560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restart"/>
                  <w:vAlign w:val="center"/>
                </w:tcPr>
                <w:p w14:paraId="05F9A84F">
                  <w:pPr>
                    <w:pStyle w:val="62"/>
                    <w:rPr>
                      <w:sz w:val="22"/>
                    </w:rPr>
                  </w:pPr>
                  <w:r>
                    <w:rPr>
                      <w:kern w:val="0"/>
                      <w:sz w:val="22"/>
                    </w:rPr>
                    <w:t>理化</w:t>
                  </w:r>
                </w:p>
                <w:p w14:paraId="55BA8F7A">
                  <w:pPr>
                    <w:pStyle w:val="62"/>
                    <w:rPr>
                      <w:kern w:val="0"/>
                      <w:sz w:val="22"/>
                    </w:rPr>
                  </w:pPr>
                  <w:r>
                    <w:rPr>
                      <w:kern w:val="0"/>
                      <w:sz w:val="22"/>
                    </w:rPr>
                    <w:t>性质</w:t>
                  </w:r>
                </w:p>
              </w:tc>
              <w:tc>
                <w:tcPr>
                  <w:tcW w:w="3361" w:type="dxa"/>
                  <w:vAlign w:val="center"/>
                </w:tcPr>
                <w:p w14:paraId="711F1EAC">
                  <w:pPr>
                    <w:pStyle w:val="62"/>
                    <w:jc w:val="left"/>
                    <w:rPr>
                      <w:sz w:val="22"/>
                    </w:rPr>
                  </w:pPr>
                  <w:r>
                    <w:rPr>
                      <w:rFonts w:hint="eastAsia"/>
                      <w:kern w:val="0"/>
                      <w:sz w:val="22"/>
                    </w:rPr>
                    <w:t>物理状态：液态</w:t>
                  </w:r>
                </w:p>
              </w:tc>
              <w:tc>
                <w:tcPr>
                  <w:tcW w:w="3606" w:type="dxa"/>
                  <w:vAlign w:val="center"/>
                </w:tcPr>
                <w:p w14:paraId="51E8A724">
                  <w:pPr>
                    <w:pStyle w:val="62"/>
                    <w:jc w:val="left"/>
                    <w:rPr>
                      <w:sz w:val="22"/>
                    </w:rPr>
                  </w:pPr>
                  <w:r>
                    <w:rPr>
                      <w:rFonts w:hint="eastAsia"/>
                      <w:spacing w:val="8"/>
                      <w:sz w:val="22"/>
                    </w:rPr>
                    <w:t>形状：挥发液体</w:t>
                  </w:r>
                </w:p>
              </w:tc>
            </w:tr>
            <w:tr w14:paraId="3946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53FA5706">
                  <w:pPr>
                    <w:pStyle w:val="62"/>
                    <w:rPr>
                      <w:kern w:val="0"/>
                      <w:sz w:val="22"/>
                    </w:rPr>
                  </w:pPr>
                </w:p>
              </w:tc>
              <w:tc>
                <w:tcPr>
                  <w:tcW w:w="3361" w:type="dxa"/>
                  <w:vAlign w:val="center"/>
                </w:tcPr>
                <w:p w14:paraId="45E955EC">
                  <w:pPr>
                    <w:pStyle w:val="62"/>
                    <w:jc w:val="left"/>
                    <w:rPr>
                      <w:kern w:val="0"/>
                      <w:sz w:val="22"/>
                    </w:rPr>
                  </w:pPr>
                  <w:r>
                    <w:rPr>
                      <w:rFonts w:hint="eastAsia"/>
                      <w:kern w:val="0"/>
                      <w:sz w:val="22"/>
                    </w:rPr>
                    <w:t>颜色：无色或淡黄色</w:t>
                  </w:r>
                </w:p>
              </w:tc>
              <w:tc>
                <w:tcPr>
                  <w:tcW w:w="3606" w:type="dxa"/>
                  <w:vAlign w:val="center"/>
                </w:tcPr>
                <w:p w14:paraId="23922949">
                  <w:pPr>
                    <w:pStyle w:val="62"/>
                    <w:jc w:val="left"/>
                    <w:rPr>
                      <w:spacing w:val="8"/>
                      <w:sz w:val="22"/>
                    </w:rPr>
                  </w:pPr>
                  <w:r>
                    <w:rPr>
                      <w:rFonts w:hint="eastAsia"/>
                      <w:spacing w:val="8"/>
                      <w:sz w:val="22"/>
                    </w:rPr>
                    <w:t>气味：汽油味道</w:t>
                  </w:r>
                </w:p>
              </w:tc>
            </w:tr>
            <w:tr w14:paraId="2DA6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63B19CE8">
                  <w:pPr>
                    <w:pStyle w:val="62"/>
                    <w:rPr>
                      <w:kern w:val="0"/>
                      <w:sz w:val="22"/>
                    </w:rPr>
                  </w:pPr>
                </w:p>
              </w:tc>
              <w:tc>
                <w:tcPr>
                  <w:tcW w:w="3361" w:type="dxa"/>
                  <w:vAlign w:val="center"/>
                </w:tcPr>
                <w:p w14:paraId="2FDD6BB1">
                  <w:pPr>
                    <w:pStyle w:val="62"/>
                    <w:jc w:val="left"/>
                    <w:rPr>
                      <w:kern w:val="0"/>
                      <w:sz w:val="22"/>
                    </w:rPr>
                  </w:pPr>
                  <w:r>
                    <w:rPr>
                      <w:sz w:val="22"/>
                    </w:rPr>
                    <w:t>pH值：</w:t>
                  </w:r>
                  <w:r>
                    <w:rPr>
                      <w:rFonts w:hint="eastAsia"/>
                      <w:sz w:val="22"/>
                    </w:rPr>
                    <w:t>中性</w:t>
                  </w:r>
                </w:p>
              </w:tc>
              <w:tc>
                <w:tcPr>
                  <w:tcW w:w="3606" w:type="dxa"/>
                  <w:vAlign w:val="center"/>
                </w:tcPr>
                <w:p w14:paraId="5C791EFF">
                  <w:pPr>
                    <w:pStyle w:val="62"/>
                    <w:jc w:val="left"/>
                    <w:rPr>
                      <w:spacing w:val="8"/>
                      <w:sz w:val="22"/>
                    </w:rPr>
                  </w:pPr>
                  <w:r>
                    <w:rPr>
                      <w:sz w:val="22"/>
                    </w:rPr>
                    <w:t>沸点（℃）：30</w:t>
                  </w:r>
                  <w:r>
                    <w:rPr>
                      <w:rFonts w:hint="eastAsia"/>
                      <w:sz w:val="22"/>
                    </w:rPr>
                    <w:t>~</w:t>
                  </w:r>
                  <w:r>
                    <w:rPr>
                      <w:sz w:val="22"/>
                    </w:rPr>
                    <w:t>210</w:t>
                  </w:r>
                  <w:r>
                    <w:rPr>
                      <w:rFonts w:hint="eastAsia"/>
                      <w:sz w:val="22"/>
                    </w:rPr>
                    <w:t>（8</w:t>
                  </w:r>
                  <w:r>
                    <w:rPr>
                      <w:sz w:val="22"/>
                    </w:rPr>
                    <w:t>6°</w:t>
                  </w:r>
                  <w:r>
                    <w:rPr>
                      <w:rFonts w:hint="eastAsia"/>
                      <w:sz w:val="22"/>
                    </w:rPr>
                    <w:t>F~</w:t>
                  </w:r>
                  <w:r>
                    <w:rPr>
                      <w:sz w:val="22"/>
                    </w:rPr>
                    <w:t>410°</w:t>
                  </w:r>
                  <w:r>
                    <w:rPr>
                      <w:rFonts w:hint="eastAsia"/>
                      <w:sz w:val="22"/>
                    </w:rPr>
                    <w:t>F）</w:t>
                  </w:r>
                </w:p>
              </w:tc>
            </w:tr>
            <w:tr w14:paraId="3F16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7881410B">
                  <w:pPr>
                    <w:pStyle w:val="62"/>
                    <w:rPr>
                      <w:sz w:val="22"/>
                    </w:rPr>
                  </w:pPr>
                </w:p>
              </w:tc>
              <w:tc>
                <w:tcPr>
                  <w:tcW w:w="3361" w:type="dxa"/>
                  <w:vAlign w:val="center"/>
                </w:tcPr>
                <w:p w14:paraId="11A93052">
                  <w:pPr>
                    <w:pStyle w:val="62"/>
                    <w:jc w:val="left"/>
                    <w:rPr>
                      <w:sz w:val="22"/>
                    </w:rPr>
                  </w:pPr>
                  <w:r>
                    <w:rPr>
                      <w:sz w:val="22"/>
                    </w:rPr>
                    <w:t>闪点（℃）：</w:t>
                  </w:r>
                  <w:r>
                    <w:rPr>
                      <w:rFonts w:hint="eastAsia"/>
                      <w:sz w:val="22"/>
                    </w:rPr>
                    <w:t>-</w:t>
                  </w:r>
                  <w:r>
                    <w:rPr>
                      <w:sz w:val="22"/>
                    </w:rPr>
                    <w:t>43</w:t>
                  </w:r>
                  <w:r>
                    <w:rPr>
                      <w:rFonts w:hint="eastAsia"/>
                      <w:sz w:val="22"/>
                    </w:rPr>
                    <w:t>~-</w:t>
                  </w:r>
                  <w:r>
                    <w:rPr>
                      <w:sz w:val="22"/>
                    </w:rPr>
                    <w:t>38</w:t>
                  </w:r>
                  <w:r>
                    <w:rPr>
                      <w:rFonts w:hint="eastAsia"/>
                      <w:sz w:val="22"/>
                    </w:rPr>
                    <w:t>（-</w:t>
                  </w:r>
                  <w:r>
                    <w:rPr>
                      <w:sz w:val="22"/>
                    </w:rPr>
                    <w:t>45°</w:t>
                  </w:r>
                  <w:r>
                    <w:rPr>
                      <w:rFonts w:hint="eastAsia"/>
                      <w:sz w:val="22"/>
                    </w:rPr>
                    <w:t>F~-</w:t>
                  </w:r>
                  <w:r>
                    <w:rPr>
                      <w:sz w:val="22"/>
                    </w:rPr>
                    <w:t>36°</w:t>
                  </w:r>
                  <w:r>
                    <w:rPr>
                      <w:rFonts w:hint="eastAsia"/>
                      <w:sz w:val="22"/>
                    </w:rPr>
                    <w:t>F）</w:t>
                  </w:r>
                </w:p>
              </w:tc>
              <w:tc>
                <w:tcPr>
                  <w:tcW w:w="3606" w:type="dxa"/>
                  <w:vAlign w:val="center"/>
                </w:tcPr>
                <w:p w14:paraId="22AF6DDE">
                  <w:pPr>
                    <w:pStyle w:val="62"/>
                    <w:jc w:val="left"/>
                    <w:rPr>
                      <w:sz w:val="22"/>
                    </w:rPr>
                  </w:pPr>
                  <w:r>
                    <w:rPr>
                      <w:rFonts w:hint="eastAsia"/>
                      <w:sz w:val="22"/>
                    </w:rPr>
                    <w:t>密度：0.7</w:t>
                  </w:r>
                  <w:r>
                    <w:rPr>
                      <w:rFonts w:hint="eastAsia"/>
                      <w:sz w:val="22"/>
                      <w:lang w:val="en-US" w:eastAsia="zh-CN"/>
                    </w:rPr>
                    <w:t>2</w:t>
                  </w:r>
                  <w:r>
                    <w:rPr>
                      <w:rFonts w:hint="eastAsia"/>
                      <w:sz w:val="22"/>
                    </w:rPr>
                    <w:t>kg/L@</w:t>
                  </w:r>
                  <w:r>
                    <w:rPr>
                      <w:rFonts w:hint="eastAsia"/>
                      <w:sz w:val="22"/>
                      <w:lang w:val="en-US" w:eastAsia="zh-CN"/>
                    </w:rPr>
                    <w:t>20</w:t>
                  </w:r>
                  <w:r>
                    <w:rPr>
                      <w:sz w:val="22"/>
                    </w:rPr>
                    <w:t>℃</w:t>
                  </w:r>
                </w:p>
              </w:tc>
            </w:tr>
            <w:tr w14:paraId="196C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612BDA63">
                  <w:pPr>
                    <w:pStyle w:val="62"/>
                    <w:rPr>
                      <w:sz w:val="22"/>
                    </w:rPr>
                  </w:pPr>
                </w:p>
              </w:tc>
              <w:tc>
                <w:tcPr>
                  <w:tcW w:w="3361" w:type="dxa"/>
                  <w:vAlign w:val="center"/>
                </w:tcPr>
                <w:p w14:paraId="6A65FF8C">
                  <w:pPr>
                    <w:pStyle w:val="62"/>
                    <w:jc w:val="left"/>
                    <w:rPr>
                      <w:sz w:val="22"/>
                    </w:rPr>
                  </w:pPr>
                  <w:r>
                    <w:rPr>
                      <w:rFonts w:hint="eastAsia"/>
                      <w:spacing w:val="8"/>
                      <w:sz w:val="22"/>
                    </w:rPr>
                    <w:t>蒸气压：0</w:t>
                  </w:r>
                  <w:r>
                    <w:rPr>
                      <w:spacing w:val="8"/>
                      <w:sz w:val="22"/>
                    </w:rPr>
                    <w:t>.03447</w:t>
                  </w:r>
                  <w:r>
                    <w:rPr>
                      <w:rFonts w:hint="eastAsia"/>
                      <w:spacing w:val="8"/>
                      <w:sz w:val="22"/>
                    </w:rPr>
                    <w:t>~</w:t>
                  </w:r>
                  <w:r>
                    <w:rPr>
                      <w:spacing w:val="8"/>
                      <w:sz w:val="22"/>
                    </w:rPr>
                    <w:t>0.10342</w:t>
                  </w:r>
                  <w:r>
                    <w:rPr>
                      <w:rFonts w:hint="eastAsia"/>
                      <w:spacing w:val="8"/>
                      <w:sz w:val="22"/>
                    </w:rPr>
                    <w:t>MPa</w:t>
                  </w:r>
                </w:p>
              </w:tc>
              <w:tc>
                <w:tcPr>
                  <w:tcW w:w="3606" w:type="dxa"/>
                  <w:vAlign w:val="center"/>
                </w:tcPr>
                <w:p w14:paraId="66099A2A">
                  <w:pPr>
                    <w:pStyle w:val="62"/>
                    <w:jc w:val="left"/>
                    <w:rPr>
                      <w:sz w:val="22"/>
                    </w:rPr>
                  </w:pPr>
                  <w:r>
                    <w:rPr>
                      <w:rFonts w:hint="eastAsia"/>
                      <w:sz w:val="22"/>
                    </w:rPr>
                    <w:t>蒸气密度（Air=1）：3~5</w:t>
                  </w:r>
                </w:p>
              </w:tc>
            </w:tr>
            <w:tr w14:paraId="5149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64B5F51F">
                  <w:pPr>
                    <w:pStyle w:val="62"/>
                    <w:rPr>
                      <w:sz w:val="22"/>
                    </w:rPr>
                  </w:pPr>
                </w:p>
              </w:tc>
              <w:tc>
                <w:tcPr>
                  <w:tcW w:w="3361" w:type="dxa"/>
                  <w:vAlign w:val="center"/>
                </w:tcPr>
                <w:p w14:paraId="3389875F">
                  <w:pPr>
                    <w:pStyle w:val="62"/>
                    <w:jc w:val="left"/>
                    <w:rPr>
                      <w:sz w:val="22"/>
                    </w:rPr>
                  </w:pPr>
                  <w:r>
                    <w:rPr>
                      <w:sz w:val="22"/>
                    </w:rPr>
                    <w:t>自燃温度（℃）：280</w:t>
                  </w:r>
                  <w:r>
                    <w:rPr>
                      <w:rFonts w:hint="eastAsia"/>
                      <w:sz w:val="22"/>
                    </w:rPr>
                    <w:t>~</w:t>
                  </w:r>
                  <w:r>
                    <w:rPr>
                      <w:sz w:val="22"/>
                    </w:rPr>
                    <w:t>456</w:t>
                  </w:r>
                </w:p>
              </w:tc>
              <w:tc>
                <w:tcPr>
                  <w:tcW w:w="3606" w:type="dxa"/>
                  <w:vAlign w:val="center"/>
                </w:tcPr>
                <w:p w14:paraId="3E1B0A93">
                  <w:pPr>
                    <w:pStyle w:val="62"/>
                    <w:jc w:val="left"/>
                    <w:rPr>
                      <w:sz w:val="22"/>
                    </w:rPr>
                  </w:pPr>
                  <w:r>
                    <w:rPr>
                      <w:rFonts w:hint="eastAsia"/>
                      <w:sz w:val="22"/>
                    </w:rPr>
                    <w:t xml:space="preserve">爆炸界限：LEL：1.2%～1.4% </w:t>
                  </w:r>
                </w:p>
                <w:p w14:paraId="2E7172AF">
                  <w:pPr>
                    <w:pStyle w:val="62"/>
                    <w:ind w:firstLine="1100" w:firstLineChars="500"/>
                    <w:jc w:val="left"/>
                    <w:rPr>
                      <w:sz w:val="22"/>
                    </w:rPr>
                  </w:pPr>
                  <w:r>
                    <w:rPr>
                      <w:rFonts w:hint="eastAsia"/>
                      <w:sz w:val="22"/>
                    </w:rPr>
                    <w:t>UEL：7.6%</w:t>
                  </w:r>
                </w:p>
              </w:tc>
            </w:tr>
            <w:tr w14:paraId="45D7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0951F4B8">
                  <w:pPr>
                    <w:pStyle w:val="62"/>
                    <w:rPr>
                      <w:sz w:val="22"/>
                    </w:rPr>
                  </w:pPr>
                </w:p>
              </w:tc>
              <w:tc>
                <w:tcPr>
                  <w:tcW w:w="3361" w:type="dxa"/>
                  <w:vAlign w:val="center"/>
                </w:tcPr>
                <w:p w14:paraId="2825FF00">
                  <w:pPr>
                    <w:pStyle w:val="62"/>
                    <w:jc w:val="left"/>
                    <w:rPr>
                      <w:sz w:val="22"/>
                    </w:rPr>
                  </w:pPr>
                  <w:r>
                    <w:rPr>
                      <w:sz w:val="22"/>
                    </w:rPr>
                    <w:t>溶解性：</w:t>
                  </w:r>
                  <w:r>
                    <w:rPr>
                      <w:rFonts w:hint="eastAsia"/>
                      <w:sz w:val="22"/>
                    </w:rPr>
                    <w:t>水溶解度：＜0.1%</w:t>
                  </w:r>
                </w:p>
                <w:p w14:paraId="54B479C4">
                  <w:pPr>
                    <w:pStyle w:val="62"/>
                    <w:jc w:val="left"/>
                    <w:rPr>
                      <w:sz w:val="22"/>
                    </w:rPr>
                  </w:pPr>
                  <w:r>
                    <w:rPr>
                      <w:rFonts w:hint="eastAsia"/>
                      <w:sz w:val="22"/>
                    </w:rPr>
                    <w:t>溶解于无水酒精、醚类、苯、氯仿</w:t>
                  </w:r>
                </w:p>
              </w:tc>
              <w:tc>
                <w:tcPr>
                  <w:tcW w:w="3606" w:type="dxa"/>
                  <w:vAlign w:val="center"/>
                </w:tcPr>
                <w:p w14:paraId="2AB03B15">
                  <w:pPr>
                    <w:pStyle w:val="62"/>
                    <w:jc w:val="left"/>
                    <w:rPr>
                      <w:sz w:val="22"/>
                    </w:rPr>
                  </w:pPr>
                  <w:r>
                    <w:rPr>
                      <w:rFonts w:hint="eastAsia"/>
                      <w:sz w:val="22"/>
                    </w:rPr>
                    <w:t>稳定性：常温常压下稳定</w:t>
                  </w:r>
                </w:p>
              </w:tc>
            </w:tr>
            <w:tr w14:paraId="0C59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restart"/>
                  <w:vAlign w:val="center"/>
                </w:tcPr>
                <w:p w14:paraId="7137CB7C">
                  <w:pPr>
                    <w:pStyle w:val="62"/>
                    <w:rPr>
                      <w:sz w:val="22"/>
                    </w:rPr>
                  </w:pPr>
                  <w:r>
                    <w:rPr>
                      <w:kern w:val="0"/>
                      <w:sz w:val="22"/>
                    </w:rPr>
                    <w:t>危险</w:t>
                  </w:r>
                </w:p>
                <w:p w14:paraId="04863D1A">
                  <w:pPr>
                    <w:pStyle w:val="62"/>
                    <w:rPr>
                      <w:kern w:val="0"/>
                      <w:sz w:val="22"/>
                    </w:rPr>
                  </w:pPr>
                  <w:r>
                    <w:rPr>
                      <w:kern w:val="0"/>
                      <w:sz w:val="22"/>
                    </w:rPr>
                    <w:t>特性</w:t>
                  </w:r>
                </w:p>
              </w:tc>
              <w:tc>
                <w:tcPr>
                  <w:tcW w:w="6967" w:type="dxa"/>
                  <w:gridSpan w:val="2"/>
                  <w:vAlign w:val="center"/>
                </w:tcPr>
                <w:p w14:paraId="2CE2B509">
                  <w:pPr>
                    <w:pStyle w:val="62"/>
                    <w:jc w:val="left"/>
                    <w:rPr>
                      <w:kern w:val="0"/>
                      <w:sz w:val="22"/>
                    </w:rPr>
                  </w:pPr>
                  <w:r>
                    <w:rPr>
                      <w:kern w:val="0"/>
                      <w:sz w:val="22"/>
                    </w:rPr>
                    <w:t>反应性：</w:t>
                  </w:r>
                </w:p>
                <w:p w14:paraId="1047E2A7">
                  <w:pPr>
                    <w:pStyle w:val="62"/>
                    <w:jc w:val="left"/>
                    <w:rPr>
                      <w:sz w:val="22"/>
                    </w:rPr>
                  </w:pPr>
                  <w:r>
                    <w:rPr>
                      <w:rFonts w:hint="eastAsia"/>
                      <w:kern w:val="0"/>
                      <w:sz w:val="22"/>
                    </w:rPr>
                    <w:t>①</w:t>
                  </w:r>
                  <w:r>
                    <w:rPr>
                      <w:rFonts w:hint="eastAsia"/>
                      <w:sz w:val="22"/>
                    </w:rPr>
                    <w:t>避免热、火焰、火花及其他燃烧物质。若曝露于热源，容器会破裂或爆炸远离水源及下水道。有害气体会累积在密闭空间</w:t>
                  </w:r>
                  <w:r>
                    <w:rPr>
                      <w:sz w:val="22"/>
                    </w:rPr>
                    <w:t>。</w:t>
                  </w:r>
                </w:p>
                <w:p w14:paraId="30CEE5FA">
                  <w:pPr>
                    <w:pStyle w:val="62"/>
                    <w:jc w:val="left"/>
                    <w:rPr>
                      <w:kern w:val="0"/>
                      <w:sz w:val="22"/>
                    </w:rPr>
                  </w:pPr>
                  <w:r>
                    <w:rPr>
                      <w:rFonts w:hint="eastAsia"/>
                      <w:kern w:val="0"/>
                      <w:sz w:val="22"/>
                    </w:rPr>
                    <w:t>②避免和强氧化剂，如：酸、碱、金属、卤素、过氧化物、易燃物质等，接触极易发生反应。</w:t>
                  </w:r>
                </w:p>
              </w:tc>
            </w:tr>
            <w:tr w14:paraId="0558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60E9E0E7">
                  <w:pPr>
                    <w:pStyle w:val="62"/>
                    <w:rPr>
                      <w:sz w:val="22"/>
                    </w:rPr>
                  </w:pPr>
                </w:p>
              </w:tc>
              <w:tc>
                <w:tcPr>
                  <w:tcW w:w="6967" w:type="dxa"/>
                  <w:gridSpan w:val="2"/>
                  <w:vAlign w:val="center"/>
                </w:tcPr>
                <w:p w14:paraId="0765D896">
                  <w:pPr>
                    <w:pStyle w:val="62"/>
                    <w:jc w:val="left"/>
                    <w:rPr>
                      <w:kern w:val="0"/>
                      <w:sz w:val="22"/>
                    </w:rPr>
                  </w:pPr>
                  <w:r>
                    <w:rPr>
                      <w:rFonts w:hint="eastAsia"/>
                      <w:kern w:val="0"/>
                      <w:sz w:val="22"/>
                    </w:rPr>
                    <w:t>急性</w:t>
                  </w:r>
                  <w:r>
                    <w:rPr>
                      <w:kern w:val="0"/>
                      <w:sz w:val="22"/>
                    </w:rPr>
                    <w:t>毒性：</w:t>
                  </w:r>
                </w:p>
                <w:p w14:paraId="69329DB9">
                  <w:pPr>
                    <w:pStyle w:val="62"/>
                    <w:jc w:val="left"/>
                    <w:rPr>
                      <w:sz w:val="22"/>
                    </w:rPr>
                  </w:pPr>
                  <w:r>
                    <w:rPr>
                      <w:rFonts w:hint="eastAsia"/>
                      <w:sz w:val="22"/>
                    </w:rPr>
                    <w:t>①食入：会引起刺激与伴随着反胃、呕吐、腹泻的胃肠管道的烧伤。吸收最初会引起中枢神经兴奋随后意志消沉。症状包含：轻微的兴奋、坐立不安、神经过敏、兴奋性、痉挛、虚弱、视力模糊、头痛、头昏眼花、困倦、精神错乱、抽筋与昏迷。有可能短暂的肝脏受损。</w:t>
                  </w:r>
                </w:p>
                <w:p w14:paraId="55D9BAFE">
                  <w:pPr>
                    <w:pStyle w:val="62"/>
                    <w:jc w:val="left"/>
                    <w:rPr>
                      <w:sz w:val="22"/>
                    </w:rPr>
                  </w:pPr>
                  <w:r>
                    <w:rPr>
                      <w:rFonts w:hint="eastAsia"/>
                      <w:sz w:val="22"/>
                    </w:rPr>
                    <w:t>②吸入：在160～270ppm浓度下几小时，会刺激咽喉。浓度2000ppm下30min，会引起轻微的麻醉。其它中枢神经抑制的症状包括：头痛、反胃、呕吐、头昏眼花、困倦、脸部发红、视力模糊、说话含糊、吞咽困难、摇晃欲倒、困惑与陶醉感。在更高浓度会逐渐出现：呼吸困难、肺部浮肿、与支气管肺炎。更进一步会引起，如下列的意气消沉：微弱的呼吸与脉搏、神经过敏、痉挛、兴奋性、与运动失调。严重的中毒会导致精神错乱、无意识、昏迷、与癫痫发作的抽筋。另外也会影响：肝脏、肾脏、脾脏、脑部、心肌与胰脏。会由于呼吸或循环不足或心室纤维颤动而引起死亡。极高度的浓度会引起窒息。</w:t>
                  </w:r>
                </w:p>
                <w:p w14:paraId="1CE7749F">
                  <w:pPr>
                    <w:pStyle w:val="62"/>
                    <w:jc w:val="left"/>
                    <w:rPr>
                      <w:sz w:val="22"/>
                    </w:rPr>
                  </w:pPr>
                  <w:r>
                    <w:rPr>
                      <w:rFonts w:hint="eastAsia"/>
                      <w:sz w:val="22"/>
                    </w:rPr>
                    <w:t>③皮肤：液体会引起带有红斑与疼痛的刺激。长期或大量接触会引起水泡；且在极端情况下会引起表皮损坏。</w:t>
                  </w:r>
                </w:p>
                <w:p w14:paraId="7671C323">
                  <w:pPr>
                    <w:pStyle w:val="62"/>
                    <w:jc w:val="left"/>
                    <w:rPr>
                      <w:kern w:val="0"/>
                      <w:sz w:val="22"/>
                    </w:rPr>
                  </w:pPr>
                  <w:r>
                    <w:rPr>
                      <w:rFonts w:hint="eastAsia"/>
                      <w:sz w:val="22"/>
                    </w:rPr>
                    <w:t>④眼睛：浓度在270ppm～900ppm间，通常在症状（如：明显的结膜充血）之前会引起刺激感觉。液体挥溅在眼睛上，会引起疼痛、剧痛的与脆弱的、短暂的角膜上皮的困扰。角膜充血与浮肿会发生。</w:t>
                  </w:r>
                </w:p>
              </w:tc>
            </w:tr>
            <w:tr w14:paraId="7DD9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1DC0FBF8">
                  <w:pPr>
                    <w:pStyle w:val="62"/>
                    <w:rPr>
                      <w:sz w:val="22"/>
                    </w:rPr>
                  </w:pPr>
                </w:p>
              </w:tc>
              <w:tc>
                <w:tcPr>
                  <w:tcW w:w="6967" w:type="dxa"/>
                  <w:gridSpan w:val="2"/>
                  <w:vAlign w:val="center"/>
                </w:tcPr>
                <w:p w14:paraId="0F8F0C59">
                  <w:pPr>
                    <w:pStyle w:val="62"/>
                    <w:jc w:val="left"/>
                    <w:rPr>
                      <w:kern w:val="0"/>
                      <w:sz w:val="22"/>
                    </w:rPr>
                  </w:pPr>
                  <w:r>
                    <w:rPr>
                      <w:kern w:val="0"/>
                      <w:sz w:val="22"/>
                    </w:rPr>
                    <w:t>燃爆危险性：</w:t>
                  </w:r>
                  <w:r>
                    <w:rPr>
                      <w:rFonts w:hint="eastAsia"/>
                      <w:sz w:val="22"/>
                    </w:rPr>
                    <w:t>易燃液体。</w:t>
                  </w:r>
                </w:p>
              </w:tc>
            </w:tr>
          </w:tbl>
          <w:p w14:paraId="14D24E97">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sz w:val="22"/>
                <w:szCs w:val="21"/>
              </w:rPr>
            </w:pPr>
          </w:p>
          <w:p w14:paraId="1987F7D6">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sz w:val="22"/>
                <w:szCs w:val="21"/>
              </w:rPr>
            </w:pPr>
            <w:r>
              <w:rPr>
                <w:b w:val="0"/>
                <w:bCs/>
                <w:color w:val="auto"/>
                <w:sz w:val="22"/>
                <w:szCs w:val="21"/>
              </w:rPr>
              <w:t>表2.</w:t>
            </w:r>
            <w:r>
              <w:rPr>
                <w:rFonts w:hint="eastAsia"/>
                <w:b w:val="0"/>
                <w:bCs/>
                <w:color w:val="auto"/>
                <w:sz w:val="22"/>
                <w:szCs w:val="21"/>
                <w:lang w:val="en-US" w:eastAsia="zh-CN"/>
              </w:rPr>
              <w:t xml:space="preserve">5-3  </w:t>
            </w:r>
            <w:r>
              <w:rPr>
                <w:rFonts w:hint="eastAsia"/>
                <w:b w:val="0"/>
                <w:bCs/>
                <w:color w:val="auto"/>
                <w:sz w:val="22"/>
                <w:szCs w:val="21"/>
              </w:rPr>
              <w:t>柴油理化及</w:t>
            </w:r>
            <w:r>
              <w:rPr>
                <w:rFonts w:hint="eastAsia"/>
                <w:b w:val="0"/>
                <w:bCs/>
                <w:color w:val="auto"/>
                <w:sz w:val="22"/>
                <w:szCs w:val="21"/>
                <w:lang w:val="en-US" w:eastAsia="zh-CN"/>
              </w:rPr>
              <w:t>危险</w:t>
            </w:r>
            <w:r>
              <w:rPr>
                <w:rFonts w:hint="eastAsia"/>
                <w:b w:val="0"/>
                <w:bCs/>
                <w:color w:val="auto"/>
                <w:sz w:val="22"/>
                <w:szCs w:val="21"/>
              </w:rPr>
              <w:t>性质统计表</w:t>
            </w:r>
          </w:p>
          <w:tbl>
            <w:tblPr>
              <w:tblStyle w:val="17"/>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493"/>
              <w:gridCol w:w="3747"/>
            </w:tblGrid>
            <w:tr w14:paraId="1C9F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restart"/>
                  <w:vAlign w:val="center"/>
                </w:tcPr>
                <w:p w14:paraId="103B99FF">
                  <w:pPr>
                    <w:pStyle w:val="62"/>
                    <w:rPr>
                      <w:sz w:val="22"/>
                    </w:rPr>
                  </w:pPr>
                  <w:r>
                    <w:rPr>
                      <w:kern w:val="0"/>
                      <w:sz w:val="22"/>
                    </w:rPr>
                    <w:t>理化</w:t>
                  </w:r>
                </w:p>
                <w:p w14:paraId="598F8987">
                  <w:pPr>
                    <w:pStyle w:val="62"/>
                    <w:rPr>
                      <w:kern w:val="0"/>
                      <w:sz w:val="22"/>
                    </w:rPr>
                  </w:pPr>
                  <w:r>
                    <w:rPr>
                      <w:kern w:val="0"/>
                      <w:sz w:val="22"/>
                    </w:rPr>
                    <w:t>性质</w:t>
                  </w:r>
                </w:p>
              </w:tc>
              <w:tc>
                <w:tcPr>
                  <w:tcW w:w="3361" w:type="dxa"/>
                  <w:vAlign w:val="center"/>
                </w:tcPr>
                <w:p w14:paraId="729BDB3A">
                  <w:pPr>
                    <w:pStyle w:val="62"/>
                    <w:jc w:val="left"/>
                    <w:rPr>
                      <w:sz w:val="22"/>
                    </w:rPr>
                  </w:pPr>
                  <w:r>
                    <w:rPr>
                      <w:rFonts w:hint="eastAsia"/>
                      <w:kern w:val="0"/>
                      <w:sz w:val="22"/>
                    </w:rPr>
                    <w:t>物理状态：液态</w:t>
                  </w:r>
                </w:p>
              </w:tc>
              <w:tc>
                <w:tcPr>
                  <w:tcW w:w="3606" w:type="dxa"/>
                  <w:vAlign w:val="center"/>
                </w:tcPr>
                <w:p w14:paraId="60364272">
                  <w:pPr>
                    <w:pStyle w:val="62"/>
                    <w:jc w:val="left"/>
                    <w:rPr>
                      <w:sz w:val="22"/>
                    </w:rPr>
                  </w:pPr>
                  <w:r>
                    <w:rPr>
                      <w:rFonts w:hint="eastAsia"/>
                      <w:spacing w:val="8"/>
                      <w:sz w:val="22"/>
                    </w:rPr>
                    <w:t>形状：淡黄色透明油液</w:t>
                  </w:r>
                </w:p>
              </w:tc>
            </w:tr>
            <w:tr w14:paraId="6FF2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31" w:type="dxa"/>
                  <w:vMerge w:val="continue"/>
                  <w:vAlign w:val="center"/>
                </w:tcPr>
                <w:p w14:paraId="3E14B0AA">
                  <w:pPr>
                    <w:pStyle w:val="62"/>
                    <w:rPr>
                      <w:kern w:val="0"/>
                      <w:sz w:val="22"/>
                    </w:rPr>
                  </w:pPr>
                </w:p>
              </w:tc>
              <w:tc>
                <w:tcPr>
                  <w:tcW w:w="3361" w:type="dxa"/>
                  <w:vAlign w:val="center"/>
                </w:tcPr>
                <w:p w14:paraId="3ACA42D9">
                  <w:pPr>
                    <w:pStyle w:val="62"/>
                    <w:jc w:val="left"/>
                    <w:rPr>
                      <w:kern w:val="0"/>
                      <w:sz w:val="22"/>
                    </w:rPr>
                  </w:pPr>
                  <w:r>
                    <w:rPr>
                      <w:rFonts w:hint="eastAsia"/>
                      <w:kern w:val="0"/>
                      <w:sz w:val="22"/>
                    </w:rPr>
                    <w:t>颜色：淡黄色</w:t>
                  </w:r>
                </w:p>
              </w:tc>
              <w:tc>
                <w:tcPr>
                  <w:tcW w:w="3606" w:type="dxa"/>
                  <w:vAlign w:val="center"/>
                </w:tcPr>
                <w:p w14:paraId="7C73578B">
                  <w:pPr>
                    <w:pStyle w:val="62"/>
                    <w:jc w:val="left"/>
                    <w:rPr>
                      <w:spacing w:val="8"/>
                      <w:sz w:val="22"/>
                    </w:rPr>
                  </w:pPr>
                  <w:r>
                    <w:rPr>
                      <w:rFonts w:hint="eastAsia"/>
                      <w:spacing w:val="8"/>
                      <w:sz w:val="22"/>
                    </w:rPr>
                    <w:t>气味：轻微石油味道</w:t>
                  </w:r>
                </w:p>
              </w:tc>
            </w:tr>
            <w:tr w14:paraId="6DC0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430FF3A3">
                  <w:pPr>
                    <w:pStyle w:val="62"/>
                    <w:rPr>
                      <w:kern w:val="0"/>
                      <w:sz w:val="22"/>
                    </w:rPr>
                  </w:pPr>
                </w:p>
              </w:tc>
              <w:tc>
                <w:tcPr>
                  <w:tcW w:w="3361" w:type="dxa"/>
                  <w:vAlign w:val="center"/>
                </w:tcPr>
                <w:p w14:paraId="560283DD">
                  <w:pPr>
                    <w:pStyle w:val="62"/>
                    <w:jc w:val="left"/>
                    <w:rPr>
                      <w:kern w:val="0"/>
                      <w:sz w:val="22"/>
                    </w:rPr>
                  </w:pPr>
                  <w:r>
                    <w:rPr>
                      <w:sz w:val="22"/>
                    </w:rPr>
                    <w:t>pH值：</w:t>
                  </w:r>
                  <w:r>
                    <w:rPr>
                      <w:rFonts w:hint="eastAsia"/>
                      <w:sz w:val="22"/>
                    </w:rPr>
                    <w:t>中性</w:t>
                  </w:r>
                </w:p>
              </w:tc>
              <w:tc>
                <w:tcPr>
                  <w:tcW w:w="3606" w:type="dxa"/>
                  <w:vAlign w:val="center"/>
                </w:tcPr>
                <w:p w14:paraId="39899259">
                  <w:pPr>
                    <w:pStyle w:val="62"/>
                    <w:jc w:val="left"/>
                    <w:rPr>
                      <w:spacing w:val="8"/>
                      <w:sz w:val="22"/>
                    </w:rPr>
                  </w:pPr>
                  <w:r>
                    <w:rPr>
                      <w:sz w:val="22"/>
                    </w:rPr>
                    <w:t>沸点（℃）：163</w:t>
                  </w:r>
                  <w:r>
                    <w:rPr>
                      <w:rFonts w:hint="eastAsia"/>
                      <w:sz w:val="22"/>
                    </w:rPr>
                    <w:t>~</w:t>
                  </w:r>
                  <w:r>
                    <w:rPr>
                      <w:sz w:val="22"/>
                    </w:rPr>
                    <w:t>357</w:t>
                  </w:r>
                  <w:r>
                    <w:rPr>
                      <w:rFonts w:hint="eastAsia"/>
                      <w:sz w:val="22"/>
                    </w:rPr>
                    <w:t>（</w:t>
                  </w:r>
                  <w:r>
                    <w:rPr>
                      <w:sz w:val="22"/>
                    </w:rPr>
                    <w:t>325°</w:t>
                  </w:r>
                  <w:r>
                    <w:rPr>
                      <w:rFonts w:hint="eastAsia"/>
                      <w:sz w:val="22"/>
                    </w:rPr>
                    <w:t>F~</w:t>
                  </w:r>
                  <w:r>
                    <w:rPr>
                      <w:sz w:val="22"/>
                    </w:rPr>
                    <w:t>675°</w:t>
                  </w:r>
                  <w:r>
                    <w:rPr>
                      <w:rFonts w:hint="eastAsia"/>
                      <w:sz w:val="22"/>
                    </w:rPr>
                    <w:t>F）</w:t>
                  </w:r>
                </w:p>
              </w:tc>
            </w:tr>
            <w:tr w14:paraId="37BE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0034564D">
                  <w:pPr>
                    <w:pStyle w:val="62"/>
                    <w:rPr>
                      <w:sz w:val="22"/>
                    </w:rPr>
                  </w:pPr>
                </w:p>
              </w:tc>
              <w:tc>
                <w:tcPr>
                  <w:tcW w:w="3361" w:type="dxa"/>
                  <w:vAlign w:val="center"/>
                </w:tcPr>
                <w:p w14:paraId="72DF7FF1">
                  <w:pPr>
                    <w:pStyle w:val="62"/>
                    <w:jc w:val="left"/>
                    <w:rPr>
                      <w:sz w:val="22"/>
                    </w:rPr>
                  </w:pPr>
                  <w:r>
                    <w:rPr>
                      <w:sz w:val="22"/>
                    </w:rPr>
                    <w:t>闪点（℃）：&gt;52</w:t>
                  </w:r>
                </w:p>
              </w:tc>
              <w:tc>
                <w:tcPr>
                  <w:tcW w:w="3606" w:type="dxa"/>
                  <w:vAlign w:val="center"/>
                </w:tcPr>
                <w:p w14:paraId="033C34B2">
                  <w:pPr>
                    <w:pStyle w:val="62"/>
                    <w:jc w:val="left"/>
                    <w:rPr>
                      <w:sz w:val="22"/>
                    </w:rPr>
                  </w:pPr>
                  <w:r>
                    <w:rPr>
                      <w:rFonts w:hint="eastAsia"/>
                      <w:sz w:val="22"/>
                    </w:rPr>
                    <w:t>密度：0</w:t>
                  </w:r>
                  <w:r>
                    <w:rPr>
                      <w:sz w:val="22"/>
                    </w:rPr>
                    <w:t>.8</w:t>
                  </w:r>
                  <w:r>
                    <w:rPr>
                      <w:rFonts w:hint="eastAsia"/>
                      <w:sz w:val="22"/>
                      <w:lang w:val="en-US" w:eastAsia="zh-CN"/>
                    </w:rPr>
                    <w:t>9</w:t>
                  </w:r>
                  <w:r>
                    <w:rPr>
                      <w:rFonts w:hint="eastAsia"/>
                      <w:sz w:val="22"/>
                    </w:rPr>
                    <w:t>（比重）</w:t>
                  </w:r>
                </w:p>
              </w:tc>
            </w:tr>
            <w:tr w14:paraId="4EA2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18D03030">
                  <w:pPr>
                    <w:pStyle w:val="62"/>
                    <w:rPr>
                      <w:sz w:val="22"/>
                    </w:rPr>
                  </w:pPr>
                </w:p>
              </w:tc>
              <w:tc>
                <w:tcPr>
                  <w:tcW w:w="3361" w:type="dxa"/>
                  <w:vAlign w:val="center"/>
                </w:tcPr>
                <w:p w14:paraId="05D558BD">
                  <w:pPr>
                    <w:pStyle w:val="62"/>
                    <w:jc w:val="left"/>
                    <w:rPr>
                      <w:sz w:val="22"/>
                    </w:rPr>
                  </w:pPr>
                  <w:r>
                    <w:rPr>
                      <w:rFonts w:hint="eastAsia"/>
                      <w:spacing w:val="8"/>
                      <w:sz w:val="22"/>
                    </w:rPr>
                    <w:t>蒸气压：0</w:t>
                  </w:r>
                  <w:r>
                    <w:rPr>
                      <w:spacing w:val="8"/>
                      <w:sz w:val="22"/>
                    </w:rPr>
                    <w:t>.00026</w:t>
                  </w:r>
                  <w:r>
                    <w:rPr>
                      <w:rFonts w:hint="eastAsia"/>
                      <w:spacing w:val="8"/>
                      <w:sz w:val="22"/>
                    </w:rPr>
                    <w:t>MPa@</w:t>
                  </w:r>
                  <w:r>
                    <w:rPr>
                      <w:spacing w:val="8"/>
                      <w:sz w:val="22"/>
                    </w:rPr>
                    <w:t>20</w:t>
                  </w:r>
                  <w:r>
                    <w:rPr>
                      <w:sz w:val="22"/>
                    </w:rPr>
                    <w:t>℃</w:t>
                  </w:r>
                </w:p>
              </w:tc>
              <w:tc>
                <w:tcPr>
                  <w:tcW w:w="3606" w:type="dxa"/>
                  <w:vAlign w:val="center"/>
                </w:tcPr>
                <w:p w14:paraId="64BA0015">
                  <w:pPr>
                    <w:pStyle w:val="62"/>
                    <w:jc w:val="left"/>
                    <w:rPr>
                      <w:sz w:val="22"/>
                    </w:rPr>
                  </w:pPr>
                  <w:r>
                    <w:rPr>
                      <w:rFonts w:hint="eastAsia"/>
                      <w:sz w:val="22"/>
                    </w:rPr>
                    <w:t>蒸气密度（Air=1）：</w:t>
                  </w:r>
                  <w:r>
                    <w:rPr>
                      <w:sz w:val="22"/>
                    </w:rPr>
                    <w:t>&gt;1</w:t>
                  </w:r>
                </w:p>
              </w:tc>
            </w:tr>
            <w:tr w14:paraId="0CC3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3AC0AE83">
                  <w:pPr>
                    <w:pStyle w:val="62"/>
                    <w:rPr>
                      <w:sz w:val="22"/>
                    </w:rPr>
                  </w:pPr>
                </w:p>
              </w:tc>
              <w:tc>
                <w:tcPr>
                  <w:tcW w:w="3361" w:type="dxa"/>
                  <w:vAlign w:val="center"/>
                </w:tcPr>
                <w:p w14:paraId="0CF3AF8F">
                  <w:pPr>
                    <w:pStyle w:val="62"/>
                    <w:jc w:val="left"/>
                    <w:rPr>
                      <w:sz w:val="22"/>
                    </w:rPr>
                  </w:pPr>
                  <w:r>
                    <w:rPr>
                      <w:sz w:val="22"/>
                    </w:rPr>
                    <w:t>自燃温度（℃）：177</w:t>
                  </w:r>
                  <w:r>
                    <w:rPr>
                      <w:rFonts w:hint="eastAsia"/>
                      <w:sz w:val="22"/>
                    </w:rPr>
                    <w:t>（</w:t>
                  </w:r>
                  <w:r>
                    <w:rPr>
                      <w:sz w:val="22"/>
                    </w:rPr>
                    <w:t>351°</w:t>
                  </w:r>
                  <w:r>
                    <w:rPr>
                      <w:rFonts w:hint="eastAsia"/>
                      <w:sz w:val="22"/>
                    </w:rPr>
                    <w:t>F）</w:t>
                  </w:r>
                </w:p>
              </w:tc>
              <w:tc>
                <w:tcPr>
                  <w:tcW w:w="3606" w:type="dxa"/>
                  <w:vAlign w:val="center"/>
                </w:tcPr>
                <w:p w14:paraId="7BA2BDDD">
                  <w:pPr>
                    <w:pStyle w:val="62"/>
                    <w:jc w:val="left"/>
                    <w:rPr>
                      <w:sz w:val="22"/>
                    </w:rPr>
                  </w:pPr>
                  <w:r>
                    <w:rPr>
                      <w:rFonts w:hint="eastAsia"/>
                      <w:sz w:val="22"/>
                    </w:rPr>
                    <w:t>爆炸界限：LEL：1.</w:t>
                  </w:r>
                  <w:r>
                    <w:rPr>
                      <w:sz w:val="22"/>
                    </w:rPr>
                    <w:t>3</w:t>
                  </w:r>
                  <w:r>
                    <w:rPr>
                      <w:rFonts w:hint="eastAsia"/>
                      <w:sz w:val="22"/>
                    </w:rPr>
                    <w:t xml:space="preserve">% </w:t>
                  </w:r>
                </w:p>
                <w:p w14:paraId="2D5ABAFA">
                  <w:pPr>
                    <w:pStyle w:val="62"/>
                    <w:ind w:firstLine="1100" w:firstLineChars="500"/>
                    <w:jc w:val="left"/>
                    <w:rPr>
                      <w:sz w:val="22"/>
                    </w:rPr>
                  </w:pPr>
                  <w:r>
                    <w:rPr>
                      <w:rFonts w:hint="eastAsia"/>
                      <w:sz w:val="22"/>
                    </w:rPr>
                    <w:t>UEL：</w:t>
                  </w:r>
                  <w:r>
                    <w:rPr>
                      <w:sz w:val="22"/>
                    </w:rPr>
                    <w:t>6.0</w:t>
                  </w:r>
                  <w:r>
                    <w:rPr>
                      <w:rFonts w:hint="eastAsia"/>
                      <w:sz w:val="22"/>
                    </w:rPr>
                    <w:t>%</w:t>
                  </w:r>
                </w:p>
              </w:tc>
            </w:tr>
            <w:tr w14:paraId="1E26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4EB66347">
                  <w:pPr>
                    <w:pStyle w:val="62"/>
                    <w:rPr>
                      <w:sz w:val="22"/>
                    </w:rPr>
                  </w:pPr>
                </w:p>
              </w:tc>
              <w:tc>
                <w:tcPr>
                  <w:tcW w:w="3361" w:type="dxa"/>
                  <w:vAlign w:val="center"/>
                </w:tcPr>
                <w:p w14:paraId="460B772E">
                  <w:pPr>
                    <w:pStyle w:val="62"/>
                    <w:jc w:val="left"/>
                    <w:rPr>
                      <w:sz w:val="22"/>
                    </w:rPr>
                  </w:pPr>
                  <w:r>
                    <w:rPr>
                      <w:sz w:val="22"/>
                    </w:rPr>
                    <w:t>溶解性：</w:t>
                  </w:r>
                  <w:r>
                    <w:rPr>
                      <w:rFonts w:hint="eastAsia"/>
                      <w:sz w:val="22"/>
                    </w:rPr>
                    <w:t>不溶于水</w:t>
                  </w:r>
                </w:p>
              </w:tc>
              <w:tc>
                <w:tcPr>
                  <w:tcW w:w="3606" w:type="dxa"/>
                  <w:vAlign w:val="center"/>
                </w:tcPr>
                <w:p w14:paraId="40E7F820">
                  <w:pPr>
                    <w:pStyle w:val="62"/>
                    <w:jc w:val="left"/>
                    <w:rPr>
                      <w:sz w:val="22"/>
                    </w:rPr>
                  </w:pPr>
                </w:p>
              </w:tc>
            </w:tr>
            <w:tr w14:paraId="0C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restart"/>
                  <w:vAlign w:val="center"/>
                </w:tcPr>
                <w:p w14:paraId="512DB9A8">
                  <w:pPr>
                    <w:pStyle w:val="62"/>
                    <w:rPr>
                      <w:sz w:val="22"/>
                    </w:rPr>
                  </w:pPr>
                  <w:r>
                    <w:rPr>
                      <w:kern w:val="0"/>
                      <w:sz w:val="22"/>
                    </w:rPr>
                    <w:t>危险</w:t>
                  </w:r>
                </w:p>
                <w:p w14:paraId="62384F80">
                  <w:pPr>
                    <w:pStyle w:val="62"/>
                    <w:rPr>
                      <w:kern w:val="0"/>
                      <w:sz w:val="22"/>
                    </w:rPr>
                  </w:pPr>
                  <w:r>
                    <w:rPr>
                      <w:kern w:val="0"/>
                      <w:sz w:val="22"/>
                    </w:rPr>
                    <w:t>特性</w:t>
                  </w:r>
                </w:p>
              </w:tc>
              <w:tc>
                <w:tcPr>
                  <w:tcW w:w="6967" w:type="dxa"/>
                  <w:gridSpan w:val="2"/>
                  <w:vAlign w:val="center"/>
                </w:tcPr>
                <w:p w14:paraId="254EC9CD">
                  <w:pPr>
                    <w:pStyle w:val="62"/>
                    <w:jc w:val="left"/>
                    <w:rPr>
                      <w:kern w:val="0"/>
                      <w:sz w:val="22"/>
                    </w:rPr>
                  </w:pPr>
                  <w:r>
                    <w:rPr>
                      <w:kern w:val="0"/>
                      <w:sz w:val="22"/>
                    </w:rPr>
                    <w:t>反应性：</w:t>
                  </w:r>
                </w:p>
                <w:p w14:paraId="5AA09151">
                  <w:pPr>
                    <w:pStyle w:val="62"/>
                    <w:jc w:val="left"/>
                    <w:rPr>
                      <w:sz w:val="22"/>
                    </w:rPr>
                  </w:pPr>
                  <w:r>
                    <w:rPr>
                      <w:rFonts w:hint="eastAsia"/>
                      <w:kern w:val="0"/>
                      <w:sz w:val="22"/>
                    </w:rPr>
                    <w:t>①</w:t>
                  </w:r>
                  <w:r>
                    <w:rPr>
                      <w:rFonts w:hint="eastAsia"/>
                      <w:sz w:val="22"/>
                    </w:rPr>
                    <w:t>避免热、火焰、火花及其他燃烧物质。若曝露于热源，容器会破裂或爆炸。远离水源及下水道。有害气体会累积在密闭空间。</w:t>
                  </w:r>
                </w:p>
                <w:p w14:paraId="5CF3B414">
                  <w:pPr>
                    <w:pStyle w:val="62"/>
                    <w:jc w:val="left"/>
                    <w:rPr>
                      <w:kern w:val="0"/>
                      <w:sz w:val="22"/>
                    </w:rPr>
                  </w:pPr>
                  <w:r>
                    <w:rPr>
                      <w:rFonts w:hint="eastAsia"/>
                      <w:kern w:val="0"/>
                      <w:sz w:val="22"/>
                    </w:rPr>
                    <w:t>②避免和强氧化剂。</w:t>
                  </w:r>
                </w:p>
              </w:tc>
            </w:tr>
            <w:tr w14:paraId="35B7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009D9FF2">
                  <w:pPr>
                    <w:pStyle w:val="62"/>
                    <w:rPr>
                      <w:sz w:val="22"/>
                    </w:rPr>
                  </w:pPr>
                </w:p>
              </w:tc>
              <w:tc>
                <w:tcPr>
                  <w:tcW w:w="6967" w:type="dxa"/>
                  <w:gridSpan w:val="2"/>
                  <w:vAlign w:val="center"/>
                </w:tcPr>
                <w:p w14:paraId="3A0DB97E">
                  <w:pPr>
                    <w:pStyle w:val="62"/>
                    <w:jc w:val="left"/>
                    <w:rPr>
                      <w:kern w:val="0"/>
                      <w:sz w:val="22"/>
                    </w:rPr>
                  </w:pPr>
                  <w:r>
                    <w:rPr>
                      <w:rFonts w:hint="eastAsia"/>
                      <w:kern w:val="0"/>
                      <w:sz w:val="22"/>
                    </w:rPr>
                    <w:t>急性</w:t>
                  </w:r>
                  <w:r>
                    <w:rPr>
                      <w:kern w:val="0"/>
                      <w:sz w:val="22"/>
                    </w:rPr>
                    <w:t>毒性：</w:t>
                  </w:r>
                </w:p>
                <w:p w14:paraId="5CA00955">
                  <w:pPr>
                    <w:pStyle w:val="62"/>
                    <w:jc w:val="left"/>
                    <w:rPr>
                      <w:sz w:val="22"/>
                    </w:rPr>
                  </w:pPr>
                  <w:r>
                    <w:rPr>
                      <w:rFonts w:hint="eastAsia"/>
                      <w:sz w:val="22"/>
                    </w:rPr>
                    <w:t>①食入：会引起反胃、呕吐、腹部绞痛、腹泻且可能中枢神经系统抑制的症状。在食入期间甚至小量的吸入或呕吐会导致严重肺部刺激，而带有咳嗽、反胃、呼吸困难、肺部浮肿、肺炎与死亡。</w:t>
                  </w:r>
                </w:p>
                <w:p w14:paraId="0292E730">
                  <w:pPr>
                    <w:pStyle w:val="62"/>
                    <w:jc w:val="left"/>
                    <w:rPr>
                      <w:sz w:val="22"/>
                    </w:rPr>
                  </w:pPr>
                  <w:r>
                    <w:rPr>
                      <w:rFonts w:hint="eastAsia"/>
                      <w:sz w:val="22"/>
                    </w:rPr>
                    <w:t>②吸入：蒸气或油雾会引起呼吸道刺激。人类曝露会导致立即咳嗽、呼吸困难、发绀且一小时的无知觉。持续闻柴油37 天，则带有痰的大量咳嗽。高浓度，另外也会引起中枢神经系统兴奋随后受抑制，其症状可能为：运动失调、迷惑、头痛、头昏眼花、厌食、反胃、呕吐、虚弱、精神错乱、昏迷。皮肤：会引起痛苦、红色与刺激。</w:t>
                  </w:r>
                </w:p>
                <w:p w14:paraId="58BBBFBA">
                  <w:pPr>
                    <w:pStyle w:val="62"/>
                    <w:jc w:val="left"/>
                    <w:rPr>
                      <w:kern w:val="0"/>
                      <w:sz w:val="22"/>
                    </w:rPr>
                  </w:pPr>
                  <w:r>
                    <w:rPr>
                      <w:rFonts w:hint="eastAsia"/>
                      <w:sz w:val="22"/>
                    </w:rPr>
                    <w:t>③眼睛：液体或蒸气会引起轻微刺激。</w:t>
                  </w:r>
                </w:p>
              </w:tc>
            </w:tr>
            <w:tr w14:paraId="2B4B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1" w:type="dxa"/>
                  <w:vMerge w:val="continue"/>
                  <w:vAlign w:val="center"/>
                </w:tcPr>
                <w:p w14:paraId="4FF74C38">
                  <w:pPr>
                    <w:pStyle w:val="62"/>
                    <w:rPr>
                      <w:sz w:val="22"/>
                    </w:rPr>
                  </w:pPr>
                </w:p>
              </w:tc>
              <w:tc>
                <w:tcPr>
                  <w:tcW w:w="6967" w:type="dxa"/>
                  <w:gridSpan w:val="2"/>
                  <w:vAlign w:val="center"/>
                </w:tcPr>
                <w:p w14:paraId="5D33E7AB">
                  <w:pPr>
                    <w:pStyle w:val="62"/>
                    <w:jc w:val="left"/>
                    <w:rPr>
                      <w:kern w:val="0"/>
                      <w:sz w:val="22"/>
                    </w:rPr>
                  </w:pPr>
                  <w:r>
                    <w:rPr>
                      <w:kern w:val="0"/>
                      <w:sz w:val="22"/>
                    </w:rPr>
                    <w:t>燃爆危险性：</w:t>
                  </w:r>
                  <w:r>
                    <w:rPr>
                      <w:rFonts w:hint="eastAsia"/>
                      <w:sz w:val="22"/>
                    </w:rPr>
                    <w:t>可燃液体。</w:t>
                  </w:r>
                </w:p>
              </w:tc>
            </w:tr>
          </w:tbl>
          <w:p w14:paraId="09330319">
            <w:pPr>
              <w:adjustRightInd w:val="0"/>
              <w:snapToGrid w:val="0"/>
              <w:ind w:left="420" w:leftChars="200"/>
              <w:jc w:val="left"/>
              <w:rPr>
                <w:rFonts w:hint="eastAsia"/>
                <w:bCs/>
                <w:color w:val="FF0000"/>
                <w:sz w:val="26"/>
                <w:szCs w:val="26"/>
                <w:lang w:val="en-US" w:eastAsia="zh-CN"/>
              </w:rPr>
            </w:pPr>
            <w:r>
              <w:rPr>
                <w:rFonts w:hint="eastAsia"/>
                <w:bCs/>
                <w:color w:val="FF0000"/>
                <w:sz w:val="26"/>
                <w:szCs w:val="26"/>
                <w:lang w:val="en-US" w:eastAsia="zh-CN"/>
              </w:rPr>
              <w:t>本项目使用的洗车剂主要检测项目汇总如下表所示：</w:t>
            </w:r>
          </w:p>
          <w:p w14:paraId="71376EB5">
            <w:pPr>
              <w:adjustRightInd w:val="0"/>
              <w:snapToGrid w:val="0"/>
              <w:spacing w:line="240" w:lineRule="auto"/>
              <w:jc w:val="center"/>
              <w:rPr>
                <w:rFonts w:hint="eastAsia"/>
                <w:bCs/>
                <w:color w:val="FF0000"/>
                <w:sz w:val="22"/>
                <w:szCs w:val="22"/>
                <w:lang w:val="en-US" w:eastAsia="zh-CN"/>
              </w:rPr>
            </w:pPr>
            <w:r>
              <w:rPr>
                <w:rFonts w:hint="eastAsia"/>
                <w:bCs/>
                <w:color w:val="FF0000"/>
                <w:sz w:val="22"/>
                <w:szCs w:val="22"/>
                <w:lang w:val="en-US" w:eastAsia="zh-CN"/>
              </w:rPr>
              <w:t>表2.5-4  项目使用的洗车剂主要检测结果一览表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214"/>
              <w:gridCol w:w="517"/>
              <w:gridCol w:w="882"/>
              <w:gridCol w:w="1277"/>
              <w:gridCol w:w="1125"/>
              <w:gridCol w:w="1059"/>
              <w:gridCol w:w="1162"/>
            </w:tblGrid>
            <w:tr w14:paraId="11B0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4" w:type="dxa"/>
                  <w:vAlign w:val="center"/>
                </w:tcPr>
                <w:p w14:paraId="1B889B1B">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b/>
                      <w:bCs/>
                      <w:color w:val="FF0000"/>
                      <w:spacing w:val="-4"/>
                      <w:sz w:val="22"/>
                      <w:szCs w:val="22"/>
                    </w:rPr>
                    <w:t>序号</w:t>
                  </w:r>
                </w:p>
              </w:tc>
              <w:tc>
                <w:tcPr>
                  <w:tcW w:w="1731" w:type="dxa"/>
                  <w:gridSpan w:val="2"/>
                  <w:vAlign w:val="center"/>
                </w:tcPr>
                <w:p w14:paraId="32019314">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b/>
                      <w:bCs/>
                      <w:color w:val="FF0000"/>
                      <w:spacing w:val="-3"/>
                      <w:sz w:val="22"/>
                      <w:szCs w:val="22"/>
                    </w:rPr>
                    <w:t>检测项目</w:t>
                  </w:r>
                </w:p>
              </w:tc>
              <w:tc>
                <w:tcPr>
                  <w:tcW w:w="882" w:type="dxa"/>
                  <w:vAlign w:val="center"/>
                </w:tcPr>
                <w:p w14:paraId="5B3813EC">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b/>
                      <w:bCs/>
                      <w:color w:val="FF0000"/>
                      <w:spacing w:val="-5"/>
                      <w:sz w:val="22"/>
                      <w:szCs w:val="22"/>
                    </w:rPr>
                    <w:t>单位</w:t>
                  </w:r>
                </w:p>
              </w:tc>
              <w:tc>
                <w:tcPr>
                  <w:tcW w:w="1277" w:type="dxa"/>
                  <w:vAlign w:val="center"/>
                </w:tcPr>
                <w:p w14:paraId="70E5D964">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b/>
                      <w:bCs/>
                      <w:color w:val="FF0000"/>
                      <w:spacing w:val="-3"/>
                      <w:sz w:val="22"/>
                      <w:szCs w:val="22"/>
                    </w:rPr>
                    <w:t>检测结果</w:t>
                  </w:r>
                </w:p>
              </w:tc>
              <w:tc>
                <w:tcPr>
                  <w:tcW w:w="1125" w:type="dxa"/>
                  <w:vAlign w:val="center"/>
                </w:tcPr>
                <w:p w14:paraId="2B42D467">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b/>
                      <w:bCs/>
                      <w:color w:val="FF0000"/>
                      <w:spacing w:val="-5"/>
                      <w:position w:val="-1"/>
                      <w:sz w:val="22"/>
                      <w:szCs w:val="22"/>
                    </w:rPr>
                    <w:t>指标</w:t>
                  </w:r>
                </w:p>
              </w:tc>
              <w:tc>
                <w:tcPr>
                  <w:tcW w:w="1059" w:type="dxa"/>
                  <w:vAlign w:val="center"/>
                </w:tcPr>
                <w:p w14:paraId="21E54F98">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b/>
                      <w:bCs/>
                      <w:color w:val="FF0000"/>
                      <w:spacing w:val="-3"/>
                      <w:sz w:val="22"/>
                      <w:szCs w:val="22"/>
                    </w:rPr>
                    <w:t>检测结论</w:t>
                  </w:r>
                </w:p>
              </w:tc>
              <w:tc>
                <w:tcPr>
                  <w:tcW w:w="1162" w:type="dxa"/>
                  <w:vAlign w:val="center"/>
                </w:tcPr>
                <w:p w14:paraId="23731CB8">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b/>
                      <w:bCs/>
                      <w:color w:val="FF0000"/>
                      <w:spacing w:val="-3"/>
                      <w:sz w:val="22"/>
                      <w:szCs w:val="22"/>
                    </w:rPr>
                    <w:t>检测方法</w:t>
                  </w:r>
                </w:p>
              </w:tc>
            </w:tr>
            <w:tr w14:paraId="312F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14:paraId="5571AD7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1</w:t>
                  </w:r>
                </w:p>
              </w:tc>
              <w:tc>
                <w:tcPr>
                  <w:tcW w:w="1731" w:type="dxa"/>
                  <w:gridSpan w:val="2"/>
                  <w:vAlign w:val="center"/>
                </w:tcPr>
                <w:p w14:paraId="520B6CDA">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olor w:val="FF0000"/>
                      <w:sz w:val="22"/>
                      <w:szCs w:val="22"/>
                      <w:lang w:eastAsia="zh-CN"/>
                    </w:rPr>
                  </w:pPr>
                  <w:r>
                    <w:rPr>
                      <w:color w:val="FF0000"/>
                      <w:spacing w:val="-6"/>
                      <w:sz w:val="22"/>
                      <w:szCs w:val="22"/>
                      <w:lang w:eastAsia="zh-CN"/>
                    </w:rPr>
                    <w:t>防锈性</w:t>
                  </w:r>
                  <w:r>
                    <w:rPr>
                      <w:color w:val="FF0000"/>
                      <w:spacing w:val="-13"/>
                      <w:sz w:val="22"/>
                      <w:szCs w:val="22"/>
                      <w:lang w:eastAsia="zh-CN"/>
                    </w:rPr>
                    <w:t>（</w:t>
                  </w:r>
                  <w:r>
                    <w:rPr>
                      <w:rFonts w:ascii="Times New Roman" w:hAnsi="Times New Roman" w:eastAsia="Times New Roman" w:cs="Times New Roman"/>
                      <w:color w:val="FF0000"/>
                      <w:spacing w:val="-13"/>
                      <w:sz w:val="22"/>
                      <w:szCs w:val="22"/>
                      <w:lang w:eastAsia="zh-CN"/>
                    </w:rPr>
                    <w:t>35±2℃</w:t>
                  </w:r>
                  <w:r>
                    <w:rPr>
                      <w:rFonts w:ascii="Times New Roman" w:hAnsi="Times New Roman" w:eastAsia="Times New Roman" w:cs="Times New Roman"/>
                      <w:color w:val="FF0000"/>
                      <w:spacing w:val="-23"/>
                      <w:sz w:val="22"/>
                      <w:szCs w:val="22"/>
                      <w:lang w:eastAsia="zh-CN"/>
                    </w:rPr>
                    <w:t xml:space="preserve"> </w:t>
                  </w:r>
                  <w:r>
                    <w:rPr>
                      <w:color w:val="FF0000"/>
                      <w:spacing w:val="-13"/>
                      <w:sz w:val="22"/>
                      <w:szCs w:val="22"/>
                      <w:lang w:eastAsia="zh-CN"/>
                    </w:rPr>
                    <w:t>,</w:t>
                  </w:r>
                </w:p>
                <w:p w14:paraId="7CAE0F5D">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lang w:eastAsia="zh-CN"/>
                    </w:rPr>
                    <w:t>90±2%RH</w:t>
                  </w:r>
                  <w:r>
                    <w:rPr>
                      <w:color w:val="FF0000"/>
                      <w:spacing w:val="-1"/>
                      <w:sz w:val="22"/>
                      <w:szCs w:val="22"/>
                      <w:lang w:eastAsia="zh-CN"/>
                    </w:rPr>
                    <w:t>，</w:t>
                  </w:r>
                  <w:r>
                    <w:rPr>
                      <w:rFonts w:ascii="Times New Roman" w:hAnsi="Times New Roman" w:eastAsia="Times New Roman" w:cs="Times New Roman"/>
                      <w:color w:val="FF0000"/>
                      <w:spacing w:val="-1"/>
                      <w:sz w:val="22"/>
                      <w:szCs w:val="22"/>
                      <w:lang w:eastAsia="zh-CN"/>
                    </w:rPr>
                    <w:t>24h</w:t>
                  </w:r>
                  <w:r>
                    <w:rPr>
                      <w:color w:val="FF0000"/>
                      <w:spacing w:val="-1"/>
                      <w:sz w:val="22"/>
                      <w:szCs w:val="22"/>
                      <w:lang w:eastAsia="zh-CN"/>
                    </w:rPr>
                    <w:t>）</w:t>
                  </w:r>
                </w:p>
              </w:tc>
              <w:tc>
                <w:tcPr>
                  <w:tcW w:w="882" w:type="dxa"/>
                  <w:vAlign w:val="center"/>
                </w:tcPr>
                <w:p w14:paraId="03F8774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3"/>
                      <w:position w:val="-2"/>
                      <w:sz w:val="22"/>
                      <w:szCs w:val="22"/>
                    </w:rPr>
                    <w:t>--</w:t>
                  </w:r>
                </w:p>
              </w:tc>
              <w:tc>
                <w:tcPr>
                  <w:tcW w:w="1277" w:type="dxa"/>
                  <w:vAlign w:val="center"/>
                </w:tcPr>
                <w:p w14:paraId="442F002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FF0000"/>
                      <w:sz w:val="22"/>
                      <w:szCs w:val="22"/>
                    </w:rPr>
                  </w:pPr>
                </w:p>
                <w:p w14:paraId="390C1256">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6"/>
                      <w:sz w:val="22"/>
                      <w:szCs w:val="22"/>
                    </w:rPr>
                    <w:t>0</w:t>
                  </w:r>
                  <w:r>
                    <w:rPr>
                      <w:color w:val="FF0000"/>
                      <w:spacing w:val="-6"/>
                      <w:sz w:val="22"/>
                      <w:szCs w:val="22"/>
                    </w:rPr>
                    <w:t>级</w:t>
                  </w:r>
                  <w:r>
                    <w:rPr>
                      <w:color w:val="FF0000"/>
                      <w:spacing w:val="6"/>
                      <w:sz w:val="22"/>
                      <w:szCs w:val="22"/>
                    </w:rPr>
                    <w:t xml:space="preserve"> </w:t>
                  </w:r>
                  <w:r>
                    <w:rPr>
                      <w:color w:val="FF0000"/>
                      <w:spacing w:val="-6"/>
                      <w:sz w:val="22"/>
                      <w:szCs w:val="22"/>
                    </w:rPr>
                    <w:t>表面</w:t>
                  </w:r>
                  <w:r>
                    <w:rPr>
                      <w:color w:val="FF0000"/>
                      <w:spacing w:val="-2"/>
                      <w:sz w:val="22"/>
                      <w:szCs w:val="22"/>
                    </w:rPr>
                    <w:t>无明显变化</w:t>
                  </w:r>
                </w:p>
              </w:tc>
              <w:tc>
                <w:tcPr>
                  <w:tcW w:w="1125" w:type="dxa"/>
                  <w:vAlign w:val="center"/>
                </w:tcPr>
                <w:p w14:paraId="54A4A3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FF0000"/>
                      <w:sz w:val="22"/>
                      <w:szCs w:val="22"/>
                    </w:rPr>
                  </w:pPr>
                </w:p>
                <w:p w14:paraId="1645994C">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≤0</w:t>
                  </w:r>
                  <w:r>
                    <w:rPr>
                      <w:rFonts w:ascii="Times New Roman" w:hAnsi="Times New Roman" w:eastAsia="Times New Roman" w:cs="Times New Roman"/>
                      <w:color w:val="FF0000"/>
                      <w:spacing w:val="11"/>
                      <w:sz w:val="22"/>
                      <w:szCs w:val="22"/>
                    </w:rPr>
                    <w:t xml:space="preserve"> </w:t>
                  </w:r>
                  <w:r>
                    <w:rPr>
                      <w:color w:val="FF0000"/>
                      <w:spacing w:val="-1"/>
                      <w:sz w:val="22"/>
                      <w:szCs w:val="22"/>
                    </w:rPr>
                    <w:t>级</w:t>
                  </w:r>
                </w:p>
              </w:tc>
              <w:tc>
                <w:tcPr>
                  <w:tcW w:w="1059" w:type="dxa"/>
                  <w:vAlign w:val="center"/>
                </w:tcPr>
                <w:p w14:paraId="62ABDCBE">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22C7FD4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r w14:paraId="4164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14:paraId="30A293F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2</w:t>
                  </w:r>
                </w:p>
              </w:tc>
              <w:tc>
                <w:tcPr>
                  <w:tcW w:w="1731" w:type="dxa"/>
                  <w:gridSpan w:val="2"/>
                  <w:vAlign w:val="center"/>
                </w:tcPr>
                <w:p w14:paraId="6311B35A">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水不溶物</w:t>
                  </w:r>
                </w:p>
              </w:tc>
              <w:tc>
                <w:tcPr>
                  <w:tcW w:w="882" w:type="dxa"/>
                  <w:vAlign w:val="center"/>
                </w:tcPr>
                <w:p w14:paraId="3225C5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w:t>
                  </w:r>
                </w:p>
              </w:tc>
              <w:tc>
                <w:tcPr>
                  <w:tcW w:w="1277" w:type="dxa"/>
                  <w:vAlign w:val="center"/>
                </w:tcPr>
                <w:p w14:paraId="05AFDA7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0.10</w:t>
                  </w:r>
                </w:p>
              </w:tc>
              <w:tc>
                <w:tcPr>
                  <w:tcW w:w="1125" w:type="dxa"/>
                  <w:vAlign w:val="center"/>
                </w:tcPr>
                <w:p w14:paraId="60285E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≤1</w:t>
                  </w:r>
                </w:p>
              </w:tc>
              <w:tc>
                <w:tcPr>
                  <w:tcW w:w="1059" w:type="dxa"/>
                  <w:vAlign w:val="center"/>
                </w:tcPr>
                <w:p w14:paraId="2FCA122C">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4F0D3DC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r w14:paraId="2494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14:paraId="5B56C15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3</w:t>
                  </w:r>
                </w:p>
              </w:tc>
              <w:tc>
                <w:tcPr>
                  <w:tcW w:w="1731" w:type="dxa"/>
                  <w:gridSpan w:val="2"/>
                  <w:vAlign w:val="center"/>
                </w:tcPr>
                <w:p w14:paraId="32A9E34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pH</w:t>
                  </w:r>
                </w:p>
              </w:tc>
              <w:tc>
                <w:tcPr>
                  <w:tcW w:w="882" w:type="dxa"/>
                  <w:vAlign w:val="center"/>
                </w:tcPr>
                <w:p w14:paraId="4FF3FEF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FF0000"/>
                      <w:sz w:val="22"/>
                      <w:szCs w:val="22"/>
                    </w:rPr>
                  </w:pPr>
                </w:p>
                <w:p w14:paraId="2DBC1D5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3"/>
                      <w:position w:val="-2"/>
                      <w:sz w:val="22"/>
                      <w:szCs w:val="22"/>
                    </w:rPr>
                    <w:t>--</w:t>
                  </w:r>
                </w:p>
              </w:tc>
              <w:tc>
                <w:tcPr>
                  <w:tcW w:w="1277" w:type="dxa"/>
                  <w:vAlign w:val="center"/>
                </w:tcPr>
                <w:p w14:paraId="13420CE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2"/>
                      <w:sz w:val="22"/>
                      <w:szCs w:val="22"/>
                    </w:rPr>
                    <w:t>7.5</w:t>
                  </w:r>
                </w:p>
              </w:tc>
              <w:tc>
                <w:tcPr>
                  <w:tcW w:w="1125" w:type="dxa"/>
                  <w:vAlign w:val="center"/>
                </w:tcPr>
                <w:p w14:paraId="4898C42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4.0~10.5</w:t>
                  </w:r>
                </w:p>
              </w:tc>
              <w:tc>
                <w:tcPr>
                  <w:tcW w:w="1059" w:type="dxa"/>
                  <w:vAlign w:val="center"/>
                </w:tcPr>
                <w:p w14:paraId="17067145">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395AC5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r w14:paraId="4AA6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14:paraId="316A41C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4</w:t>
                  </w:r>
                </w:p>
              </w:tc>
              <w:tc>
                <w:tcPr>
                  <w:tcW w:w="1731" w:type="dxa"/>
                  <w:gridSpan w:val="2"/>
                  <w:vAlign w:val="center"/>
                </w:tcPr>
                <w:p w14:paraId="7624A48B">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bCs/>
                      <w:color w:val="FF0000"/>
                      <w:sz w:val="22"/>
                      <w:szCs w:val="22"/>
                      <w:vertAlign w:val="baseline"/>
                      <w:lang w:val="en-US" w:eastAsia="zh-CN"/>
                    </w:rPr>
                  </w:pPr>
                  <w:r>
                    <w:rPr>
                      <w:color w:val="FF0000"/>
                      <w:spacing w:val="-2"/>
                      <w:sz w:val="22"/>
                      <w:szCs w:val="22"/>
                    </w:rPr>
                    <w:t>清洗效率</w:t>
                  </w:r>
                  <w:r>
                    <w:rPr>
                      <w:color w:val="FF0000"/>
                      <w:spacing w:val="-13"/>
                      <w:sz w:val="22"/>
                      <w:szCs w:val="22"/>
                    </w:rPr>
                    <w:t>（</w:t>
                  </w:r>
                  <w:r>
                    <w:rPr>
                      <w:rFonts w:ascii="Times New Roman" w:hAnsi="Times New Roman" w:eastAsia="Times New Roman" w:cs="Times New Roman"/>
                      <w:color w:val="FF0000"/>
                      <w:spacing w:val="-13"/>
                      <w:sz w:val="22"/>
                      <w:szCs w:val="22"/>
                    </w:rPr>
                    <w:t>60℃</w:t>
                  </w:r>
                  <w:r>
                    <w:rPr>
                      <w:rFonts w:ascii="Times New Roman" w:hAnsi="Times New Roman" w:eastAsia="Times New Roman" w:cs="Times New Roman"/>
                      <w:color w:val="FF0000"/>
                      <w:spacing w:val="-30"/>
                      <w:sz w:val="22"/>
                      <w:szCs w:val="22"/>
                    </w:rPr>
                    <w:t xml:space="preserve"> </w:t>
                  </w:r>
                  <w:r>
                    <w:rPr>
                      <w:color w:val="FF0000"/>
                      <w:spacing w:val="-13"/>
                      <w:sz w:val="22"/>
                      <w:szCs w:val="22"/>
                    </w:rPr>
                    <w:t>,</w:t>
                  </w:r>
                  <w:r>
                    <w:rPr>
                      <w:color w:val="FF0000"/>
                      <w:spacing w:val="56"/>
                      <w:sz w:val="22"/>
                      <w:szCs w:val="22"/>
                    </w:rPr>
                    <w:t xml:space="preserve"> </w:t>
                  </w:r>
                  <w:r>
                    <w:rPr>
                      <w:rFonts w:ascii="Times New Roman" w:hAnsi="Times New Roman" w:eastAsia="Times New Roman" w:cs="Times New Roman"/>
                      <w:color w:val="FF0000"/>
                      <w:spacing w:val="-13"/>
                      <w:sz w:val="22"/>
                      <w:szCs w:val="22"/>
                    </w:rPr>
                    <w:t>3%</w:t>
                  </w:r>
                  <w:r>
                    <w:rPr>
                      <w:color w:val="FF0000"/>
                      <w:spacing w:val="-2"/>
                      <w:sz w:val="22"/>
                      <w:szCs w:val="22"/>
                    </w:rPr>
                    <w:t>水溶液）</w:t>
                  </w:r>
                </w:p>
              </w:tc>
              <w:tc>
                <w:tcPr>
                  <w:tcW w:w="882" w:type="dxa"/>
                  <w:vAlign w:val="center"/>
                </w:tcPr>
                <w:p w14:paraId="6399C1B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w:t>
                  </w:r>
                </w:p>
              </w:tc>
              <w:tc>
                <w:tcPr>
                  <w:tcW w:w="1277" w:type="dxa"/>
                  <w:vAlign w:val="center"/>
                </w:tcPr>
                <w:p w14:paraId="6080FC1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99.60</w:t>
                  </w:r>
                </w:p>
              </w:tc>
              <w:tc>
                <w:tcPr>
                  <w:tcW w:w="1125" w:type="dxa"/>
                  <w:vAlign w:val="center"/>
                </w:tcPr>
                <w:p w14:paraId="15C4065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≥85</w:t>
                  </w:r>
                </w:p>
              </w:tc>
              <w:tc>
                <w:tcPr>
                  <w:tcW w:w="1059" w:type="dxa"/>
                  <w:vAlign w:val="center"/>
                </w:tcPr>
                <w:p w14:paraId="11F56E35">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3B6BF18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r w14:paraId="256A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14:paraId="4364514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5</w:t>
                  </w:r>
                </w:p>
              </w:tc>
              <w:tc>
                <w:tcPr>
                  <w:tcW w:w="1731" w:type="dxa"/>
                  <w:gridSpan w:val="2"/>
                  <w:vAlign w:val="center"/>
                </w:tcPr>
                <w:p w14:paraId="096535CF">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2"/>
                      <w:szCs w:val="22"/>
                      <w:vertAlign w:val="baseline"/>
                      <w:lang w:val="en-US" w:eastAsia="zh-CN"/>
                    </w:rPr>
                  </w:pPr>
                  <w:r>
                    <w:rPr>
                      <w:color w:val="FF0000"/>
                      <w:spacing w:val="-1"/>
                      <w:sz w:val="22"/>
                      <w:szCs w:val="22"/>
                    </w:rPr>
                    <w:t>对涂层表面</w:t>
                  </w:r>
                  <w:r>
                    <w:rPr>
                      <w:color w:val="FF0000"/>
                      <w:spacing w:val="-2"/>
                      <w:sz w:val="22"/>
                      <w:szCs w:val="22"/>
                    </w:rPr>
                    <w:t>影响</w:t>
                  </w:r>
                </w:p>
              </w:tc>
              <w:tc>
                <w:tcPr>
                  <w:tcW w:w="882" w:type="dxa"/>
                  <w:vAlign w:val="center"/>
                </w:tcPr>
                <w:p w14:paraId="595218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3"/>
                      <w:position w:val="-2"/>
                      <w:sz w:val="22"/>
                      <w:szCs w:val="22"/>
                    </w:rPr>
                    <w:t>--</w:t>
                  </w:r>
                </w:p>
              </w:tc>
              <w:tc>
                <w:tcPr>
                  <w:tcW w:w="1277" w:type="dxa"/>
                  <w:vAlign w:val="center"/>
                </w:tcPr>
                <w:p w14:paraId="2DE8525B">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olor w:val="FF0000"/>
                      <w:sz w:val="22"/>
                      <w:szCs w:val="22"/>
                      <w:lang w:eastAsia="zh-CN"/>
                    </w:rPr>
                  </w:pPr>
                  <w:r>
                    <w:rPr>
                      <w:color w:val="FF0000"/>
                      <w:spacing w:val="-2"/>
                      <w:sz w:val="22"/>
                      <w:szCs w:val="22"/>
                      <w:lang w:eastAsia="zh-CN"/>
                    </w:rPr>
                    <w:t>涂层表面无条斑， 褪</w:t>
                  </w:r>
                  <w:r>
                    <w:rPr>
                      <w:color w:val="FF0000"/>
                      <w:spacing w:val="-7"/>
                      <w:sz w:val="22"/>
                      <w:szCs w:val="22"/>
                      <w:lang w:eastAsia="zh-CN"/>
                    </w:rPr>
                    <w:t>色、起泡，</w:t>
                  </w:r>
                </w:p>
                <w:p w14:paraId="30ACF552">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bCs/>
                      <w:color w:val="FF0000"/>
                      <w:sz w:val="22"/>
                      <w:szCs w:val="22"/>
                      <w:vertAlign w:val="baseline"/>
                      <w:lang w:val="en-US" w:eastAsia="zh-CN"/>
                    </w:rPr>
                  </w:pPr>
                  <w:r>
                    <w:rPr>
                      <w:color w:val="FF0000"/>
                      <w:spacing w:val="-1"/>
                      <w:sz w:val="22"/>
                      <w:szCs w:val="22"/>
                      <w:lang w:eastAsia="zh-CN"/>
                    </w:rPr>
                    <w:t>硬度变化为</w:t>
                  </w:r>
                  <w:r>
                    <w:rPr>
                      <w:rFonts w:ascii="Times New Roman" w:hAnsi="Times New Roman" w:eastAsia="Times New Roman" w:cs="Times New Roman"/>
                      <w:color w:val="FF0000"/>
                      <w:spacing w:val="-3"/>
                      <w:sz w:val="22"/>
                      <w:szCs w:val="22"/>
                      <w:lang w:eastAsia="zh-CN"/>
                    </w:rPr>
                    <w:t>0</w:t>
                  </w:r>
                  <w:r>
                    <w:rPr>
                      <w:rFonts w:ascii="Times New Roman" w:hAnsi="Times New Roman" w:eastAsia="Times New Roman" w:cs="Times New Roman"/>
                      <w:color w:val="FF0000"/>
                      <w:spacing w:val="9"/>
                      <w:sz w:val="22"/>
                      <w:szCs w:val="22"/>
                      <w:lang w:eastAsia="zh-CN"/>
                    </w:rPr>
                    <w:t xml:space="preserve"> </w:t>
                  </w:r>
                  <w:r>
                    <w:rPr>
                      <w:color w:val="FF0000"/>
                      <w:spacing w:val="-3"/>
                      <w:sz w:val="22"/>
                      <w:szCs w:val="22"/>
                      <w:lang w:eastAsia="zh-CN"/>
                    </w:rPr>
                    <w:t>个铅笔硬</w:t>
                  </w:r>
                  <w:r>
                    <w:rPr>
                      <w:color w:val="FF0000"/>
                      <w:spacing w:val="-2"/>
                      <w:sz w:val="22"/>
                      <w:szCs w:val="22"/>
                      <w:lang w:eastAsia="zh-CN"/>
                    </w:rPr>
                    <w:t>度级</w:t>
                  </w:r>
                </w:p>
              </w:tc>
              <w:tc>
                <w:tcPr>
                  <w:tcW w:w="1125" w:type="dxa"/>
                  <w:vAlign w:val="center"/>
                </w:tcPr>
                <w:p w14:paraId="7DDB2F36">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olor w:val="FF0000"/>
                      <w:sz w:val="22"/>
                      <w:szCs w:val="22"/>
                      <w:lang w:eastAsia="zh-CN"/>
                    </w:rPr>
                  </w:pPr>
                  <w:r>
                    <w:rPr>
                      <w:color w:val="FF0000"/>
                      <w:spacing w:val="-2"/>
                      <w:sz w:val="22"/>
                      <w:szCs w:val="22"/>
                      <w:lang w:eastAsia="zh-CN"/>
                    </w:rPr>
                    <w:t>涂层表面无条斑， 褪</w:t>
                  </w:r>
                  <w:r>
                    <w:rPr>
                      <w:color w:val="FF0000"/>
                      <w:spacing w:val="-7"/>
                      <w:sz w:val="22"/>
                      <w:szCs w:val="22"/>
                      <w:lang w:eastAsia="zh-CN"/>
                    </w:rPr>
                    <w:t>色、起泡，</w:t>
                  </w:r>
                  <w:r>
                    <w:rPr>
                      <w:color w:val="FF0000"/>
                      <w:spacing w:val="-1"/>
                      <w:sz w:val="22"/>
                      <w:szCs w:val="22"/>
                      <w:lang w:eastAsia="zh-CN"/>
                    </w:rPr>
                    <w:t>且硬度变化</w:t>
                  </w:r>
                </w:p>
                <w:p w14:paraId="4DF32E7A">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bCs/>
                      <w:color w:val="FF0000"/>
                      <w:sz w:val="22"/>
                      <w:szCs w:val="22"/>
                      <w:vertAlign w:val="baseline"/>
                      <w:lang w:val="en-US" w:eastAsia="zh-CN"/>
                    </w:rPr>
                  </w:pPr>
                  <w:r>
                    <w:rPr>
                      <w:color w:val="FF0000"/>
                      <w:spacing w:val="-2"/>
                      <w:sz w:val="22"/>
                      <w:szCs w:val="22"/>
                      <w:lang w:eastAsia="zh-CN"/>
                    </w:rPr>
                    <w:t>不超过一个</w:t>
                  </w:r>
                  <w:r>
                    <w:rPr>
                      <w:color w:val="FF0000"/>
                      <w:spacing w:val="-1"/>
                      <w:sz w:val="22"/>
                      <w:szCs w:val="22"/>
                      <w:lang w:eastAsia="zh-CN"/>
                    </w:rPr>
                    <w:t>铅笔硬度级</w:t>
                  </w:r>
                </w:p>
              </w:tc>
              <w:tc>
                <w:tcPr>
                  <w:tcW w:w="1059" w:type="dxa"/>
                  <w:vAlign w:val="center"/>
                </w:tcPr>
                <w:p w14:paraId="51919F78">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0EDE0CD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r w14:paraId="1D0A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14:paraId="298073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FF0000"/>
                      <w:sz w:val="22"/>
                      <w:szCs w:val="22"/>
                    </w:rPr>
                  </w:pPr>
                </w:p>
                <w:p w14:paraId="7D559F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6</w:t>
                  </w:r>
                </w:p>
              </w:tc>
              <w:tc>
                <w:tcPr>
                  <w:tcW w:w="1731" w:type="dxa"/>
                  <w:gridSpan w:val="2"/>
                  <w:vAlign w:val="center"/>
                </w:tcPr>
                <w:p w14:paraId="2219451C">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olor w:val="FF0000"/>
                      <w:sz w:val="22"/>
                      <w:szCs w:val="22"/>
                      <w:lang w:eastAsia="zh-CN"/>
                    </w:rPr>
                  </w:pPr>
                  <w:r>
                    <w:rPr>
                      <w:color w:val="FF0000"/>
                      <w:spacing w:val="-2"/>
                      <w:sz w:val="22"/>
                      <w:szCs w:val="22"/>
                      <w:lang w:eastAsia="zh-CN"/>
                    </w:rPr>
                    <w:t>漂洗性能</w:t>
                  </w:r>
                </w:p>
                <w:p w14:paraId="460A151F">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2"/>
                      <w:szCs w:val="22"/>
                      <w:vertAlign w:val="baseline"/>
                      <w:lang w:val="en-US" w:eastAsia="zh-CN"/>
                    </w:rPr>
                  </w:pPr>
                  <w:r>
                    <w:rPr>
                      <w:color w:val="FF0000"/>
                      <w:spacing w:val="-7"/>
                      <w:sz w:val="22"/>
                      <w:szCs w:val="22"/>
                      <w:lang w:eastAsia="zh-CN"/>
                    </w:rPr>
                    <w:t>（不锈钢片）</w:t>
                  </w:r>
                </w:p>
              </w:tc>
              <w:tc>
                <w:tcPr>
                  <w:tcW w:w="882" w:type="dxa"/>
                  <w:vAlign w:val="center"/>
                </w:tcPr>
                <w:p w14:paraId="720B88E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3"/>
                      <w:position w:val="-2"/>
                      <w:sz w:val="22"/>
                      <w:szCs w:val="22"/>
                    </w:rPr>
                    <w:t>--</w:t>
                  </w:r>
                </w:p>
              </w:tc>
              <w:tc>
                <w:tcPr>
                  <w:tcW w:w="1277" w:type="dxa"/>
                  <w:vAlign w:val="center"/>
                </w:tcPr>
                <w:p w14:paraId="6E2DB22A">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2"/>
                      <w:szCs w:val="22"/>
                      <w:vertAlign w:val="baseline"/>
                      <w:lang w:val="en-US" w:eastAsia="zh-CN"/>
                    </w:rPr>
                  </w:pPr>
                  <w:r>
                    <w:rPr>
                      <w:color w:val="FF0000"/>
                      <w:spacing w:val="-2"/>
                      <w:sz w:val="22"/>
                      <w:szCs w:val="22"/>
                    </w:rPr>
                    <w:t>无可见净洗剂残留物</w:t>
                  </w:r>
                </w:p>
              </w:tc>
              <w:tc>
                <w:tcPr>
                  <w:tcW w:w="1125" w:type="dxa"/>
                  <w:vAlign w:val="center"/>
                </w:tcPr>
                <w:p w14:paraId="4DB1B90A">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2"/>
                      <w:szCs w:val="22"/>
                      <w:vertAlign w:val="baseline"/>
                      <w:lang w:val="en-US" w:eastAsia="zh-CN"/>
                    </w:rPr>
                  </w:pPr>
                  <w:r>
                    <w:rPr>
                      <w:color w:val="FF0000"/>
                      <w:spacing w:val="-2"/>
                      <w:sz w:val="22"/>
                      <w:szCs w:val="22"/>
                    </w:rPr>
                    <w:t>无可见净洗剂残留物</w:t>
                  </w:r>
                </w:p>
              </w:tc>
              <w:tc>
                <w:tcPr>
                  <w:tcW w:w="1059" w:type="dxa"/>
                  <w:vAlign w:val="center"/>
                </w:tcPr>
                <w:p w14:paraId="2CCCDB38">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4F260E8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r w14:paraId="0052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vAlign w:val="center"/>
                </w:tcPr>
                <w:p w14:paraId="0E5223A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z w:val="22"/>
                      <w:szCs w:val="22"/>
                    </w:rPr>
                    <w:t>7</w:t>
                  </w:r>
                </w:p>
              </w:tc>
              <w:tc>
                <w:tcPr>
                  <w:tcW w:w="1214" w:type="dxa"/>
                  <w:vMerge w:val="restart"/>
                  <w:vAlign w:val="center"/>
                </w:tcPr>
                <w:p w14:paraId="0448FAAC">
                  <w:pPr>
                    <w:pStyle w:val="10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bCs/>
                      <w:color w:val="FF0000"/>
                      <w:sz w:val="22"/>
                      <w:szCs w:val="22"/>
                      <w:vertAlign w:val="baseline"/>
                      <w:lang w:val="en-US" w:eastAsia="zh-CN"/>
                    </w:rPr>
                  </w:pPr>
                  <w:r>
                    <w:rPr>
                      <w:color w:val="FF0000"/>
                      <w:spacing w:val="-2"/>
                      <w:sz w:val="22"/>
                      <w:szCs w:val="22"/>
                    </w:rPr>
                    <w:t>腐蚀性</w:t>
                  </w:r>
                  <w:r>
                    <w:rPr>
                      <w:color w:val="FF0000"/>
                      <w:spacing w:val="-3"/>
                      <w:sz w:val="22"/>
                      <w:szCs w:val="22"/>
                    </w:rPr>
                    <w:t>（</w:t>
                  </w:r>
                  <w:r>
                    <w:rPr>
                      <w:rFonts w:ascii="Times New Roman" w:hAnsi="Times New Roman" w:eastAsia="Times New Roman" w:cs="Times New Roman"/>
                      <w:color w:val="FF0000"/>
                      <w:spacing w:val="-3"/>
                      <w:sz w:val="22"/>
                      <w:szCs w:val="22"/>
                    </w:rPr>
                    <w:t>80±2</w:t>
                  </w:r>
                  <w:r>
                    <w:rPr>
                      <w:rFonts w:ascii="Times New Roman" w:hAnsi="Times New Roman" w:eastAsia="Times New Roman" w:cs="Times New Roman"/>
                      <w:color w:val="FF0000"/>
                      <w:spacing w:val="-5"/>
                      <w:sz w:val="22"/>
                      <w:szCs w:val="22"/>
                    </w:rPr>
                    <w:t>℃</w:t>
                  </w:r>
                  <w:r>
                    <w:rPr>
                      <w:rFonts w:ascii="Times New Roman" w:hAnsi="Times New Roman" w:eastAsia="Times New Roman" w:cs="Times New Roman"/>
                      <w:color w:val="FF0000"/>
                      <w:spacing w:val="-28"/>
                      <w:sz w:val="22"/>
                      <w:szCs w:val="22"/>
                    </w:rPr>
                    <w:t xml:space="preserve"> </w:t>
                  </w:r>
                  <w:r>
                    <w:rPr>
                      <w:color w:val="FF0000"/>
                      <w:spacing w:val="-5"/>
                      <w:sz w:val="22"/>
                      <w:szCs w:val="22"/>
                    </w:rPr>
                    <w:t>,</w:t>
                  </w:r>
                  <w:r>
                    <w:rPr>
                      <w:rFonts w:ascii="Times New Roman" w:hAnsi="Times New Roman" w:eastAsia="Times New Roman" w:cs="Times New Roman"/>
                      <w:color w:val="FF0000"/>
                      <w:spacing w:val="-1"/>
                      <w:position w:val="1"/>
                      <w:sz w:val="22"/>
                      <w:szCs w:val="22"/>
                    </w:rPr>
                    <w:t>24h</w:t>
                  </w:r>
                  <w:r>
                    <w:rPr>
                      <w:color w:val="FF0000"/>
                      <w:spacing w:val="-1"/>
                      <w:position w:val="1"/>
                      <w:sz w:val="22"/>
                      <w:szCs w:val="22"/>
                    </w:rPr>
                    <w:t>）</w:t>
                  </w:r>
                </w:p>
              </w:tc>
              <w:tc>
                <w:tcPr>
                  <w:tcW w:w="517" w:type="dxa"/>
                  <w:textDirection w:val="tbRlV"/>
                  <w:vAlign w:val="center"/>
                </w:tcPr>
                <w:p w14:paraId="00AAC5E8">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color w:val="FF0000"/>
                      <w:sz w:val="22"/>
                      <w:szCs w:val="22"/>
                    </w:rPr>
                  </w:pPr>
                  <w:r>
                    <w:rPr>
                      <w:color w:val="FF0000"/>
                      <w:spacing w:val="1"/>
                      <w:sz w:val="22"/>
                      <w:szCs w:val="22"/>
                    </w:rPr>
                    <w:t>外观</w:t>
                  </w:r>
                </w:p>
              </w:tc>
              <w:tc>
                <w:tcPr>
                  <w:tcW w:w="882" w:type="dxa"/>
                  <w:vAlign w:val="center"/>
                </w:tcPr>
                <w:p w14:paraId="0015A1D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FF0000"/>
                      <w:sz w:val="22"/>
                      <w:szCs w:val="22"/>
                    </w:rPr>
                  </w:pPr>
                </w:p>
                <w:p w14:paraId="63A676C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3"/>
                      <w:position w:val="-2"/>
                      <w:sz w:val="22"/>
                      <w:szCs w:val="22"/>
                    </w:rPr>
                    <w:t>--</w:t>
                  </w:r>
                </w:p>
              </w:tc>
              <w:tc>
                <w:tcPr>
                  <w:tcW w:w="1277" w:type="dxa"/>
                  <w:vAlign w:val="center"/>
                </w:tcPr>
                <w:p w14:paraId="123C9543">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6"/>
                      <w:sz w:val="22"/>
                      <w:szCs w:val="22"/>
                    </w:rPr>
                    <w:t>0</w:t>
                  </w:r>
                  <w:r>
                    <w:rPr>
                      <w:rFonts w:ascii="Times New Roman" w:hAnsi="Times New Roman" w:eastAsia="Times New Roman" w:cs="Times New Roman"/>
                      <w:color w:val="FF0000"/>
                      <w:spacing w:val="12"/>
                      <w:sz w:val="22"/>
                      <w:szCs w:val="22"/>
                    </w:rPr>
                    <w:t xml:space="preserve"> </w:t>
                  </w:r>
                  <w:r>
                    <w:rPr>
                      <w:color w:val="FF0000"/>
                      <w:spacing w:val="-6"/>
                      <w:sz w:val="22"/>
                      <w:szCs w:val="22"/>
                    </w:rPr>
                    <w:t>级</w:t>
                  </w:r>
                  <w:r>
                    <w:rPr>
                      <w:color w:val="FF0000"/>
                      <w:spacing w:val="6"/>
                      <w:sz w:val="22"/>
                      <w:szCs w:val="22"/>
                    </w:rPr>
                    <w:t xml:space="preserve"> </w:t>
                  </w:r>
                  <w:r>
                    <w:rPr>
                      <w:color w:val="FF0000"/>
                      <w:spacing w:val="-6"/>
                      <w:sz w:val="22"/>
                      <w:szCs w:val="22"/>
                    </w:rPr>
                    <w:t>表面</w:t>
                  </w:r>
                  <w:r>
                    <w:rPr>
                      <w:color w:val="FF0000"/>
                      <w:spacing w:val="-2"/>
                      <w:sz w:val="22"/>
                      <w:szCs w:val="22"/>
                    </w:rPr>
                    <w:t>无明显变化</w:t>
                  </w:r>
                </w:p>
              </w:tc>
              <w:tc>
                <w:tcPr>
                  <w:tcW w:w="1125" w:type="dxa"/>
                  <w:vAlign w:val="center"/>
                </w:tcPr>
                <w:p w14:paraId="6F5152EA">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≤1</w:t>
                  </w:r>
                  <w:r>
                    <w:rPr>
                      <w:rFonts w:ascii="Times New Roman" w:hAnsi="Times New Roman" w:eastAsia="Times New Roman" w:cs="Times New Roman"/>
                      <w:color w:val="FF0000"/>
                      <w:spacing w:val="11"/>
                      <w:sz w:val="22"/>
                      <w:szCs w:val="22"/>
                    </w:rPr>
                    <w:t xml:space="preserve"> </w:t>
                  </w:r>
                  <w:r>
                    <w:rPr>
                      <w:color w:val="FF0000"/>
                      <w:spacing w:val="-1"/>
                      <w:sz w:val="22"/>
                      <w:szCs w:val="22"/>
                    </w:rPr>
                    <w:t>级</w:t>
                  </w:r>
                </w:p>
              </w:tc>
              <w:tc>
                <w:tcPr>
                  <w:tcW w:w="1059" w:type="dxa"/>
                  <w:vAlign w:val="center"/>
                </w:tcPr>
                <w:p w14:paraId="1B00E77D">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0C296E5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r w14:paraId="04B1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64" w:type="dxa"/>
                  <w:vMerge w:val="continue"/>
                  <w:vAlign w:val="center"/>
                </w:tcPr>
                <w:p w14:paraId="097E4B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bCs/>
                      <w:color w:val="FF0000"/>
                      <w:sz w:val="22"/>
                      <w:szCs w:val="22"/>
                      <w:vertAlign w:val="baseline"/>
                      <w:lang w:val="en-US" w:eastAsia="zh-CN"/>
                    </w:rPr>
                  </w:pPr>
                </w:p>
              </w:tc>
              <w:tc>
                <w:tcPr>
                  <w:tcW w:w="1214" w:type="dxa"/>
                  <w:vMerge w:val="continue"/>
                  <w:vAlign w:val="center"/>
                </w:tcPr>
                <w:p w14:paraId="52527D5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bCs/>
                      <w:color w:val="FF0000"/>
                      <w:sz w:val="22"/>
                      <w:szCs w:val="22"/>
                      <w:vertAlign w:val="baseline"/>
                      <w:lang w:val="en-US" w:eastAsia="zh-CN"/>
                    </w:rPr>
                  </w:pPr>
                </w:p>
              </w:tc>
              <w:tc>
                <w:tcPr>
                  <w:tcW w:w="517" w:type="dxa"/>
                  <w:textDirection w:val="tbRlV"/>
                  <w:vAlign w:val="center"/>
                </w:tcPr>
                <w:p w14:paraId="4E92508E">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eastAsia="宋体"/>
                      <w:color w:val="FF0000"/>
                      <w:sz w:val="22"/>
                      <w:szCs w:val="22"/>
                      <w:lang w:val="en-US" w:eastAsia="zh-CN"/>
                    </w:rPr>
                  </w:pPr>
                  <w:r>
                    <w:rPr>
                      <w:color w:val="FF0000"/>
                      <w:sz w:val="22"/>
                      <w:szCs w:val="22"/>
                    </w:rPr>
                    <w:t>腐蚀</w:t>
                  </w:r>
                  <w:r>
                    <w:rPr>
                      <w:rFonts w:hint="eastAsia"/>
                      <w:color w:val="FF0000"/>
                      <w:sz w:val="22"/>
                      <w:szCs w:val="22"/>
                      <w:lang w:val="en-US" w:eastAsia="zh-CN"/>
                    </w:rPr>
                    <w:t>量</w:t>
                  </w:r>
                </w:p>
              </w:tc>
              <w:tc>
                <w:tcPr>
                  <w:tcW w:w="882" w:type="dxa"/>
                  <w:vAlign w:val="center"/>
                </w:tcPr>
                <w:p w14:paraId="76423A1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2"/>
                      <w:sz w:val="22"/>
                      <w:szCs w:val="22"/>
                    </w:rPr>
                    <w:t>mg</w:t>
                  </w:r>
                </w:p>
              </w:tc>
              <w:tc>
                <w:tcPr>
                  <w:tcW w:w="1277" w:type="dxa"/>
                  <w:vAlign w:val="center"/>
                </w:tcPr>
                <w:p w14:paraId="718776D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2"/>
                      <w:sz w:val="22"/>
                      <w:szCs w:val="22"/>
                    </w:rPr>
                    <w:t>0.1</w:t>
                  </w:r>
                </w:p>
              </w:tc>
              <w:tc>
                <w:tcPr>
                  <w:tcW w:w="1125" w:type="dxa"/>
                  <w:vAlign w:val="center"/>
                </w:tcPr>
                <w:p w14:paraId="5B3B54B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≤3</w:t>
                  </w:r>
                </w:p>
              </w:tc>
              <w:tc>
                <w:tcPr>
                  <w:tcW w:w="1059" w:type="dxa"/>
                  <w:vAlign w:val="center"/>
                </w:tcPr>
                <w:p w14:paraId="7549BE4D">
                  <w:pPr>
                    <w:pStyle w:val="103"/>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color w:val="FF0000"/>
                      <w:spacing w:val="-2"/>
                      <w:sz w:val="22"/>
                      <w:szCs w:val="22"/>
                    </w:rPr>
                    <w:t>符合</w:t>
                  </w:r>
                </w:p>
              </w:tc>
              <w:tc>
                <w:tcPr>
                  <w:tcW w:w="1162" w:type="dxa"/>
                  <w:vAlign w:val="center"/>
                </w:tcPr>
                <w:p w14:paraId="3BCBEFA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bCs/>
                      <w:color w:val="FF0000"/>
                      <w:sz w:val="22"/>
                      <w:szCs w:val="22"/>
                      <w:vertAlign w:val="baseline"/>
                      <w:lang w:val="en-US" w:eastAsia="zh-CN"/>
                    </w:rPr>
                  </w:pPr>
                  <w:r>
                    <w:rPr>
                      <w:rFonts w:ascii="Times New Roman" w:hAnsi="Times New Roman" w:eastAsia="Times New Roman" w:cs="Times New Roman"/>
                      <w:color w:val="FF0000"/>
                      <w:spacing w:val="-1"/>
                      <w:sz w:val="22"/>
                      <w:szCs w:val="22"/>
                    </w:rPr>
                    <w:t>QB/T 4525-2013</w:t>
                  </w:r>
                </w:p>
              </w:tc>
            </w:tr>
          </w:tbl>
          <w:p w14:paraId="65D173D5">
            <w:pPr>
              <w:adjustRightInd w:val="0"/>
              <w:snapToGrid w:val="0"/>
              <w:ind w:left="420" w:leftChars="200"/>
              <w:jc w:val="left"/>
              <w:rPr>
                <w:bCs/>
                <w:sz w:val="26"/>
                <w:szCs w:val="26"/>
              </w:rPr>
            </w:pPr>
          </w:p>
          <w:p w14:paraId="18118C5A">
            <w:pPr>
              <w:adjustRightInd w:val="0"/>
              <w:snapToGrid w:val="0"/>
              <w:spacing w:line="460" w:lineRule="exact"/>
              <w:jc w:val="left"/>
              <w:rPr>
                <w:b/>
                <w:sz w:val="26"/>
                <w:szCs w:val="26"/>
              </w:rPr>
            </w:pPr>
            <w:r>
              <w:rPr>
                <w:b/>
                <w:sz w:val="26"/>
                <w:szCs w:val="26"/>
              </w:rPr>
              <w:t>2.</w:t>
            </w:r>
            <w:r>
              <w:rPr>
                <w:rFonts w:hint="eastAsia"/>
                <w:b/>
                <w:sz w:val="26"/>
                <w:szCs w:val="26"/>
                <w:lang w:val="en-US" w:eastAsia="zh-CN"/>
              </w:rPr>
              <w:t>6</w:t>
            </w:r>
            <w:r>
              <w:rPr>
                <w:rFonts w:hint="eastAsia"/>
                <w:b/>
                <w:sz w:val="26"/>
                <w:szCs w:val="26"/>
              </w:rPr>
              <w:t>劳动定员及工作制度</w:t>
            </w:r>
          </w:p>
          <w:p w14:paraId="54F363BD">
            <w:pPr>
              <w:adjustRightInd w:val="0"/>
              <w:snapToGrid w:val="0"/>
              <w:spacing w:line="460" w:lineRule="exact"/>
              <w:ind w:firstLine="520" w:firstLineChars="200"/>
              <w:rPr>
                <w:b/>
                <w:sz w:val="26"/>
                <w:szCs w:val="26"/>
              </w:rPr>
            </w:pPr>
            <w:r>
              <w:rPr>
                <w:rFonts w:hint="eastAsia"/>
                <w:bCs/>
                <w:sz w:val="26"/>
                <w:szCs w:val="26"/>
              </w:rPr>
              <w:t>本项目</w:t>
            </w:r>
            <w:r>
              <w:rPr>
                <w:rFonts w:hint="eastAsia"/>
                <w:bCs/>
                <w:sz w:val="26"/>
                <w:szCs w:val="26"/>
                <w:lang w:val="en-US" w:eastAsia="zh-CN"/>
              </w:rPr>
              <w:t>改造后</w:t>
            </w:r>
            <w:r>
              <w:rPr>
                <w:rFonts w:hint="eastAsia"/>
                <w:bCs/>
                <w:sz w:val="26"/>
                <w:szCs w:val="26"/>
              </w:rPr>
              <w:t>不新增劳动定员，劳动定员</w:t>
            </w:r>
            <w:r>
              <w:rPr>
                <w:rFonts w:hint="eastAsia"/>
                <w:bCs/>
                <w:sz w:val="26"/>
                <w:szCs w:val="26"/>
                <w:lang w:val="en-US" w:eastAsia="zh-CN"/>
              </w:rPr>
              <w:t>仍为</w:t>
            </w:r>
            <w:r>
              <w:rPr>
                <w:rFonts w:hint="eastAsia"/>
                <w:bCs/>
                <w:color w:val="auto"/>
                <w:sz w:val="26"/>
                <w:szCs w:val="26"/>
                <w:lang w:val="en-US" w:eastAsia="zh-CN"/>
              </w:rPr>
              <w:t>7</w:t>
            </w:r>
            <w:r>
              <w:rPr>
                <w:rFonts w:hint="eastAsia"/>
                <w:bCs/>
                <w:color w:val="0000FF"/>
                <w:sz w:val="26"/>
                <w:szCs w:val="26"/>
              </w:rPr>
              <w:t>人</w:t>
            </w:r>
            <w:r>
              <w:rPr>
                <w:rFonts w:hint="eastAsia"/>
                <w:bCs/>
                <w:sz w:val="26"/>
                <w:szCs w:val="26"/>
              </w:rPr>
              <w:t>；全年365天24小时营业，三班制，每班</w:t>
            </w:r>
            <w:r>
              <w:rPr>
                <w:bCs/>
                <w:sz w:val="26"/>
                <w:szCs w:val="26"/>
              </w:rPr>
              <w:t>8</w:t>
            </w:r>
            <w:r>
              <w:rPr>
                <w:rFonts w:hint="eastAsia"/>
                <w:bCs/>
                <w:sz w:val="26"/>
                <w:szCs w:val="26"/>
              </w:rPr>
              <w:t>h。</w:t>
            </w:r>
          </w:p>
          <w:p w14:paraId="53A01A63">
            <w:pPr>
              <w:pStyle w:val="75"/>
              <w:rPr>
                <w:rFonts w:hint="eastAsia" w:ascii="Times New Roman" w:hAnsi="Times New Roman" w:eastAsia="宋体" w:cs="Times New Roman"/>
                <w:bCs w:val="0"/>
                <w:color w:val="auto"/>
                <w:szCs w:val="26"/>
              </w:rPr>
            </w:pPr>
            <w:r>
              <w:rPr>
                <w:rFonts w:hint="eastAsia" w:ascii="Times New Roman" w:hAnsi="Times New Roman" w:eastAsia="宋体" w:cs="Times New Roman"/>
                <w:bCs w:val="0"/>
                <w:color w:val="auto"/>
                <w:szCs w:val="26"/>
              </w:rPr>
              <w:t>2.</w:t>
            </w:r>
            <w:r>
              <w:rPr>
                <w:rFonts w:hint="eastAsia" w:ascii="Times New Roman" w:hAnsi="Times New Roman" w:eastAsia="宋体" w:cs="Times New Roman"/>
                <w:bCs w:val="0"/>
                <w:color w:val="auto"/>
                <w:szCs w:val="26"/>
                <w:lang w:val="en-US" w:eastAsia="zh-CN"/>
              </w:rPr>
              <w:t>7</w:t>
            </w:r>
            <w:r>
              <w:rPr>
                <w:rFonts w:hint="eastAsia" w:ascii="Times New Roman" w:hAnsi="Times New Roman" w:eastAsia="宋体" w:cs="Times New Roman"/>
                <w:bCs w:val="0"/>
                <w:color w:val="auto"/>
                <w:szCs w:val="26"/>
              </w:rPr>
              <w:t>用排水分析及水平衡</w:t>
            </w:r>
          </w:p>
          <w:p w14:paraId="39671255">
            <w:pPr>
              <w:pStyle w:val="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bCs/>
                <w:kern w:val="2"/>
                <w:sz w:val="26"/>
                <w:szCs w:val="26"/>
                <w:lang w:val="en-US" w:eastAsia="zh-CN" w:bidi="ar-SA"/>
              </w:rPr>
            </w:pPr>
            <w:r>
              <w:rPr>
                <w:rFonts w:hint="eastAsia" w:ascii="Times New Roman" w:hAnsi="Times New Roman" w:eastAsia="宋体" w:cs="Times New Roman"/>
                <w:bCs/>
                <w:kern w:val="2"/>
                <w:sz w:val="26"/>
                <w:szCs w:val="26"/>
                <w:lang w:val="en-US" w:eastAsia="zh-CN" w:bidi="ar-SA"/>
              </w:rPr>
              <w:t>项目用水由市政管网提供，用水去向主要为生活用水及生产用水。</w:t>
            </w:r>
          </w:p>
          <w:p w14:paraId="240AB0A5">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Cs/>
                <w:kern w:val="2"/>
                <w:sz w:val="26"/>
                <w:szCs w:val="26"/>
                <w:lang w:val="en-US" w:eastAsia="zh-CN" w:bidi="ar-SA"/>
              </w:rPr>
            </w:pPr>
            <w:r>
              <w:rPr>
                <w:rFonts w:hint="eastAsia" w:ascii="Times New Roman" w:hAnsi="Times New Roman" w:eastAsia="宋体" w:cs="Times New Roman"/>
                <w:bCs/>
                <w:kern w:val="2"/>
                <w:sz w:val="26"/>
                <w:szCs w:val="26"/>
                <w:lang w:val="en-US" w:eastAsia="zh-CN" w:bidi="ar-SA"/>
              </w:rPr>
              <w:t>（1）生活用水</w:t>
            </w:r>
          </w:p>
          <w:p w14:paraId="6922831B">
            <w:pPr>
              <w:pStyle w:val="64"/>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sz w:val="26"/>
                <w:szCs w:val="26"/>
              </w:rPr>
            </w:pPr>
            <w:r>
              <w:rPr>
                <w:rFonts w:hint="eastAsia"/>
                <w:sz w:val="26"/>
                <w:szCs w:val="26"/>
              </w:rPr>
              <w:t>本项目营运期生活污水主要是员工生活污水、乘驾人员产生的污水。加油站</w:t>
            </w:r>
            <w:r>
              <w:rPr>
                <w:rFonts w:hint="eastAsia"/>
                <w:sz w:val="26"/>
                <w:szCs w:val="26"/>
                <w:lang w:val="en-US" w:eastAsia="zh-CN"/>
              </w:rPr>
              <w:t>改造</w:t>
            </w:r>
            <w:r>
              <w:rPr>
                <w:rFonts w:hint="eastAsia"/>
                <w:sz w:val="26"/>
                <w:szCs w:val="26"/>
              </w:rPr>
              <w:t>前后劳动定员不变，司乘人员</w:t>
            </w:r>
            <w:r>
              <w:rPr>
                <w:rFonts w:hint="eastAsia"/>
                <w:sz w:val="26"/>
                <w:szCs w:val="26"/>
                <w:lang w:val="en-US" w:eastAsia="zh-CN"/>
              </w:rPr>
              <w:t>数量将会有部分增加</w:t>
            </w:r>
            <w:r>
              <w:rPr>
                <w:rFonts w:hint="eastAsia"/>
                <w:sz w:val="26"/>
                <w:szCs w:val="26"/>
              </w:rPr>
              <w:t>。</w:t>
            </w:r>
          </w:p>
          <w:p w14:paraId="5282D7A9">
            <w:pPr>
              <w:pStyle w:val="5"/>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default"/>
                <w:bCs/>
                <w:sz w:val="26"/>
                <w:szCs w:val="26"/>
                <w:lang w:val="en-US"/>
              </w:rPr>
            </w:pPr>
            <w:r>
              <w:rPr>
                <w:rFonts w:hint="default" w:ascii="Times New Roman" w:hAnsi="Times New Roman" w:cs="Times New Roman"/>
                <w:color w:val="auto"/>
                <w:sz w:val="26"/>
                <w:szCs w:val="26"/>
              </w:rPr>
              <w:t>项目用水定额参照《重庆市第二三产业用水定额</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2020年版</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渝水</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rPr>
              <w:t>2021</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rPr>
              <w:t>56号</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以及《建筑给水排水设计标准》（GB50015-20</w:t>
            </w:r>
            <w:r>
              <w:rPr>
                <w:rFonts w:hint="default" w:ascii="Times New Roman" w:hAnsi="Times New Roman" w:cs="Times New Roman"/>
                <w:color w:val="auto"/>
                <w:sz w:val="26"/>
                <w:szCs w:val="26"/>
                <w:lang w:val="en-US" w:eastAsia="zh-CN"/>
              </w:rPr>
              <w:t>19</w:t>
            </w:r>
            <w:r>
              <w:rPr>
                <w:rFonts w:hint="default" w:ascii="Times New Roman" w:hAnsi="Times New Roman" w:cs="Times New Roman"/>
                <w:color w:val="auto"/>
                <w:sz w:val="26"/>
                <w:szCs w:val="26"/>
              </w:rPr>
              <w:t>）</w:t>
            </w:r>
            <w:r>
              <w:rPr>
                <w:rFonts w:hint="eastAsia"/>
                <w:sz w:val="26"/>
                <w:szCs w:val="26"/>
              </w:rPr>
              <w:t>等相关规范要求，结合加油站实际情况考虑，</w:t>
            </w:r>
            <w:r>
              <w:rPr>
                <w:rFonts w:hint="eastAsia"/>
                <w:sz w:val="26"/>
                <w:szCs w:val="26"/>
                <w:lang w:val="en-US" w:eastAsia="zh-CN"/>
              </w:rPr>
              <w:t>本项目改造后劳动定员为</w:t>
            </w:r>
            <w:r>
              <w:rPr>
                <w:rFonts w:hint="eastAsia"/>
                <w:color w:val="auto"/>
                <w:sz w:val="26"/>
                <w:szCs w:val="26"/>
                <w:lang w:val="en-US" w:eastAsia="zh-CN"/>
              </w:rPr>
              <w:t>7人（涉及工</w:t>
            </w:r>
            <w:r>
              <w:rPr>
                <w:rFonts w:hint="eastAsia"/>
                <w:sz w:val="26"/>
                <w:szCs w:val="26"/>
                <w:lang w:val="en-US" w:eastAsia="zh-CN"/>
              </w:rPr>
              <w:t>作生活及住宿），职工用水量按150L/人·d，改造</w:t>
            </w:r>
            <w:r>
              <w:rPr>
                <w:rFonts w:hint="eastAsia"/>
                <w:sz w:val="26"/>
                <w:szCs w:val="26"/>
              </w:rPr>
              <w:t>后</w:t>
            </w:r>
            <w:r>
              <w:rPr>
                <w:rFonts w:hint="eastAsia"/>
                <w:sz w:val="26"/>
                <w:szCs w:val="26"/>
                <w:lang w:val="en-US" w:eastAsia="zh-CN"/>
              </w:rPr>
              <w:t>每天进站的司乘</w:t>
            </w:r>
            <w:r>
              <w:rPr>
                <w:rFonts w:hint="eastAsia"/>
                <w:sz w:val="26"/>
                <w:szCs w:val="26"/>
              </w:rPr>
              <w:t>人员约</w:t>
            </w:r>
            <w:r>
              <w:rPr>
                <w:rFonts w:hint="eastAsia"/>
                <w:sz w:val="26"/>
                <w:szCs w:val="26"/>
                <w:lang w:val="en-US" w:eastAsia="zh-CN"/>
              </w:rPr>
              <w:t>39</w:t>
            </w:r>
            <w:r>
              <w:rPr>
                <w:sz w:val="26"/>
                <w:szCs w:val="26"/>
              </w:rPr>
              <w:t>0</w:t>
            </w:r>
            <w:r>
              <w:rPr>
                <w:rFonts w:hint="eastAsia"/>
                <w:sz w:val="26"/>
                <w:szCs w:val="26"/>
              </w:rPr>
              <w:t>人，人均用水标准约</w:t>
            </w:r>
            <w:r>
              <w:rPr>
                <w:rFonts w:hint="eastAsia"/>
                <w:sz w:val="26"/>
                <w:szCs w:val="26"/>
                <w:lang w:val="en-US" w:eastAsia="zh-CN"/>
              </w:rPr>
              <w:t>5</w:t>
            </w:r>
            <w:r>
              <w:rPr>
                <w:rFonts w:hint="eastAsia"/>
                <w:sz w:val="26"/>
                <w:szCs w:val="26"/>
              </w:rPr>
              <w:t>L/</w:t>
            </w:r>
            <w:r>
              <w:rPr>
                <w:rFonts w:hint="eastAsia"/>
                <w:sz w:val="26"/>
                <w:szCs w:val="26"/>
                <w:lang w:eastAsia="zh-CN"/>
              </w:rPr>
              <w:t>（</w:t>
            </w:r>
            <w:r>
              <w:rPr>
                <w:rFonts w:hint="eastAsia"/>
                <w:sz w:val="26"/>
                <w:szCs w:val="26"/>
              </w:rPr>
              <w:t>人</w:t>
            </w:r>
            <w:r>
              <w:rPr>
                <w:sz w:val="26"/>
                <w:szCs w:val="26"/>
              </w:rPr>
              <w:t>·</w:t>
            </w:r>
            <w:r>
              <w:rPr>
                <w:rFonts w:hint="eastAsia"/>
                <w:sz w:val="26"/>
                <w:szCs w:val="26"/>
              </w:rPr>
              <w:t>d</w:t>
            </w:r>
            <w:r>
              <w:rPr>
                <w:rFonts w:hint="eastAsia"/>
                <w:sz w:val="26"/>
                <w:szCs w:val="26"/>
                <w:lang w:eastAsia="zh-CN"/>
              </w:rPr>
              <w:t>）</w:t>
            </w:r>
            <w:r>
              <w:rPr>
                <w:rFonts w:hint="eastAsia"/>
                <w:sz w:val="26"/>
                <w:szCs w:val="26"/>
              </w:rPr>
              <w:t>，生活污水排水量按用水量的90%计算</w:t>
            </w:r>
            <w:r>
              <w:rPr>
                <w:rFonts w:hint="eastAsia"/>
                <w:sz w:val="26"/>
                <w:szCs w:val="26"/>
                <w:lang w:eastAsia="zh-CN"/>
              </w:rPr>
              <w:t>，</w:t>
            </w:r>
            <w:r>
              <w:rPr>
                <w:rFonts w:hint="eastAsia"/>
                <w:sz w:val="26"/>
                <w:szCs w:val="26"/>
              </w:rPr>
              <w:t>则本项目</w:t>
            </w:r>
            <w:r>
              <w:rPr>
                <w:rFonts w:hint="eastAsia"/>
                <w:sz w:val="26"/>
                <w:szCs w:val="26"/>
                <w:lang w:val="en-US" w:eastAsia="zh-CN"/>
              </w:rPr>
              <w:t>改造后生活用水量合计为3.0</w:t>
            </w:r>
            <w:r>
              <w:rPr>
                <w:rFonts w:hint="eastAsia"/>
                <w:sz w:val="26"/>
                <w:szCs w:val="26"/>
              </w:rPr>
              <w:t>m</w:t>
            </w:r>
            <w:r>
              <w:rPr>
                <w:rFonts w:hint="eastAsia"/>
                <w:sz w:val="26"/>
                <w:szCs w:val="26"/>
                <w:vertAlign w:val="superscript"/>
              </w:rPr>
              <w:t>3</w:t>
            </w:r>
            <w:r>
              <w:rPr>
                <w:rFonts w:hint="eastAsia"/>
                <w:sz w:val="26"/>
                <w:szCs w:val="26"/>
              </w:rPr>
              <w:t>/d</w:t>
            </w:r>
            <w:r>
              <w:rPr>
                <w:rFonts w:hint="eastAsia"/>
                <w:sz w:val="26"/>
                <w:szCs w:val="26"/>
                <w:lang w:eastAsia="zh-CN"/>
              </w:rPr>
              <w:t>，</w:t>
            </w:r>
            <w:r>
              <w:rPr>
                <w:rFonts w:hint="eastAsia"/>
                <w:sz w:val="26"/>
                <w:szCs w:val="26"/>
              </w:rPr>
              <w:t>生活污水产生量</w:t>
            </w:r>
            <w:r>
              <w:rPr>
                <w:rFonts w:hint="eastAsia"/>
                <w:sz w:val="26"/>
                <w:szCs w:val="26"/>
                <w:lang w:val="en-US" w:eastAsia="zh-CN"/>
              </w:rPr>
              <w:t>2.7</w:t>
            </w:r>
            <w:r>
              <w:rPr>
                <w:rFonts w:hint="eastAsia"/>
                <w:sz w:val="26"/>
                <w:szCs w:val="26"/>
              </w:rPr>
              <w:t>m</w:t>
            </w:r>
            <w:r>
              <w:rPr>
                <w:rFonts w:hint="eastAsia"/>
                <w:sz w:val="26"/>
                <w:szCs w:val="26"/>
                <w:vertAlign w:val="superscript"/>
              </w:rPr>
              <w:t>3</w:t>
            </w:r>
            <w:r>
              <w:rPr>
                <w:rFonts w:hint="eastAsia"/>
                <w:sz w:val="26"/>
                <w:szCs w:val="26"/>
              </w:rPr>
              <w:t>/d</w:t>
            </w:r>
            <w:r>
              <w:rPr>
                <w:rFonts w:hint="eastAsia"/>
                <w:sz w:val="26"/>
                <w:szCs w:val="26"/>
                <w:lang w:eastAsia="zh-CN"/>
              </w:rPr>
              <w:t>（</w:t>
            </w:r>
            <w:r>
              <w:rPr>
                <w:rFonts w:hint="eastAsia"/>
                <w:sz w:val="26"/>
                <w:szCs w:val="26"/>
                <w:lang w:val="en-US" w:eastAsia="zh-CN"/>
              </w:rPr>
              <w:t>985.5</w:t>
            </w:r>
            <w:r>
              <w:rPr>
                <w:sz w:val="26"/>
                <w:szCs w:val="26"/>
              </w:rPr>
              <w:t>t</w:t>
            </w:r>
            <w:r>
              <w:rPr>
                <w:rFonts w:hint="eastAsia"/>
                <w:sz w:val="26"/>
                <w:szCs w:val="26"/>
              </w:rPr>
              <w:t>/a</w:t>
            </w:r>
            <w:r>
              <w:rPr>
                <w:rFonts w:hint="eastAsia"/>
                <w:sz w:val="26"/>
                <w:szCs w:val="26"/>
                <w:lang w:eastAsia="zh-CN"/>
              </w:rPr>
              <w:t>）。</w:t>
            </w:r>
          </w:p>
          <w:p w14:paraId="5A1B4BEB">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default" w:eastAsia="宋体"/>
                <w:bCs/>
                <w:sz w:val="26"/>
                <w:szCs w:val="26"/>
                <w:lang w:val="en-US" w:eastAsia="zh-CN"/>
              </w:rPr>
            </w:pPr>
            <w:r>
              <w:rPr>
                <w:rFonts w:hint="eastAsia"/>
                <w:bCs/>
                <w:sz w:val="26"/>
                <w:szCs w:val="26"/>
                <w:lang w:eastAsia="zh-CN"/>
              </w:rPr>
              <w:t>（</w:t>
            </w:r>
            <w:r>
              <w:rPr>
                <w:rFonts w:hint="eastAsia"/>
                <w:bCs/>
                <w:sz w:val="26"/>
                <w:szCs w:val="26"/>
                <w:lang w:val="en-US" w:eastAsia="zh-CN"/>
              </w:rPr>
              <w:t>2</w:t>
            </w:r>
            <w:r>
              <w:rPr>
                <w:rFonts w:hint="eastAsia"/>
                <w:bCs/>
                <w:sz w:val="26"/>
                <w:szCs w:val="26"/>
                <w:lang w:eastAsia="zh-CN"/>
              </w:rPr>
              <w:t>）</w:t>
            </w:r>
            <w:r>
              <w:rPr>
                <w:rFonts w:hint="eastAsia"/>
                <w:bCs/>
                <w:sz w:val="26"/>
                <w:szCs w:val="26"/>
                <w:lang w:val="en-US" w:eastAsia="zh-CN"/>
              </w:rPr>
              <w:t>生产用水</w:t>
            </w:r>
          </w:p>
          <w:p w14:paraId="50D9CF7C">
            <w:pPr>
              <w:pStyle w:val="64"/>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sz w:val="26"/>
                <w:szCs w:val="26"/>
              </w:rPr>
            </w:pPr>
            <w:r>
              <w:rPr>
                <w:rFonts w:hint="eastAsia"/>
                <w:bCs/>
                <w:sz w:val="26"/>
                <w:szCs w:val="26"/>
                <w:lang w:val="en-US" w:eastAsia="zh-CN"/>
              </w:rPr>
              <w:t>①</w:t>
            </w:r>
            <w:r>
              <w:rPr>
                <w:rFonts w:hint="eastAsia"/>
                <w:sz w:val="26"/>
                <w:szCs w:val="26"/>
              </w:rPr>
              <w:t>场地冲洗废水</w:t>
            </w:r>
          </w:p>
          <w:p w14:paraId="4F62AEC4">
            <w:pPr>
              <w:pStyle w:val="5"/>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eastAsia"/>
                <w:sz w:val="26"/>
                <w:szCs w:val="26"/>
                <w:lang w:eastAsia="zh-CN"/>
              </w:rPr>
            </w:pPr>
            <w:r>
              <w:rPr>
                <w:rFonts w:hint="eastAsia"/>
                <w:sz w:val="26"/>
                <w:szCs w:val="26"/>
                <w:lang w:val="en-US" w:eastAsia="zh-CN"/>
              </w:rPr>
              <w:t>本项目</w:t>
            </w:r>
            <w:r>
              <w:rPr>
                <w:rFonts w:hint="eastAsia"/>
                <w:sz w:val="26"/>
                <w:szCs w:val="26"/>
              </w:rPr>
              <w:t>场地冲洗按3天/次考虑，场地冲洗用水主要是卸油区、加油区，每次冲洗废水量约为2L/m</w:t>
            </w:r>
            <w:r>
              <w:rPr>
                <w:rFonts w:hint="eastAsia"/>
                <w:sz w:val="26"/>
                <w:szCs w:val="26"/>
                <w:vertAlign w:val="superscript"/>
              </w:rPr>
              <w:t>2</w:t>
            </w:r>
            <w:r>
              <w:rPr>
                <w:rFonts w:hint="eastAsia"/>
                <w:sz w:val="26"/>
                <w:szCs w:val="26"/>
                <w:lang w:val="en-US" w:eastAsia="zh-CN"/>
              </w:rPr>
              <w:t>·</w:t>
            </w:r>
            <w:r>
              <w:rPr>
                <w:rFonts w:hint="eastAsia"/>
                <w:sz w:val="26"/>
                <w:szCs w:val="26"/>
              </w:rPr>
              <w:t>次，</w:t>
            </w:r>
            <w:r>
              <w:rPr>
                <w:rFonts w:hint="eastAsia"/>
                <w:sz w:val="26"/>
                <w:szCs w:val="26"/>
                <w:lang w:val="en-US" w:eastAsia="zh-CN"/>
              </w:rPr>
              <w:t>场地</w:t>
            </w:r>
            <w:r>
              <w:rPr>
                <w:rFonts w:hint="eastAsia"/>
                <w:sz w:val="26"/>
                <w:szCs w:val="26"/>
              </w:rPr>
              <w:t>冲洗面积</w:t>
            </w:r>
            <w:r>
              <w:rPr>
                <w:rFonts w:hint="eastAsia"/>
                <w:sz w:val="26"/>
                <w:szCs w:val="26"/>
                <w:lang w:eastAsia="zh-CN"/>
              </w:rPr>
              <w:t>（</w:t>
            </w:r>
            <w:r>
              <w:rPr>
                <w:rFonts w:hint="eastAsia"/>
                <w:sz w:val="26"/>
                <w:szCs w:val="26"/>
                <w:lang w:val="en-US" w:eastAsia="zh-CN"/>
              </w:rPr>
              <w:t>罩棚下加油区对应地面及卸油区对应地面</w:t>
            </w:r>
            <w:r>
              <w:rPr>
                <w:rFonts w:hint="eastAsia"/>
                <w:sz w:val="26"/>
                <w:szCs w:val="26"/>
                <w:lang w:eastAsia="zh-CN"/>
              </w:rPr>
              <w:t>）</w:t>
            </w:r>
            <w:r>
              <w:rPr>
                <w:rFonts w:hint="eastAsia"/>
                <w:sz w:val="26"/>
                <w:szCs w:val="26"/>
              </w:rPr>
              <w:t>约为</w:t>
            </w:r>
            <w:r>
              <w:rPr>
                <w:rFonts w:hint="eastAsia"/>
                <w:sz w:val="26"/>
                <w:szCs w:val="26"/>
                <w:lang w:val="en-US" w:eastAsia="zh-CN"/>
              </w:rPr>
              <w:t>880</w:t>
            </w:r>
            <w:r>
              <w:rPr>
                <w:rFonts w:hint="eastAsia"/>
                <w:sz w:val="26"/>
                <w:szCs w:val="26"/>
              </w:rPr>
              <w:t>m</w:t>
            </w:r>
            <w:r>
              <w:rPr>
                <w:rFonts w:hint="eastAsia"/>
                <w:sz w:val="26"/>
                <w:szCs w:val="26"/>
                <w:vertAlign w:val="superscript"/>
              </w:rPr>
              <w:t>2</w:t>
            </w:r>
            <w:r>
              <w:rPr>
                <w:rFonts w:hint="eastAsia"/>
                <w:sz w:val="26"/>
                <w:szCs w:val="26"/>
                <w:lang w:val="en-US" w:eastAsia="zh-CN"/>
              </w:rPr>
              <w:t>+20</w:t>
            </w:r>
            <w:r>
              <w:rPr>
                <w:rFonts w:hint="eastAsia"/>
                <w:sz w:val="26"/>
                <w:szCs w:val="26"/>
              </w:rPr>
              <w:t>m</w:t>
            </w:r>
            <w:r>
              <w:rPr>
                <w:rFonts w:hint="eastAsia"/>
                <w:sz w:val="26"/>
                <w:szCs w:val="26"/>
                <w:vertAlign w:val="superscript"/>
              </w:rPr>
              <w:t>2</w:t>
            </w:r>
            <w:r>
              <w:rPr>
                <w:rFonts w:hint="eastAsia"/>
                <w:sz w:val="26"/>
                <w:szCs w:val="26"/>
                <w:vertAlign w:val="baseline"/>
                <w:lang w:val="en-US" w:eastAsia="zh-CN"/>
              </w:rPr>
              <w:t>=900m</w:t>
            </w:r>
            <w:r>
              <w:rPr>
                <w:rFonts w:hint="eastAsia"/>
                <w:sz w:val="26"/>
                <w:szCs w:val="26"/>
                <w:vertAlign w:val="superscript"/>
                <w:lang w:val="en-US" w:eastAsia="zh-CN"/>
              </w:rPr>
              <w:t>2</w:t>
            </w:r>
            <w:r>
              <w:rPr>
                <w:rFonts w:hint="eastAsia"/>
                <w:sz w:val="26"/>
                <w:szCs w:val="26"/>
              </w:rPr>
              <w:t>，则项目场地冲洗用水量为</w:t>
            </w:r>
            <w:r>
              <w:rPr>
                <w:rFonts w:hint="eastAsia"/>
                <w:sz w:val="26"/>
                <w:szCs w:val="26"/>
                <w:lang w:val="en-US" w:eastAsia="zh-CN"/>
              </w:rPr>
              <w:t>219</w:t>
            </w:r>
            <w:r>
              <w:rPr>
                <w:rFonts w:hint="eastAsia"/>
                <w:sz w:val="26"/>
                <w:szCs w:val="26"/>
              </w:rPr>
              <w:t>m</w:t>
            </w:r>
            <w:r>
              <w:rPr>
                <w:rFonts w:hint="eastAsia"/>
                <w:sz w:val="26"/>
                <w:szCs w:val="26"/>
                <w:vertAlign w:val="superscript"/>
              </w:rPr>
              <w:t>3</w:t>
            </w:r>
            <w:r>
              <w:rPr>
                <w:rFonts w:hint="eastAsia"/>
                <w:sz w:val="26"/>
                <w:szCs w:val="26"/>
              </w:rPr>
              <w:t>/a</w:t>
            </w:r>
            <w:r>
              <w:rPr>
                <w:rFonts w:hint="eastAsia"/>
                <w:sz w:val="26"/>
                <w:szCs w:val="26"/>
                <w:lang w:eastAsia="zh-CN"/>
              </w:rPr>
              <w:t>（</w:t>
            </w:r>
            <w:r>
              <w:rPr>
                <w:rFonts w:hint="eastAsia"/>
                <w:sz w:val="26"/>
                <w:szCs w:val="26"/>
                <w:lang w:val="en-US" w:eastAsia="zh-CN"/>
              </w:rPr>
              <w:t>0.60</w:t>
            </w:r>
            <w:r>
              <w:rPr>
                <w:rFonts w:hint="eastAsia"/>
                <w:sz w:val="26"/>
                <w:szCs w:val="26"/>
              </w:rPr>
              <w:t>m</w:t>
            </w:r>
            <w:r>
              <w:rPr>
                <w:rFonts w:hint="eastAsia"/>
                <w:sz w:val="26"/>
                <w:szCs w:val="26"/>
                <w:vertAlign w:val="superscript"/>
              </w:rPr>
              <w:t>3</w:t>
            </w:r>
            <w:r>
              <w:rPr>
                <w:rFonts w:hint="eastAsia"/>
                <w:sz w:val="26"/>
                <w:szCs w:val="26"/>
              </w:rPr>
              <w:t>/</w:t>
            </w:r>
            <w:r>
              <w:rPr>
                <w:rFonts w:hint="eastAsia"/>
                <w:sz w:val="26"/>
                <w:szCs w:val="26"/>
                <w:lang w:val="en-US" w:eastAsia="zh-CN"/>
              </w:rPr>
              <w:t>d</w:t>
            </w:r>
            <w:r>
              <w:rPr>
                <w:rFonts w:hint="eastAsia"/>
                <w:sz w:val="26"/>
                <w:szCs w:val="26"/>
                <w:lang w:eastAsia="zh-CN"/>
              </w:rPr>
              <w:t>）</w:t>
            </w:r>
            <w:r>
              <w:rPr>
                <w:rFonts w:hint="eastAsia"/>
                <w:sz w:val="26"/>
                <w:szCs w:val="26"/>
              </w:rPr>
              <w:t>，</w:t>
            </w:r>
            <w:r>
              <w:rPr>
                <w:rFonts w:hint="eastAsia" w:ascii="Times New Roman" w:hAnsi="Times New Roman" w:cs="Times New Roman"/>
                <w:color w:val="auto"/>
                <w:sz w:val="26"/>
                <w:szCs w:val="26"/>
                <w:lang w:val="en-US" w:eastAsia="zh-CN"/>
              </w:rPr>
              <w:t>产污系数按0.9计，则场地冲洗废水</w:t>
            </w:r>
            <w:r>
              <w:rPr>
                <w:rFonts w:hint="eastAsia"/>
                <w:sz w:val="26"/>
                <w:szCs w:val="26"/>
              </w:rPr>
              <w:t>量为</w:t>
            </w:r>
            <w:r>
              <w:rPr>
                <w:rFonts w:hint="eastAsia"/>
                <w:sz w:val="26"/>
                <w:szCs w:val="26"/>
                <w:lang w:val="en-US" w:eastAsia="zh-CN"/>
              </w:rPr>
              <w:t>197.1</w:t>
            </w:r>
            <w:r>
              <w:rPr>
                <w:rFonts w:hint="eastAsia"/>
                <w:sz w:val="26"/>
                <w:szCs w:val="26"/>
              </w:rPr>
              <w:t>m</w:t>
            </w:r>
            <w:r>
              <w:rPr>
                <w:rFonts w:hint="eastAsia"/>
                <w:sz w:val="26"/>
                <w:szCs w:val="26"/>
                <w:vertAlign w:val="superscript"/>
              </w:rPr>
              <w:t>3</w:t>
            </w:r>
            <w:r>
              <w:rPr>
                <w:rFonts w:hint="eastAsia"/>
                <w:sz w:val="26"/>
                <w:szCs w:val="26"/>
              </w:rPr>
              <w:t>/a</w:t>
            </w:r>
            <w:r>
              <w:rPr>
                <w:rFonts w:hint="eastAsia"/>
                <w:sz w:val="26"/>
                <w:szCs w:val="26"/>
                <w:lang w:eastAsia="zh-CN"/>
              </w:rPr>
              <w:t>（</w:t>
            </w:r>
            <w:r>
              <w:rPr>
                <w:rFonts w:hint="eastAsia"/>
                <w:sz w:val="26"/>
                <w:szCs w:val="26"/>
                <w:lang w:val="en-US" w:eastAsia="zh-CN"/>
              </w:rPr>
              <w:t>0.54</w:t>
            </w:r>
            <w:r>
              <w:rPr>
                <w:rFonts w:hint="eastAsia"/>
                <w:sz w:val="26"/>
                <w:szCs w:val="26"/>
              </w:rPr>
              <w:t>m</w:t>
            </w:r>
            <w:r>
              <w:rPr>
                <w:rFonts w:hint="eastAsia"/>
                <w:sz w:val="26"/>
                <w:szCs w:val="26"/>
                <w:vertAlign w:val="superscript"/>
              </w:rPr>
              <w:t>3</w:t>
            </w:r>
            <w:r>
              <w:rPr>
                <w:rFonts w:hint="eastAsia"/>
                <w:sz w:val="26"/>
                <w:szCs w:val="26"/>
              </w:rPr>
              <w:t>/</w:t>
            </w:r>
            <w:r>
              <w:rPr>
                <w:rFonts w:hint="eastAsia"/>
                <w:sz w:val="26"/>
                <w:szCs w:val="26"/>
                <w:lang w:val="en-US" w:eastAsia="zh-CN"/>
              </w:rPr>
              <w:t>d</w:t>
            </w:r>
            <w:r>
              <w:rPr>
                <w:rFonts w:hint="eastAsia"/>
                <w:sz w:val="26"/>
                <w:szCs w:val="26"/>
                <w:lang w:eastAsia="zh-CN"/>
              </w:rPr>
              <w:t>）。</w:t>
            </w:r>
          </w:p>
          <w:p w14:paraId="25146DC7">
            <w:pPr>
              <w:pStyle w:val="64"/>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sz w:val="26"/>
                <w:szCs w:val="26"/>
              </w:rPr>
            </w:pPr>
            <w:r>
              <w:rPr>
                <w:rFonts w:hint="eastAsia"/>
                <w:sz w:val="26"/>
                <w:szCs w:val="26"/>
                <w:lang w:val="en-US" w:eastAsia="zh-CN"/>
              </w:rPr>
              <w:t>②</w:t>
            </w:r>
            <w:r>
              <w:rPr>
                <w:rFonts w:hint="eastAsia"/>
                <w:sz w:val="26"/>
                <w:szCs w:val="26"/>
              </w:rPr>
              <w:t>洗车废水</w:t>
            </w:r>
          </w:p>
          <w:p w14:paraId="20AE50E5">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default"/>
                <w:sz w:val="26"/>
                <w:szCs w:val="26"/>
                <w:lang w:val="en-US" w:eastAsia="zh-CN"/>
              </w:rPr>
            </w:pPr>
            <w:r>
              <w:rPr>
                <w:rFonts w:hint="eastAsia"/>
                <w:sz w:val="26"/>
                <w:szCs w:val="26"/>
              </w:rPr>
              <w:t>项目自动洗车间单洗1台小型车用水量为2</w:t>
            </w:r>
            <w:r>
              <w:rPr>
                <w:sz w:val="26"/>
                <w:szCs w:val="26"/>
              </w:rPr>
              <w:t>0L</w:t>
            </w:r>
            <w:r>
              <w:rPr>
                <w:rFonts w:hint="eastAsia"/>
                <w:sz w:val="26"/>
                <w:szCs w:val="26"/>
              </w:rPr>
              <w:t>，</w:t>
            </w:r>
            <w:r>
              <w:rPr>
                <w:rFonts w:hint="eastAsia"/>
                <w:sz w:val="26"/>
                <w:szCs w:val="26"/>
                <w:lang w:val="en-US" w:eastAsia="zh-CN"/>
              </w:rPr>
              <w:t>改造后新增的洗车间</w:t>
            </w:r>
            <w:r>
              <w:rPr>
                <w:rFonts w:hint="eastAsia"/>
                <w:sz w:val="26"/>
                <w:szCs w:val="26"/>
              </w:rPr>
              <w:t>每天洗车频次预计</w:t>
            </w:r>
            <w:r>
              <w:rPr>
                <w:rFonts w:hint="eastAsia"/>
                <w:sz w:val="26"/>
                <w:szCs w:val="26"/>
                <w:lang w:val="en-US" w:eastAsia="zh-CN"/>
              </w:rPr>
              <w:t>为3</w:t>
            </w:r>
            <w:r>
              <w:rPr>
                <w:sz w:val="26"/>
                <w:szCs w:val="26"/>
              </w:rPr>
              <w:t>0</w:t>
            </w:r>
            <w:r>
              <w:rPr>
                <w:rFonts w:hint="eastAsia"/>
                <w:sz w:val="26"/>
                <w:szCs w:val="26"/>
              </w:rPr>
              <w:t>次，项目洗车用水最大</w:t>
            </w:r>
            <w:r>
              <w:rPr>
                <w:rFonts w:hint="eastAsia"/>
                <w:sz w:val="26"/>
                <w:szCs w:val="26"/>
                <w:lang w:val="en-US" w:eastAsia="zh-CN"/>
              </w:rPr>
              <w:t>用水</w:t>
            </w:r>
            <w:r>
              <w:rPr>
                <w:rFonts w:hint="eastAsia"/>
                <w:sz w:val="26"/>
                <w:szCs w:val="26"/>
              </w:rPr>
              <w:t>量约为</w:t>
            </w:r>
            <w:r>
              <w:rPr>
                <w:rFonts w:hint="eastAsia"/>
                <w:sz w:val="26"/>
                <w:szCs w:val="26"/>
                <w:lang w:val="en-US" w:eastAsia="zh-CN"/>
              </w:rPr>
              <w:t>0.6</w:t>
            </w:r>
            <w:r>
              <w:rPr>
                <w:rFonts w:hint="eastAsia"/>
                <w:sz w:val="26"/>
                <w:szCs w:val="26"/>
              </w:rPr>
              <w:t>m</w:t>
            </w:r>
            <w:r>
              <w:rPr>
                <w:sz w:val="26"/>
                <w:szCs w:val="26"/>
                <w:vertAlign w:val="superscript"/>
              </w:rPr>
              <w:t>3</w:t>
            </w:r>
            <w:r>
              <w:rPr>
                <w:sz w:val="26"/>
                <w:szCs w:val="26"/>
              </w:rPr>
              <w:t>/d</w:t>
            </w:r>
            <w:r>
              <w:rPr>
                <w:rFonts w:hint="eastAsia"/>
                <w:sz w:val="26"/>
                <w:szCs w:val="26"/>
              </w:rPr>
              <w:t>，排污系数取0</w:t>
            </w:r>
            <w:r>
              <w:rPr>
                <w:sz w:val="26"/>
                <w:szCs w:val="26"/>
              </w:rPr>
              <w:t>.9</w:t>
            </w:r>
            <w:r>
              <w:rPr>
                <w:rFonts w:hint="eastAsia"/>
                <w:sz w:val="26"/>
                <w:szCs w:val="26"/>
              </w:rPr>
              <w:t>，则洗车废水产生量约为</w:t>
            </w:r>
            <w:r>
              <w:rPr>
                <w:rFonts w:hint="eastAsia"/>
                <w:sz w:val="26"/>
                <w:szCs w:val="26"/>
                <w:lang w:val="en-US" w:eastAsia="zh-CN"/>
              </w:rPr>
              <w:t>0.54</w:t>
            </w:r>
            <w:r>
              <w:rPr>
                <w:rFonts w:hint="eastAsia"/>
                <w:sz w:val="26"/>
                <w:szCs w:val="26"/>
              </w:rPr>
              <w:t>m</w:t>
            </w:r>
            <w:r>
              <w:rPr>
                <w:sz w:val="26"/>
                <w:szCs w:val="26"/>
                <w:vertAlign w:val="superscript"/>
              </w:rPr>
              <w:t>3</w:t>
            </w:r>
            <w:r>
              <w:rPr>
                <w:sz w:val="26"/>
                <w:szCs w:val="26"/>
              </w:rPr>
              <w:t>/d</w:t>
            </w:r>
            <w:r>
              <w:rPr>
                <w:rFonts w:hint="eastAsia"/>
                <w:sz w:val="26"/>
                <w:szCs w:val="26"/>
              </w:rPr>
              <w:t>（</w:t>
            </w:r>
            <w:r>
              <w:rPr>
                <w:rFonts w:hint="eastAsia"/>
                <w:sz w:val="26"/>
                <w:szCs w:val="26"/>
                <w:lang w:val="en-US" w:eastAsia="zh-CN"/>
              </w:rPr>
              <w:t>197.1</w:t>
            </w:r>
            <w:r>
              <w:rPr>
                <w:rFonts w:hint="eastAsia"/>
                <w:sz w:val="26"/>
                <w:szCs w:val="26"/>
              </w:rPr>
              <w:t>t</w:t>
            </w:r>
            <w:r>
              <w:rPr>
                <w:sz w:val="26"/>
                <w:szCs w:val="26"/>
              </w:rPr>
              <w:t>/a</w:t>
            </w:r>
            <w:r>
              <w:rPr>
                <w:rFonts w:hint="eastAsia"/>
                <w:sz w:val="26"/>
                <w:szCs w:val="26"/>
              </w:rPr>
              <w:t>）</w:t>
            </w:r>
            <w:r>
              <w:rPr>
                <w:rFonts w:hint="eastAsia"/>
                <w:sz w:val="26"/>
                <w:szCs w:val="26"/>
                <w:lang w:eastAsia="zh-CN"/>
              </w:rPr>
              <w:t>，</w:t>
            </w:r>
            <w:r>
              <w:rPr>
                <w:rFonts w:hint="eastAsia"/>
                <w:sz w:val="26"/>
                <w:szCs w:val="26"/>
                <w:lang w:val="en-US" w:eastAsia="zh-CN"/>
              </w:rPr>
              <w:t>洗车废水产生后进入洗车机自带的三级隔油沉淀池处理达标后回用于洗车，回用一定时间（更换周期为1个月）后外排至加油站设置的三段式隔油沉淀池达标处理后汇入市政污水管网</w:t>
            </w:r>
            <w:r>
              <w:rPr>
                <w:rFonts w:hint="eastAsia"/>
                <w:sz w:val="26"/>
                <w:szCs w:val="26"/>
              </w:rPr>
              <w:t>。</w:t>
            </w:r>
          </w:p>
          <w:p w14:paraId="4A2FF7B0">
            <w:pPr>
              <w:keepNext w:val="0"/>
              <w:keepLines w:val="0"/>
              <w:pageBreakBefore w:val="0"/>
              <w:widowControl w:val="0"/>
              <w:kinsoku/>
              <w:wordWrap/>
              <w:overflowPunct/>
              <w:topLinePunct w:val="0"/>
              <w:autoSpaceDE/>
              <w:autoSpaceDN/>
              <w:bidi w:val="0"/>
              <w:adjustRightInd/>
              <w:spacing w:line="460" w:lineRule="exact"/>
              <w:ind w:firstLine="520" w:firstLineChars="200"/>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本项目用排水情况见表</w:t>
            </w:r>
            <w:r>
              <w:rPr>
                <w:rFonts w:hint="default" w:ascii="Times New Roman" w:hAnsi="Times New Roman" w:cs="Times New Roman"/>
                <w:color w:val="auto"/>
                <w:sz w:val="26"/>
                <w:szCs w:val="26"/>
                <w:lang w:val="en-US" w:eastAsia="zh-CN"/>
              </w:rPr>
              <w:t>2.</w:t>
            </w:r>
            <w:r>
              <w:rPr>
                <w:rFonts w:hint="eastAsia" w:ascii="Times New Roman" w:hAnsi="Times New Roman" w:cs="Times New Roman"/>
                <w:color w:val="auto"/>
                <w:sz w:val="26"/>
                <w:szCs w:val="26"/>
                <w:lang w:val="en-US" w:eastAsia="zh-CN"/>
              </w:rPr>
              <w:t>7</w:t>
            </w:r>
            <w:r>
              <w:rPr>
                <w:rFonts w:hint="default" w:ascii="Times New Roman" w:hAnsi="Times New Roman" w:cs="Times New Roman"/>
                <w:color w:val="auto"/>
                <w:sz w:val="26"/>
                <w:szCs w:val="26"/>
                <w:lang w:val="en-US" w:eastAsia="zh-CN"/>
              </w:rPr>
              <w:t>-1</w:t>
            </w:r>
            <w:r>
              <w:rPr>
                <w:rFonts w:hint="default" w:ascii="Times New Roman" w:hAnsi="Times New Roman" w:cs="Times New Roman"/>
                <w:color w:val="auto"/>
                <w:sz w:val="26"/>
                <w:szCs w:val="26"/>
              </w:rPr>
              <w:t>，水平衡图见图</w:t>
            </w:r>
            <w:r>
              <w:rPr>
                <w:rFonts w:hint="default" w:ascii="Times New Roman" w:hAnsi="Times New Roman" w:cs="Times New Roman"/>
                <w:color w:val="auto"/>
                <w:sz w:val="26"/>
                <w:szCs w:val="26"/>
                <w:lang w:val="en-US" w:eastAsia="zh-CN"/>
              </w:rPr>
              <w:t>2.</w:t>
            </w:r>
            <w:r>
              <w:rPr>
                <w:rFonts w:hint="eastAsia" w:ascii="Times New Roman" w:hAnsi="Times New Roman" w:cs="Times New Roman"/>
                <w:color w:val="auto"/>
                <w:sz w:val="26"/>
                <w:szCs w:val="26"/>
                <w:lang w:val="en-US" w:eastAsia="zh-CN"/>
              </w:rPr>
              <w:t>7</w:t>
            </w:r>
            <w:r>
              <w:rPr>
                <w:rFonts w:hint="default" w:ascii="Times New Roman" w:hAnsi="Times New Roman" w:cs="Times New Roman"/>
                <w:color w:val="auto"/>
                <w:sz w:val="26"/>
                <w:szCs w:val="26"/>
              </w:rPr>
              <w:t>-1。</w:t>
            </w:r>
          </w:p>
          <w:p w14:paraId="73DB4327">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rFonts w:hint="default" w:ascii="Times New Roman" w:hAnsi="Times New Roman" w:cs="Times New Roman"/>
                <w:color w:val="auto"/>
                <w:sz w:val="26"/>
                <w:szCs w:val="26"/>
              </w:rPr>
            </w:pPr>
            <w:r>
              <w:rPr>
                <w:rFonts w:hint="default" w:ascii="Times New Roman" w:hAnsi="Times New Roman" w:cs="Times New Roman"/>
                <w:b w:val="0"/>
                <w:bCs w:val="0"/>
                <w:color w:val="auto"/>
                <w:sz w:val="22"/>
                <w:szCs w:val="22"/>
              </w:rPr>
              <w:t>表2</w:t>
            </w:r>
            <w:r>
              <w:rPr>
                <w:rFonts w:hint="default" w:ascii="Times New Roman" w:hAnsi="Times New Roman" w:cs="Times New Roman"/>
                <w:b w:val="0"/>
                <w:bCs w:val="0"/>
                <w:color w:val="auto"/>
                <w:sz w:val="22"/>
                <w:szCs w:val="22"/>
                <w:lang w:val="en-US" w:eastAsia="zh-CN"/>
              </w:rPr>
              <w:t>.</w:t>
            </w:r>
            <w:r>
              <w:rPr>
                <w:rFonts w:hint="eastAsia" w:ascii="Times New Roman" w:hAnsi="Times New Roman" w:cs="Times New Roman"/>
                <w:b w:val="0"/>
                <w:bCs w:val="0"/>
                <w:color w:val="auto"/>
                <w:sz w:val="22"/>
                <w:szCs w:val="22"/>
                <w:lang w:val="en-US" w:eastAsia="zh-CN"/>
              </w:rPr>
              <w:t>7</w:t>
            </w:r>
            <w:r>
              <w:rPr>
                <w:rFonts w:hint="default" w:ascii="Times New Roman" w:hAnsi="Times New Roman" w:cs="Times New Roman"/>
                <w:b w:val="0"/>
                <w:bCs w:val="0"/>
                <w:color w:val="auto"/>
                <w:sz w:val="22"/>
                <w:szCs w:val="22"/>
                <w:lang w:val="en-US" w:eastAsia="zh-CN"/>
              </w:rPr>
              <w:t>-1</w:t>
            </w:r>
            <w:r>
              <w:rPr>
                <w:rFonts w:hint="default" w:ascii="Times New Roman" w:hAnsi="Times New Roman" w:cs="Times New Roman"/>
                <w:b w:val="0"/>
                <w:bCs w:val="0"/>
                <w:color w:val="auto"/>
                <w:sz w:val="22"/>
                <w:szCs w:val="22"/>
              </w:rPr>
              <w:t xml:space="preserve"> </w:t>
            </w:r>
            <w:r>
              <w:rPr>
                <w:rFonts w:hint="eastAsia" w:cs="Times New Roman"/>
                <w:b w:val="0"/>
                <w:bCs w:val="0"/>
                <w:color w:val="auto"/>
                <w:sz w:val="22"/>
                <w:szCs w:val="22"/>
                <w:lang w:val="en-US" w:eastAsia="zh-CN"/>
              </w:rPr>
              <w:t xml:space="preserve"> </w:t>
            </w:r>
            <w:r>
              <w:rPr>
                <w:rFonts w:hint="default" w:ascii="Times New Roman" w:hAnsi="Times New Roman" w:cs="Times New Roman"/>
                <w:b w:val="0"/>
                <w:bCs w:val="0"/>
                <w:color w:val="auto"/>
                <w:sz w:val="22"/>
                <w:szCs w:val="22"/>
              </w:rPr>
              <w:t>项目用</w:t>
            </w:r>
            <w:r>
              <w:rPr>
                <w:rFonts w:hint="default" w:ascii="Times New Roman" w:hAnsi="Times New Roman" w:cs="Times New Roman"/>
                <w:b w:val="0"/>
                <w:bCs w:val="0"/>
                <w:color w:val="auto"/>
                <w:sz w:val="22"/>
                <w:szCs w:val="22"/>
                <w:lang w:val="en-US" w:eastAsia="zh-CN"/>
              </w:rPr>
              <w:t>排</w:t>
            </w:r>
            <w:r>
              <w:rPr>
                <w:rFonts w:hint="default" w:ascii="Times New Roman" w:hAnsi="Times New Roman" w:cs="Times New Roman"/>
                <w:b w:val="0"/>
                <w:bCs w:val="0"/>
                <w:color w:val="auto"/>
                <w:sz w:val="22"/>
                <w:szCs w:val="22"/>
              </w:rPr>
              <w:t>水量</w:t>
            </w:r>
            <w:r>
              <w:rPr>
                <w:rFonts w:hint="eastAsia" w:ascii="Times New Roman" w:hAnsi="Times New Roman" w:cs="Times New Roman"/>
                <w:b w:val="0"/>
                <w:bCs w:val="0"/>
                <w:color w:val="auto"/>
                <w:sz w:val="22"/>
                <w:szCs w:val="22"/>
                <w:lang w:val="en-US" w:eastAsia="zh-CN"/>
              </w:rPr>
              <w:t>核</w:t>
            </w:r>
            <w:r>
              <w:rPr>
                <w:rFonts w:hint="default" w:ascii="Times New Roman" w:hAnsi="Times New Roman" w:cs="Times New Roman"/>
                <w:b w:val="0"/>
                <w:bCs w:val="0"/>
                <w:color w:val="auto"/>
                <w:sz w:val="22"/>
                <w:szCs w:val="22"/>
              </w:rPr>
              <w:t>算表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789"/>
              <w:gridCol w:w="1192"/>
              <w:gridCol w:w="1070"/>
              <w:gridCol w:w="1070"/>
              <w:gridCol w:w="1070"/>
              <w:gridCol w:w="1070"/>
              <w:gridCol w:w="1070"/>
            </w:tblGrid>
            <w:tr w14:paraId="5DAE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00" w:type="pct"/>
                  <w:vMerge w:val="restart"/>
                  <w:noWrap w:val="0"/>
                  <w:vAlign w:val="center"/>
                </w:tcPr>
                <w:p w14:paraId="7B8CDD5F">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类别</w:t>
                  </w:r>
                </w:p>
              </w:tc>
              <w:tc>
                <w:tcPr>
                  <w:tcW w:w="567" w:type="pct"/>
                  <w:vMerge w:val="restart"/>
                  <w:noWrap w:val="0"/>
                  <w:vAlign w:val="center"/>
                </w:tcPr>
                <w:p w14:paraId="6FCBAE7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规模</w:t>
                  </w:r>
                </w:p>
              </w:tc>
              <w:tc>
                <w:tcPr>
                  <w:tcW w:w="702" w:type="pct"/>
                  <w:vMerge w:val="restart"/>
                  <w:noWrap w:val="0"/>
                  <w:vAlign w:val="center"/>
                </w:tcPr>
                <w:p w14:paraId="5F25D08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用水定额</w:t>
                  </w:r>
                </w:p>
              </w:tc>
              <w:tc>
                <w:tcPr>
                  <w:tcW w:w="549" w:type="pct"/>
                  <w:noWrap w:val="0"/>
                  <w:vAlign w:val="center"/>
                </w:tcPr>
                <w:p w14:paraId="3C757C7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用水量</w:t>
                  </w:r>
                </w:p>
              </w:tc>
              <w:tc>
                <w:tcPr>
                  <w:tcW w:w="619" w:type="pct"/>
                  <w:noWrap w:val="0"/>
                  <w:vAlign w:val="center"/>
                </w:tcPr>
                <w:p w14:paraId="02974EB0">
                  <w:pPr>
                    <w:pStyle w:val="94"/>
                    <w:bidi w:val="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损耗</w:t>
                  </w:r>
                </w:p>
              </w:tc>
              <w:tc>
                <w:tcPr>
                  <w:tcW w:w="619" w:type="pct"/>
                  <w:noWrap w:val="0"/>
                  <w:vAlign w:val="center"/>
                </w:tcPr>
                <w:p w14:paraId="28088385">
                  <w:pPr>
                    <w:pStyle w:val="94"/>
                    <w:bidi w:val="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回用水量</w:t>
                  </w:r>
                </w:p>
              </w:tc>
              <w:tc>
                <w:tcPr>
                  <w:tcW w:w="619" w:type="pct"/>
                  <w:noWrap w:val="0"/>
                  <w:vAlign w:val="center"/>
                </w:tcPr>
                <w:p w14:paraId="59F6AC33">
                  <w:pPr>
                    <w:pStyle w:val="94"/>
                    <w:bidi w:val="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补充水量</w:t>
                  </w:r>
                </w:p>
              </w:tc>
              <w:tc>
                <w:tcPr>
                  <w:tcW w:w="619" w:type="pct"/>
                  <w:noWrap w:val="0"/>
                  <w:vAlign w:val="center"/>
                </w:tcPr>
                <w:p w14:paraId="0BCA334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排水量</w:t>
                  </w:r>
                </w:p>
              </w:tc>
            </w:tr>
            <w:tr w14:paraId="55E0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00" w:type="pct"/>
                  <w:vMerge w:val="continue"/>
                  <w:noWrap w:val="0"/>
                  <w:vAlign w:val="center"/>
                </w:tcPr>
                <w:p w14:paraId="07D50C48">
                  <w:pPr>
                    <w:pStyle w:val="94"/>
                    <w:bidi w:val="0"/>
                    <w:rPr>
                      <w:rFonts w:hint="default" w:ascii="Times New Roman" w:hAnsi="Times New Roman" w:cs="Times New Roman"/>
                      <w:color w:val="auto"/>
                      <w:sz w:val="22"/>
                      <w:szCs w:val="22"/>
                    </w:rPr>
                  </w:pPr>
                </w:p>
              </w:tc>
              <w:tc>
                <w:tcPr>
                  <w:tcW w:w="567" w:type="pct"/>
                  <w:vMerge w:val="continue"/>
                  <w:noWrap w:val="0"/>
                  <w:vAlign w:val="center"/>
                </w:tcPr>
                <w:p w14:paraId="79EF31F8">
                  <w:pPr>
                    <w:pStyle w:val="94"/>
                    <w:bidi w:val="0"/>
                    <w:rPr>
                      <w:rFonts w:hint="default" w:ascii="Times New Roman" w:hAnsi="Times New Roman" w:cs="Times New Roman"/>
                      <w:color w:val="auto"/>
                      <w:sz w:val="22"/>
                      <w:szCs w:val="22"/>
                    </w:rPr>
                  </w:pPr>
                </w:p>
              </w:tc>
              <w:tc>
                <w:tcPr>
                  <w:tcW w:w="702" w:type="pct"/>
                  <w:vMerge w:val="continue"/>
                  <w:noWrap w:val="0"/>
                  <w:vAlign w:val="center"/>
                </w:tcPr>
                <w:p w14:paraId="27CBD6E8">
                  <w:pPr>
                    <w:pStyle w:val="94"/>
                    <w:bidi w:val="0"/>
                    <w:rPr>
                      <w:rFonts w:hint="default" w:ascii="Times New Roman" w:hAnsi="Times New Roman" w:cs="Times New Roman"/>
                      <w:color w:val="auto"/>
                      <w:sz w:val="22"/>
                      <w:szCs w:val="22"/>
                    </w:rPr>
                  </w:pPr>
                </w:p>
              </w:tc>
              <w:tc>
                <w:tcPr>
                  <w:tcW w:w="549" w:type="pct"/>
                  <w:noWrap w:val="0"/>
                  <w:vAlign w:val="center"/>
                </w:tcPr>
                <w:p w14:paraId="3F8C28F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/d）</w:t>
                  </w:r>
                </w:p>
              </w:tc>
              <w:tc>
                <w:tcPr>
                  <w:tcW w:w="619" w:type="pct"/>
                  <w:noWrap w:val="0"/>
                  <w:vAlign w:val="center"/>
                </w:tcPr>
                <w:p w14:paraId="63B72A1D">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/d）</w:t>
                  </w:r>
                </w:p>
              </w:tc>
              <w:tc>
                <w:tcPr>
                  <w:tcW w:w="619" w:type="pct"/>
                  <w:noWrap w:val="0"/>
                  <w:vAlign w:val="center"/>
                </w:tcPr>
                <w:p w14:paraId="608F8A65">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/d）</w:t>
                  </w:r>
                </w:p>
              </w:tc>
              <w:tc>
                <w:tcPr>
                  <w:tcW w:w="619" w:type="pct"/>
                  <w:noWrap w:val="0"/>
                  <w:vAlign w:val="center"/>
                </w:tcPr>
                <w:p w14:paraId="2C2A974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/d）</w:t>
                  </w:r>
                </w:p>
              </w:tc>
              <w:tc>
                <w:tcPr>
                  <w:tcW w:w="619" w:type="pct"/>
                  <w:noWrap w:val="0"/>
                  <w:vAlign w:val="center"/>
                </w:tcPr>
                <w:p w14:paraId="79426D8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（m</w:t>
                  </w:r>
                  <w:r>
                    <w:rPr>
                      <w:rFonts w:hint="default" w:ascii="Times New Roman" w:hAnsi="Times New Roman" w:cs="Times New Roman"/>
                      <w:color w:val="auto"/>
                      <w:sz w:val="22"/>
                      <w:szCs w:val="22"/>
                      <w:vertAlign w:val="superscript"/>
                    </w:rPr>
                    <w:t>3</w:t>
                  </w:r>
                  <w:r>
                    <w:rPr>
                      <w:rFonts w:hint="default" w:ascii="Times New Roman" w:hAnsi="Times New Roman" w:cs="Times New Roman"/>
                      <w:color w:val="auto"/>
                      <w:sz w:val="22"/>
                      <w:szCs w:val="22"/>
                    </w:rPr>
                    <w:t>/d）</w:t>
                  </w:r>
                </w:p>
              </w:tc>
            </w:tr>
            <w:tr w14:paraId="6888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pct"/>
                  <w:noWrap w:val="0"/>
                  <w:vAlign w:val="center"/>
                </w:tcPr>
                <w:p w14:paraId="68FD3B1E">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工作人员</w:t>
                  </w:r>
                </w:p>
              </w:tc>
              <w:tc>
                <w:tcPr>
                  <w:tcW w:w="567" w:type="pct"/>
                  <w:noWrap w:val="0"/>
                  <w:vAlign w:val="center"/>
                </w:tcPr>
                <w:p w14:paraId="6901675C">
                  <w:pPr>
                    <w:keepNext w:val="0"/>
                    <w:keepLines w:val="0"/>
                    <w:widowControl/>
                    <w:suppressLineNumbers w:val="0"/>
                    <w:jc w:val="center"/>
                    <w:textAlignment w:val="center"/>
                    <w:rPr>
                      <w:rFonts w:hint="default" w:ascii="Times New Roman" w:hAnsi="Times New Roman" w:cs="Times New Roman"/>
                      <w:color w:val="auto"/>
                      <w:sz w:val="22"/>
                      <w:szCs w:val="22"/>
                    </w:rPr>
                  </w:pPr>
                  <w:r>
                    <w:rPr>
                      <w:rStyle w:val="91"/>
                      <w:rFonts w:hint="eastAsia" w:ascii="Times New Roman" w:hAnsi="Times New Roman" w:eastAsia="宋体" w:cs="Times New Roman"/>
                      <w:sz w:val="22"/>
                      <w:szCs w:val="22"/>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人</w:t>
                  </w:r>
                </w:p>
              </w:tc>
              <w:tc>
                <w:tcPr>
                  <w:tcW w:w="702" w:type="pct"/>
                  <w:noWrap w:val="0"/>
                  <w:vAlign w:val="center"/>
                </w:tcPr>
                <w:p w14:paraId="2EDA2890">
                  <w:pPr>
                    <w:keepNext w:val="0"/>
                    <w:keepLines w:val="0"/>
                    <w:widowControl/>
                    <w:suppressLineNumbers w:val="0"/>
                    <w:jc w:val="center"/>
                    <w:textAlignment w:val="center"/>
                    <w:rPr>
                      <w:rFonts w:hint="default" w:ascii="Times New Roman" w:hAnsi="Times New Roman" w:cs="Times New Roman"/>
                      <w:color w:val="auto"/>
                      <w:sz w:val="22"/>
                      <w:szCs w:val="22"/>
                    </w:rPr>
                  </w:pPr>
                  <w:r>
                    <w:rPr>
                      <w:rStyle w:val="91"/>
                      <w:rFonts w:hint="eastAsia" w:ascii="Times New Roman" w:hAnsi="Times New Roman" w:eastAsia="宋体" w:cs="Times New Roman"/>
                      <w:sz w:val="22"/>
                      <w:szCs w:val="22"/>
                      <w:lang w:val="en-US" w:eastAsia="zh-CN" w:bidi="ar"/>
                    </w:rPr>
                    <w:t>1</w:t>
                  </w:r>
                  <w:r>
                    <w:rPr>
                      <w:rStyle w:val="91"/>
                      <w:rFonts w:hint="default" w:ascii="Times New Roman" w:hAnsi="Times New Roman" w:eastAsia="宋体" w:cs="Times New Roman"/>
                      <w:sz w:val="22"/>
                      <w:szCs w:val="22"/>
                      <w:lang w:val="en-US" w:eastAsia="zh-CN" w:bidi="ar"/>
                    </w:rPr>
                    <w:t>50L/</w:t>
                  </w:r>
                  <w:r>
                    <w:rPr>
                      <w:rFonts w:hint="default" w:ascii="Times New Roman" w:hAnsi="Times New Roman" w:eastAsia="宋体" w:cs="Times New Roman"/>
                      <w:i w:val="0"/>
                      <w:iCs w:val="0"/>
                      <w:color w:val="000000"/>
                      <w:kern w:val="0"/>
                      <w:sz w:val="22"/>
                      <w:szCs w:val="22"/>
                      <w:u w:val="none"/>
                      <w:lang w:val="en-US" w:eastAsia="zh-CN" w:bidi="ar"/>
                    </w:rPr>
                    <w:t>（人</w:t>
                  </w:r>
                  <w:r>
                    <w:rPr>
                      <w:rStyle w:val="91"/>
                      <w:rFonts w:hint="default" w:ascii="Times New Roman" w:hAnsi="Times New Roman" w:eastAsia="宋体" w:cs="Times New Roman"/>
                      <w:sz w:val="22"/>
                      <w:szCs w:val="22"/>
                      <w:lang w:val="en-US" w:eastAsia="zh-CN" w:bidi="ar"/>
                    </w:rPr>
                    <w:t>·d</w:t>
                  </w:r>
                  <w:r>
                    <w:rPr>
                      <w:rFonts w:hint="default" w:ascii="Times New Roman" w:hAnsi="Times New Roman" w:eastAsia="宋体" w:cs="Times New Roman"/>
                      <w:i w:val="0"/>
                      <w:iCs w:val="0"/>
                      <w:color w:val="000000"/>
                      <w:kern w:val="0"/>
                      <w:sz w:val="22"/>
                      <w:szCs w:val="22"/>
                      <w:u w:val="none"/>
                      <w:lang w:val="en-US" w:eastAsia="zh-CN" w:bidi="ar"/>
                    </w:rPr>
                    <w:t>）</w:t>
                  </w:r>
                </w:p>
              </w:tc>
              <w:tc>
                <w:tcPr>
                  <w:tcW w:w="549" w:type="pct"/>
                  <w:noWrap w:val="0"/>
                  <w:vAlign w:val="center"/>
                </w:tcPr>
                <w:p w14:paraId="6CF9D382">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i w:val="0"/>
                      <w:iCs w:val="0"/>
                      <w:color w:val="000000"/>
                      <w:kern w:val="0"/>
                      <w:sz w:val="22"/>
                      <w:szCs w:val="22"/>
                      <w:u w:val="none"/>
                      <w:lang w:val="en-US" w:eastAsia="zh-CN" w:bidi="ar"/>
                    </w:rPr>
                    <w:t>1.05</w:t>
                  </w:r>
                </w:p>
              </w:tc>
              <w:tc>
                <w:tcPr>
                  <w:tcW w:w="619" w:type="pct"/>
                  <w:noWrap w:val="0"/>
                  <w:vAlign w:val="center"/>
                </w:tcPr>
                <w:p w14:paraId="3502F41D">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eastAsia" w:ascii="Times New Roman" w:hAnsi="Times New Roman" w:eastAsia="宋体" w:cs="Times New Roman"/>
                      <w:i w:val="0"/>
                      <w:iCs w:val="0"/>
                      <w:color w:val="000000"/>
                      <w:kern w:val="0"/>
                      <w:sz w:val="22"/>
                      <w:szCs w:val="22"/>
                      <w:u w:val="none"/>
                      <w:lang w:val="en-US" w:eastAsia="zh-CN" w:bidi="ar"/>
                    </w:rPr>
                    <w:t>0.105</w:t>
                  </w:r>
                </w:p>
              </w:tc>
              <w:tc>
                <w:tcPr>
                  <w:tcW w:w="619" w:type="pct"/>
                  <w:noWrap w:val="0"/>
                  <w:vAlign w:val="center"/>
                </w:tcPr>
                <w:p w14:paraId="51A8DE2A">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619" w:type="pct"/>
                  <w:noWrap w:val="0"/>
                  <w:vAlign w:val="center"/>
                </w:tcPr>
                <w:p w14:paraId="62F2ED25">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eastAsia" w:ascii="Times New Roman" w:hAnsi="Times New Roman" w:eastAsia="宋体" w:cs="Times New Roman"/>
                      <w:i w:val="0"/>
                      <w:iCs w:val="0"/>
                      <w:color w:val="000000"/>
                      <w:kern w:val="0"/>
                      <w:sz w:val="22"/>
                      <w:szCs w:val="22"/>
                      <w:u w:val="none"/>
                      <w:lang w:val="en-US" w:eastAsia="zh-CN" w:bidi="ar"/>
                    </w:rPr>
                    <w:t>1.05</w:t>
                  </w:r>
                </w:p>
              </w:tc>
              <w:tc>
                <w:tcPr>
                  <w:tcW w:w="619" w:type="pct"/>
                  <w:noWrap w:val="0"/>
                  <w:vAlign w:val="center"/>
                </w:tcPr>
                <w:p w14:paraId="2FE37501">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i w:val="0"/>
                      <w:iCs w:val="0"/>
                      <w:color w:val="000000"/>
                      <w:kern w:val="0"/>
                      <w:sz w:val="22"/>
                      <w:szCs w:val="22"/>
                      <w:u w:val="none"/>
                      <w:lang w:val="en-US" w:eastAsia="zh-CN" w:bidi="ar"/>
                    </w:rPr>
                    <w:t>0.945</w:t>
                  </w:r>
                </w:p>
              </w:tc>
            </w:tr>
            <w:tr w14:paraId="6EA1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pct"/>
                  <w:noWrap w:val="0"/>
                  <w:vAlign w:val="center"/>
                </w:tcPr>
                <w:p w14:paraId="483928DA">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司乘人员</w:t>
                  </w:r>
                </w:p>
              </w:tc>
              <w:tc>
                <w:tcPr>
                  <w:tcW w:w="567" w:type="pct"/>
                  <w:noWrap w:val="0"/>
                  <w:vAlign w:val="center"/>
                </w:tcPr>
                <w:p w14:paraId="799CD055">
                  <w:pPr>
                    <w:keepNext w:val="0"/>
                    <w:keepLines w:val="0"/>
                    <w:widowControl/>
                    <w:suppressLineNumbers w:val="0"/>
                    <w:jc w:val="center"/>
                    <w:textAlignment w:val="center"/>
                    <w:rPr>
                      <w:rStyle w:val="91"/>
                      <w:rFonts w:hint="default" w:ascii="Times New Roman" w:hAnsi="Times New Roman" w:eastAsia="宋体" w:cs="Times New Roman"/>
                      <w:sz w:val="22"/>
                      <w:szCs w:val="22"/>
                      <w:lang w:val="en-US" w:eastAsia="zh-CN" w:bidi="ar"/>
                    </w:rPr>
                  </w:pPr>
                  <w:r>
                    <w:rPr>
                      <w:rStyle w:val="91"/>
                      <w:rFonts w:hint="eastAsia" w:ascii="Times New Roman" w:hAnsi="Times New Roman" w:eastAsia="宋体" w:cs="Times New Roman"/>
                      <w:sz w:val="22"/>
                      <w:szCs w:val="22"/>
                      <w:lang w:val="en-US" w:eastAsia="zh-CN" w:bidi="ar"/>
                    </w:rPr>
                    <w:t>390人</w:t>
                  </w:r>
                </w:p>
              </w:tc>
              <w:tc>
                <w:tcPr>
                  <w:tcW w:w="702" w:type="pct"/>
                  <w:noWrap w:val="0"/>
                  <w:vAlign w:val="center"/>
                </w:tcPr>
                <w:p w14:paraId="486E3AE8">
                  <w:pPr>
                    <w:keepNext w:val="0"/>
                    <w:keepLines w:val="0"/>
                    <w:widowControl/>
                    <w:suppressLineNumbers w:val="0"/>
                    <w:jc w:val="center"/>
                    <w:textAlignment w:val="center"/>
                    <w:rPr>
                      <w:rStyle w:val="91"/>
                      <w:rFonts w:hint="eastAsia" w:ascii="Times New Roman" w:hAnsi="Times New Roman" w:eastAsia="宋体" w:cs="Times New Roman"/>
                      <w:sz w:val="22"/>
                      <w:szCs w:val="22"/>
                      <w:lang w:val="en-US" w:eastAsia="zh-CN" w:bidi="ar"/>
                    </w:rPr>
                  </w:pPr>
                  <w:r>
                    <w:rPr>
                      <w:rStyle w:val="91"/>
                      <w:rFonts w:hint="default" w:ascii="Times New Roman" w:hAnsi="Times New Roman" w:eastAsia="宋体" w:cs="Times New Roman"/>
                      <w:sz w:val="22"/>
                      <w:szCs w:val="22"/>
                      <w:lang w:val="en-US" w:eastAsia="zh-CN" w:bidi="ar"/>
                    </w:rPr>
                    <w:t>5L/</w:t>
                  </w:r>
                  <w:r>
                    <w:rPr>
                      <w:rFonts w:hint="default" w:ascii="Times New Roman" w:hAnsi="Times New Roman" w:eastAsia="宋体" w:cs="Times New Roman"/>
                      <w:i w:val="0"/>
                      <w:iCs w:val="0"/>
                      <w:color w:val="000000"/>
                      <w:kern w:val="0"/>
                      <w:sz w:val="22"/>
                      <w:szCs w:val="22"/>
                      <w:u w:val="none"/>
                      <w:lang w:val="en-US" w:eastAsia="zh-CN" w:bidi="ar"/>
                    </w:rPr>
                    <w:t>（人</w:t>
                  </w:r>
                  <w:r>
                    <w:rPr>
                      <w:rStyle w:val="91"/>
                      <w:rFonts w:hint="default" w:ascii="Times New Roman" w:hAnsi="Times New Roman" w:eastAsia="宋体" w:cs="Times New Roman"/>
                      <w:sz w:val="22"/>
                      <w:szCs w:val="22"/>
                      <w:lang w:val="en-US" w:eastAsia="zh-CN" w:bidi="ar"/>
                    </w:rPr>
                    <w:t>·d</w:t>
                  </w:r>
                  <w:r>
                    <w:rPr>
                      <w:rFonts w:hint="default" w:ascii="Times New Roman" w:hAnsi="Times New Roman" w:eastAsia="宋体" w:cs="Times New Roman"/>
                      <w:i w:val="0"/>
                      <w:iCs w:val="0"/>
                      <w:color w:val="000000"/>
                      <w:kern w:val="0"/>
                      <w:sz w:val="22"/>
                      <w:szCs w:val="22"/>
                      <w:u w:val="none"/>
                      <w:lang w:val="en-US" w:eastAsia="zh-CN" w:bidi="ar"/>
                    </w:rPr>
                    <w:t>）</w:t>
                  </w:r>
                </w:p>
              </w:tc>
              <w:tc>
                <w:tcPr>
                  <w:tcW w:w="549" w:type="pct"/>
                  <w:noWrap w:val="0"/>
                  <w:vAlign w:val="center"/>
                </w:tcPr>
                <w:p w14:paraId="32FA78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1.95</w:t>
                  </w:r>
                </w:p>
              </w:tc>
              <w:tc>
                <w:tcPr>
                  <w:tcW w:w="619" w:type="pct"/>
                  <w:noWrap w:val="0"/>
                  <w:vAlign w:val="center"/>
                </w:tcPr>
                <w:p w14:paraId="0D4EF9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0.195</w:t>
                  </w:r>
                </w:p>
              </w:tc>
              <w:tc>
                <w:tcPr>
                  <w:tcW w:w="619" w:type="pct"/>
                  <w:noWrap w:val="0"/>
                  <w:vAlign w:val="center"/>
                </w:tcPr>
                <w:p w14:paraId="696DEE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c>
                <w:tcPr>
                  <w:tcW w:w="619" w:type="pct"/>
                  <w:noWrap w:val="0"/>
                  <w:vAlign w:val="center"/>
                </w:tcPr>
                <w:p w14:paraId="5302C5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1.95</w:t>
                  </w:r>
                </w:p>
              </w:tc>
              <w:tc>
                <w:tcPr>
                  <w:tcW w:w="619" w:type="pct"/>
                  <w:noWrap w:val="0"/>
                  <w:vAlign w:val="center"/>
                </w:tcPr>
                <w:p w14:paraId="279EDD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1.755</w:t>
                  </w:r>
                </w:p>
              </w:tc>
            </w:tr>
            <w:tr w14:paraId="65EB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pct"/>
                  <w:shd w:val="clear" w:color="auto" w:fill="auto"/>
                  <w:noWrap w:val="0"/>
                  <w:vAlign w:val="center"/>
                </w:tcPr>
                <w:p w14:paraId="75E77C6F">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sz w:val="22"/>
                      <w:szCs w:val="22"/>
                      <w:lang w:val="en-US" w:eastAsia="zh-CN"/>
                    </w:rPr>
                    <w:t>场地</w:t>
                  </w:r>
                  <w:r>
                    <w:rPr>
                      <w:rFonts w:hint="default" w:ascii="Times New Roman" w:hAnsi="Times New Roman" w:cs="Times New Roman"/>
                      <w:color w:val="auto"/>
                      <w:sz w:val="22"/>
                      <w:szCs w:val="22"/>
                    </w:rPr>
                    <w:t>地面冲洗</w:t>
                  </w:r>
                </w:p>
              </w:tc>
              <w:tc>
                <w:tcPr>
                  <w:tcW w:w="567" w:type="pct"/>
                  <w:shd w:val="clear" w:color="auto" w:fill="auto"/>
                  <w:noWrap w:val="0"/>
                  <w:vAlign w:val="center"/>
                </w:tcPr>
                <w:p w14:paraId="64111CC1">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Style w:val="91"/>
                      <w:rFonts w:hint="default" w:ascii="Times New Roman" w:hAnsi="Times New Roman" w:cs="Times New Roman"/>
                      <w:sz w:val="22"/>
                      <w:szCs w:val="22"/>
                      <w:lang w:val="en-US" w:eastAsia="zh-CN" w:bidi="ar"/>
                    </w:rPr>
                    <w:t>90</w:t>
                  </w:r>
                  <w:r>
                    <w:rPr>
                      <w:rStyle w:val="91"/>
                      <w:rFonts w:hint="eastAsia" w:ascii="Times New Roman" w:hAnsi="Times New Roman" w:eastAsia="宋体" w:cs="Times New Roman"/>
                      <w:sz w:val="22"/>
                      <w:szCs w:val="22"/>
                      <w:lang w:val="en-US" w:eastAsia="zh-CN" w:bidi="ar"/>
                    </w:rPr>
                    <w:t>0</w:t>
                  </w:r>
                  <w:r>
                    <w:rPr>
                      <w:rStyle w:val="91"/>
                      <w:rFonts w:hint="default" w:ascii="Times New Roman" w:hAnsi="Times New Roman" w:eastAsia="宋体" w:cs="Times New Roman"/>
                      <w:sz w:val="22"/>
                      <w:szCs w:val="22"/>
                      <w:lang w:val="en-US" w:eastAsia="zh-CN" w:bidi="ar"/>
                    </w:rPr>
                    <w:t>m</w:t>
                  </w:r>
                  <w:r>
                    <w:rPr>
                      <w:rFonts w:hint="default" w:ascii="Times New Roman" w:hAnsi="Times New Roman" w:eastAsia="宋体" w:cs="Times New Roman"/>
                      <w:i w:val="0"/>
                      <w:iCs w:val="0"/>
                      <w:color w:val="000000"/>
                      <w:kern w:val="0"/>
                      <w:sz w:val="22"/>
                      <w:szCs w:val="22"/>
                      <w:u w:val="none"/>
                      <w:vertAlign w:val="superscript"/>
                      <w:lang w:val="en-US" w:eastAsia="zh-CN" w:bidi="ar"/>
                    </w:rPr>
                    <w:t>2</w:t>
                  </w:r>
                </w:p>
              </w:tc>
              <w:tc>
                <w:tcPr>
                  <w:tcW w:w="702" w:type="pct"/>
                  <w:shd w:val="clear" w:color="auto" w:fill="auto"/>
                  <w:noWrap w:val="0"/>
                  <w:vAlign w:val="center"/>
                </w:tcPr>
                <w:p w14:paraId="5E854815">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Style w:val="91"/>
                      <w:rFonts w:hint="eastAsia" w:ascii="Times New Roman" w:hAnsi="Times New Roman" w:eastAsia="宋体" w:cs="Times New Roman"/>
                      <w:sz w:val="22"/>
                      <w:szCs w:val="22"/>
                      <w:lang w:val="en-US" w:eastAsia="zh-CN" w:bidi="ar"/>
                    </w:rPr>
                    <w:t>2</w:t>
                  </w:r>
                  <w:r>
                    <w:rPr>
                      <w:rStyle w:val="91"/>
                      <w:rFonts w:hint="default" w:ascii="Times New Roman" w:hAnsi="Times New Roman" w:eastAsia="宋体" w:cs="Times New Roman"/>
                      <w:sz w:val="22"/>
                      <w:szCs w:val="22"/>
                      <w:lang w:val="en-US" w:eastAsia="zh-CN" w:bidi="ar"/>
                    </w:rPr>
                    <w:t>L/</w:t>
                  </w:r>
                  <w:r>
                    <w:rPr>
                      <w:rFonts w:hint="default" w:ascii="Times New Roman" w:hAnsi="Times New Roman" w:eastAsia="宋体" w:cs="Times New Roman"/>
                      <w:i w:val="0"/>
                      <w:iCs w:val="0"/>
                      <w:color w:val="000000"/>
                      <w:kern w:val="0"/>
                      <w:sz w:val="22"/>
                      <w:szCs w:val="22"/>
                      <w:u w:val="none"/>
                      <w:lang w:val="en-US" w:eastAsia="zh-CN" w:bidi="ar"/>
                    </w:rPr>
                    <w:t>（</w:t>
                  </w:r>
                  <w:r>
                    <w:rPr>
                      <w:rStyle w:val="91"/>
                      <w:rFonts w:hint="default" w:ascii="Times New Roman" w:hAnsi="Times New Roman" w:eastAsia="宋体" w:cs="Times New Roman"/>
                      <w:sz w:val="22"/>
                      <w:szCs w:val="22"/>
                      <w:lang w:val="en-US" w:eastAsia="zh-CN" w:bidi="ar"/>
                    </w:rPr>
                    <w:t>m</w:t>
                  </w:r>
                  <w:r>
                    <w:rPr>
                      <w:rFonts w:hint="default" w:ascii="Times New Roman" w:hAnsi="Times New Roman" w:eastAsia="宋体" w:cs="Times New Roman"/>
                      <w:i w:val="0"/>
                      <w:iCs w:val="0"/>
                      <w:color w:val="000000"/>
                      <w:kern w:val="0"/>
                      <w:sz w:val="22"/>
                      <w:szCs w:val="22"/>
                      <w:u w:val="none"/>
                      <w:vertAlign w:val="superscript"/>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·次）</w:t>
                  </w:r>
                </w:p>
              </w:tc>
              <w:tc>
                <w:tcPr>
                  <w:tcW w:w="549" w:type="pct"/>
                  <w:shd w:val="clear" w:color="auto" w:fill="auto"/>
                  <w:noWrap w:val="0"/>
                  <w:vAlign w:val="center"/>
                </w:tcPr>
                <w:p w14:paraId="632DC95F">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60</w:t>
                  </w:r>
                </w:p>
              </w:tc>
              <w:tc>
                <w:tcPr>
                  <w:tcW w:w="619" w:type="pct"/>
                  <w:shd w:val="clear" w:color="auto" w:fill="auto"/>
                  <w:noWrap w:val="0"/>
                  <w:vAlign w:val="center"/>
                </w:tcPr>
                <w:p w14:paraId="6331829A">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0.06</w:t>
                  </w:r>
                </w:p>
              </w:tc>
              <w:tc>
                <w:tcPr>
                  <w:tcW w:w="619" w:type="pct"/>
                  <w:shd w:val="clear" w:color="auto" w:fill="auto"/>
                  <w:noWrap w:val="0"/>
                  <w:vAlign w:val="center"/>
                </w:tcPr>
                <w:p w14:paraId="6871E4CA">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0</w:t>
                  </w:r>
                </w:p>
              </w:tc>
              <w:tc>
                <w:tcPr>
                  <w:tcW w:w="619" w:type="pct"/>
                  <w:shd w:val="clear" w:color="auto" w:fill="auto"/>
                  <w:noWrap w:val="0"/>
                  <w:vAlign w:val="center"/>
                </w:tcPr>
                <w:p w14:paraId="3878D794">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cs="Times New Roman"/>
                      <w:i w:val="0"/>
                      <w:iCs w:val="0"/>
                      <w:color w:val="000000"/>
                      <w:kern w:val="0"/>
                      <w:sz w:val="22"/>
                      <w:szCs w:val="22"/>
                      <w:u w:val="none"/>
                      <w:lang w:val="en-US" w:eastAsia="zh-CN" w:bidi="ar"/>
                    </w:rPr>
                    <w:t>0.60</w:t>
                  </w:r>
                </w:p>
              </w:tc>
              <w:tc>
                <w:tcPr>
                  <w:tcW w:w="619" w:type="pct"/>
                  <w:shd w:val="clear" w:color="auto" w:fill="auto"/>
                  <w:noWrap w:val="0"/>
                  <w:vAlign w:val="center"/>
                </w:tcPr>
                <w:p w14:paraId="1886361D">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0.5</w:t>
                  </w:r>
                  <w:r>
                    <w:rPr>
                      <w:rFonts w:hint="eastAsia" w:cs="Times New Roman"/>
                      <w:i w:val="0"/>
                      <w:iCs w:val="0"/>
                      <w:color w:val="000000"/>
                      <w:kern w:val="0"/>
                      <w:sz w:val="22"/>
                      <w:szCs w:val="22"/>
                      <w:u w:val="none"/>
                      <w:lang w:val="en-US" w:eastAsia="zh-CN" w:bidi="ar"/>
                    </w:rPr>
                    <w:t>4</w:t>
                  </w:r>
                </w:p>
              </w:tc>
            </w:tr>
            <w:tr w14:paraId="0436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pct"/>
                  <w:shd w:val="clear" w:color="auto" w:fill="auto"/>
                  <w:noWrap w:val="0"/>
                  <w:vAlign w:val="center"/>
                </w:tcPr>
                <w:p w14:paraId="781CEC07">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kern w:val="0"/>
                      <w:sz w:val="22"/>
                      <w:szCs w:val="22"/>
                      <w:lang w:val="en-US" w:eastAsia="zh-CN" w:bidi="ar-SA"/>
                    </w:rPr>
                    <w:t>车辆冲洗</w:t>
                  </w:r>
                </w:p>
              </w:tc>
              <w:tc>
                <w:tcPr>
                  <w:tcW w:w="567" w:type="pct"/>
                  <w:shd w:val="clear" w:color="auto" w:fill="auto"/>
                  <w:noWrap w:val="0"/>
                  <w:vAlign w:val="center"/>
                </w:tcPr>
                <w:p w14:paraId="0D749647">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cs="Times New Roman"/>
                      <w:i w:val="0"/>
                      <w:iCs w:val="0"/>
                      <w:color w:val="000000"/>
                      <w:kern w:val="0"/>
                      <w:sz w:val="22"/>
                      <w:szCs w:val="22"/>
                      <w:u w:val="none"/>
                      <w:lang w:val="en-US" w:eastAsia="zh-CN" w:bidi="ar"/>
                    </w:rPr>
                    <w:t>3</w:t>
                  </w:r>
                  <w:r>
                    <w:rPr>
                      <w:rFonts w:hint="eastAsia" w:ascii="Times New Roman" w:hAnsi="Times New Roman" w:eastAsia="宋体" w:cs="Times New Roman"/>
                      <w:i w:val="0"/>
                      <w:iCs w:val="0"/>
                      <w:color w:val="000000"/>
                      <w:kern w:val="0"/>
                      <w:sz w:val="22"/>
                      <w:szCs w:val="22"/>
                      <w:u w:val="none"/>
                      <w:lang w:val="en-US" w:eastAsia="zh-CN" w:bidi="ar"/>
                    </w:rPr>
                    <w:t>0辆</w:t>
                  </w:r>
                  <w:r>
                    <w:rPr>
                      <w:rFonts w:hint="default" w:ascii="Times New Roman" w:hAnsi="Times New Roman" w:eastAsia="宋体" w:cs="Times New Roman"/>
                      <w:i w:val="0"/>
                      <w:iCs w:val="0"/>
                      <w:color w:val="000000"/>
                      <w:kern w:val="0"/>
                      <w:sz w:val="22"/>
                      <w:szCs w:val="22"/>
                      <w:u w:val="none"/>
                      <w:lang w:val="en-US" w:eastAsia="zh-CN" w:bidi="ar"/>
                    </w:rPr>
                    <w:t>次</w:t>
                  </w:r>
                </w:p>
              </w:tc>
              <w:tc>
                <w:tcPr>
                  <w:tcW w:w="702" w:type="pct"/>
                  <w:shd w:val="clear" w:color="auto" w:fill="auto"/>
                  <w:noWrap w:val="0"/>
                  <w:vAlign w:val="center"/>
                </w:tcPr>
                <w:p w14:paraId="63AAD7D0">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0L/辆·次</w:t>
                  </w:r>
                </w:p>
              </w:tc>
              <w:tc>
                <w:tcPr>
                  <w:tcW w:w="549" w:type="pct"/>
                  <w:shd w:val="clear" w:color="auto" w:fill="auto"/>
                  <w:noWrap w:val="0"/>
                  <w:vAlign w:val="center"/>
                </w:tcPr>
                <w:p w14:paraId="747CEB37">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cs="Times New Roman"/>
                      <w:i w:val="0"/>
                      <w:iCs w:val="0"/>
                      <w:color w:val="000000"/>
                      <w:kern w:val="0"/>
                      <w:sz w:val="22"/>
                      <w:szCs w:val="22"/>
                      <w:u w:val="none"/>
                      <w:lang w:val="en-US" w:eastAsia="zh-CN" w:bidi="ar"/>
                    </w:rPr>
                    <w:t>0.6</w:t>
                  </w:r>
                </w:p>
              </w:tc>
              <w:tc>
                <w:tcPr>
                  <w:tcW w:w="619" w:type="pct"/>
                  <w:shd w:val="clear" w:color="auto" w:fill="auto"/>
                  <w:noWrap w:val="0"/>
                  <w:vAlign w:val="center"/>
                </w:tcPr>
                <w:p w14:paraId="2ECF584C">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cs="Times New Roman"/>
                      <w:i w:val="0"/>
                      <w:iCs w:val="0"/>
                      <w:color w:val="000000"/>
                      <w:kern w:val="0"/>
                      <w:sz w:val="22"/>
                      <w:szCs w:val="22"/>
                      <w:u w:val="none"/>
                      <w:lang w:val="en-US" w:eastAsia="zh-CN" w:bidi="ar"/>
                    </w:rPr>
                    <w:t>0.06</w:t>
                  </w:r>
                </w:p>
              </w:tc>
              <w:tc>
                <w:tcPr>
                  <w:tcW w:w="619" w:type="pct"/>
                  <w:shd w:val="clear" w:color="auto" w:fill="auto"/>
                  <w:noWrap w:val="0"/>
                  <w:vAlign w:val="center"/>
                </w:tcPr>
                <w:p w14:paraId="0F554A14">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cs="Times New Roman"/>
                      <w:i w:val="0"/>
                      <w:iCs w:val="0"/>
                      <w:color w:val="000000"/>
                      <w:kern w:val="0"/>
                      <w:sz w:val="22"/>
                      <w:szCs w:val="22"/>
                      <w:u w:val="none"/>
                      <w:lang w:val="en-US" w:eastAsia="zh-CN" w:bidi="ar"/>
                    </w:rPr>
                    <w:t>0.02</w:t>
                  </w:r>
                </w:p>
              </w:tc>
              <w:tc>
                <w:tcPr>
                  <w:tcW w:w="619" w:type="pct"/>
                  <w:shd w:val="clear" w:color="auto" w:fill="auto"/>
                  <w:noWrap w:val="0"/>
                  <w:vAlign w:val="center"/>
                </w:tcPr>
                <w:p w14:paraId="7F210355">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cs="Times New Roman"/>
                      <w:i w:val="0"/>
                      <w:iCs w:val="0"/>
                      <w:color w:val="000000"/>
                      <w:kern w:val="0"/>
                      <w:sz w:val="22"/>
                      <w:szCs w:val="22"/>
                      <w:u w:val="none"/>
                      <w:lang w:val="en-US" w:eastAsia="zh-CN" w:bidi="ar"/>
                    </w:rPr>
                    <w:t>0.08</w:t>
                  </w:r>
                </w:p>
              </w:tc>
              <w:tc>
                <w:tcPr>
                  <w:tcW w:w="619" w:type="pct"/>
                  <w:shd w:val="clear" w:color="auto" w:fill="auto"/>
                  <w:noWrap w:val="0"/>
                  <w:vAlign w:val="center"/>
                </w:tcPr>
                <w:p w14:paraId="7BBF108D">
                  <w:pPr>
                    <w:keepNext w:val="0"/>
                    <w:keepLines w:val="0"/>
                    <w:widowControl/>
                    <w:suppressLineNumbers w:val="0"/>
                    <w:jc w:val="center"/>
                    <w:textAlignment w:val="center"/>
                    <w:rPr>
                      <w:rFonts w:hint="default" w:ascii="Times New Roman" w:hAnsi="Times New Roman" w:eastAsia="宋体" w:cs="Times New Roman"/>
                      <w:color w:val="auto"/>
                      <w:kern w:val="2"/>
                      <w:sz w:val="22"/>
                      <w:szCs w:val="22"/>
                      <w:lang w:val="en-US" w:eastAsia="zh-CN" w:bidi="ar-SA"/>
                    </w:rPr>
                  </w:pPr>
                  <w:r>
                    <w:rPr>
                      <w:rFonts w:hint="eastAsia" w:cs="Times New Roman"/>
                      <w:i w:val="0"/>
                      <w:iCs w:val="0"/>
                      <w:color w:val="000000"/>
                      <w:kern w:val="0"/>
                      <w:sz w:val="22"/>
                      <w:szCs w:val="22"/>
                      <w:u w:val="none"/>
                      <w:lang w:val="en-US" w:eastAsia="zh-CN" w:bidi="ar"/>
                    </w:rPr>
                    <w:t>0.02</w:t>
                  </w:r>
                </w:p>
              </w:tc>
            </w:tr>
            <w:tr w14:paraId="7AD0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970" w:type="pct"/>
                  <w:gridSpan w:val="3"/>
                  <w:noWrap w:val="0"/>
                  <w:vAlign w:val="center"/>
                </w:tcPr>
                <w:p w14:paraId="1677652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总计</w:t>
                  </w:r>
                </w:p>
              </w:tc>
              <w:tc>
                <w:tcPr>
                  <w:tcW w:w="1070" w:type="dxa"/>
                  <w:noWrap w:val="0"/>
                  <w:vAlign w:val="center"/>
                </w:tcPr>
                <w:p w14:paraId="5B9425D4">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r>
                    <w:rPr>
                      <w:rFonts w:hint="eastAsia" w:cs="Times New Roman"/>
                      <w:i w:val="0"/>
                      <w:iCs w:val="0"/>
                      <w:color w:val="000000"/>
                      <w:kern w:val="0"/>
                      <w:sz w:val="22"/>
                      <w:szCs w:val="22"/>
                      <w:u w:val="none"/>
                      <w:lang w:val="en-US" w:eastAsia="zh-CN" w:bidi="ar"/>
                    </w:rPr>
                    <w:t>20</w:t>
                  </w:r>
                </w:p>
              </w:tc>
              <w:tc>
                <w:tcPr>
                  <w:tcW w:w="1070" w:type="dxa"/>
                  <w:noWrap w:val="0"/>
                  <w:vAlign w:val="center"/>
                </w:tcPr>
                <w:p w14:paraId="45322FC1">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0.4</w:t>
                  </w:r>
                  <w:r>
                    <w:rPr>
                      <w:rFonts w:hint="eastAsia" w:cs="Times New Roman"/>
                      <w:i w:val="0"/>
                      <w:iCs w:val="0"/>
                      <w:color w:val="000000"/>
                      <w:kern w:val="0"/>
                      <w:sz w:val="22"/>
                      <w:szCs w:val="22"/>
                      <w:u w:val="none"/>
                      <w:lang w:val="en-US" w:eastAsia="zh-CN" w:bidi="ar"/>
                    </w:rPr>
                    <w:t>2</w:t>
                  </w:r>
                </w:p>
              </w:tc>
              <w:tc>
                <w:tcPr>
                  <w:tcW w:w="1070" w:type="dxa"/>
                  <w:noWrap w:val="0"/>
                  <w:vAlign w:val="center"/>
                </w:tcPr>
                <w:p w14:paraId="0024DDF8">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eastAsia" w:cs="Times New Roman"/>
                      <w:i w:val="0"/>
                      <w:iCs w:val="0"/>
                      <w:color w:val="000000"/>
                      <w:kern w:val="0"/>
                      <w:sz w:val="22"/>
                      <w:szCs w:val="22"/>
                      <w:u w:val="none"/>
                      <w:lang w:val="en-US" w:eastAsia="zh-CN" w:bidi="ar"/>
                    </w:rPr>
                    <w:t>0.02</w:t>
                  </w:r>
                </w:p>
              </w:tc>
              <w:tc>
                <w:tcPr>
                  <w:tcW w:w="1070" w:type="dxa"/>
                  <w:noWrap w:val="0"/>
                  <w:vAlign w:val="center"/>
                </w:tcPr>
                <w:p w14:paraId="07E98E0F">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w:t>
                  </w:r>
                  <w:r>
                    <w:rPr>
                      <w:rFonts w:hint="eastAsia" w:cs="Times New Roman"/>
                      <w:i w:val="0"/>
                      <w:iCs w:val="0"/>
                      <w:color w:val="000000"/>
                      <w:kern w:val="0"/>
                      <w:sz w:val="22"/>
                      <w:szCs w:val="22"/>
                      <w:u w:val="none"/>
                      <w:lang w:val="en-US" w:eastAsia="zh-CN" w:bidi="ar"/>
                    </w:rPr>
                    <w:t>8</w:t>
                  </w:r>
                </w:p>
              </w:tc>
              <w:tc>
                <w:tcPr>
                  <w:tcW w:w="1070" w:type="dxa"/>
                  <w:noWrap w:val="0"/>
                  <w:vAlign w:val="center"/>
                </w:tcPr>
                <w:p w14:paraId="5CCC6C92">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3.</w:t>
                  </w:r>
                  <w:r>
                    <w:rPr>
                      <w:rFonts w:hint="eastAsia" w:cs="Times New Roman"/>
                      <w:i w:val="0"/>
                      <w:iCs w:val="0"/>
                      <w:color w:val="000000"/>
                      <w:kern w:val="0"/>
                      <w:sz w:val="22"/>
                      <w:szCs w:val="22"/>
                      <w:u w:val="none"/>
                      <w:lang w:val="en-US" w:eastAsia="zh-CN" w:bidi="ar"/>
                    </w:rPr>
                    <w:t>26</w:t>
                  </w:r>
                </w:p>
              </w:tc>
            </w:tr>
          </w:tbl>
          <w:p w14:paraId="26E8F821">
            <w:pPr>
              <w:pStyle w:val="7"/>
              <w:rPr>
                <w:rFonts w:hint="default" w:ascii="Times New Roman" w:hAnsi="Times New Roman" w:cs="Times New Roman"/>
                <w:color w:val="auto"/>
                <w:sz w:val="26"/>
                <w:szCs w:val="26"/>
              </w:rPr>
            </w:pPr>
            <w:r>
              <w:rPr>
                <w:rFonts w:hint="default" w:ascii="Times New Roman" w:hAnsi="Times New Roman" w:cs="Times New Roman"/>
                <w:color w:val="auto"/>
                <w:sz w:val="26"/>
                <w:szCs w:val="26"/>
              </w:rPr>
              <w:pict>
                <v:shape id="_x0000_s2050" o:spid="_x0000_s2050" o:spt="75" type="#_x0000_t75" style="position:absolute;left:0pt;margin-left:0.95pt;margin-top:6.45pt;height:174.85pt;width:397.15pt;z-index:251668480;mso-width-relative:page;mso-height-relative:page;" o:ole="t" filled="f" o:preferrelative="t" stroked="f" coordsize="21600,21600">
                  <v:path/>
                  <v:fill on="f" focussize="0,0"/>
                  <v:stroke on="f"/>
                  <v:imagedata r:id="rId9" o:title=""/>
                  <o:lock v:ext="edit" aspectratio="f"/>
                </v:shape>
                <o:OLEObject Type="Embed" ProgID="Visio.Drawing.11" ShapeID="_x0000_s2050" DrawAspect="Content" ObjectID="_1468075725" r:id="rId8">
                  <o:LockedField>false</o:LockedField>
                </o:OLEObject>
              </w:pict>
            </w:r>
          </w:p>
          <w:p w14:paraId="2D62710E">
            <w:pPr>
              <w:pStyle w:val="7"/>
              <w:rPr>
                <w:rFonts w:hint="default" w:ascii="Times New Roman" w:hAnsi="Times New Roman" w:cs="Times New Roman"/>
                <w:color w:val="auto"/>
                <w:sz w:val="26"/>
                <w:szCs w:val="26"/>
              </w:rPr>
            </w:pPr>
          </w:p>
          <w:p w14:paraId="62C02842">
            <w:pPr>
              <w:pStyle w:val="7"/>
              <w:rPr>
                <w:rFonts w:hint="default" w:ascii="Times New Roman" w:hAnsi="Times New Roman" w:cs="Times New Roman"/>
                <w:color w:val="auto"/>
                <w:sz w:val="26"/>
                <w:szCs w:val="26"/>
              </w:rPr>
            </w:pPr>
          </w:p>
          <w:p w14:paraId="1C8A6E8D">
            <w:pPr>
              <w:pStyle w:val="7"/>
              <w:rPr>
                <w:rFonts w:hint="default" w:ascii="Times New Roman" w:hAnsi="Times New Roman" w:cs="Times New Roman"/>
                <w:color w:val="auto"/>
                <w:sz w:val="26"/>
                <w:szCs w:val="26"/>
              </w:rPr>
            </w:pPr>
          </w:p>
          <w:p w14:paraId="3892EC30">
            <w:pPr>
              <w:pStyle w:val="7"/>
              <w:rPr>
                <w:rFonts w:hint="default" w:ascii="Times New Roman" w:hAnsi="Times New Roman" w:cs="Times New Roman"/>
                <w:color w:val="auto"/>
                <w:sz w:val="26"/>
                <w:szCs w:val="26"/>
              </w:rPr>
            </w:pPr>
          </w:p>
          <w:p w14:paraId="4F14E91E">
            <w:pPr>
              <w:pStyle w:val="7"/>
              <w:rPr>
                <w:rFonts w:hint="default" w:ascii="Times New Roman" w:hAnsi="Times New Roman" w:cs="Times New Roman"/>
                <w:color w:val="auto"/>
                <w:sz w:val="26"/>
                <w:szCs w:val="26"/>
              </w:rPr>
            </w:pPr>
          </w:p>
          <w:p w14:paraId="322DD50D">
            <w:pPr>
              <w:pStyle w:val="7"/>
              <w:rPr>
                <w:rFonts w:hint="default" w:ascii="Times New Roman" w:hAnsi="Times New Roman" w:cs="Times New Roman"/>
                <w:color w:val="auto"/>
                <w:sz w:val="26"/>
                <w:szCs w:val="26"/>
              </w:rPr>
            </w:pPr>
          </w:p>
          <w:p w14:paraId="5927A180">
            <w:pPr>
              <w:pStyle w:val="7"/>
              <w:rPr>
                <w:rFonts w:hint="default" w:ascii="Times New Roman" w:hAnsi="Times New Roman" w:cs="Times New Roman"/>
                <w:color w:val="auto"/>
                <w:sz w:val="26"/>
                <w:szCs w:val="26"/>
              </w:rPr>
            </w:pPr>
          </w:p>
          <w:p w14:paraId="58E10142">
            <w:pPr>
              <w:pStyle w:val="7"/>
              <w:jc w:val="center"/>
              <w:rPr>
                <w:rFonts w:hint="default" w:ascii="Times New Roman" w:hAnsi="Times New Roman" w:cs="Times New Roman"/>
                <w:color w:val="auto"/>
                <w:sz w:val="26"/>
                <w:szCs w:val="26"/>
              </w:rPr>
            </w:pPr>
            <w:r>
              <w:rPr>
                <w:rFonts w:hint="default" w:ascii="Times New Roman" w:hAnsi="Times New Roman" w:cs="Times New Roman"/>
                <w:b w:val="0"/>
                <w:bCs w:val="0"/>
                <w:color w:val="auto"/>
                <w:sz w:val="22"/>
                <w:szCs w:val="22"/>
              </w:rPr>
              <w:t>图2</w:t>
            </w:r>
            <w:r>
              <w:rPr>
                <w:rFonts w:hint="default" w:ascii="Times New Roman" w:hAnsi="Times New Roman" w:cs="Times New Roman"/>
                <w:b w:val="0"/>
                <w:bCs w:val="0"/>
                <w:color w:val="auto"/>
                <w:sz w:val="22"/>
                <w:szCs w:val="22"/>
                <w:lang w:val="en-US" w:eastAsia="zh-CN"/>
              </w:rPr>
              <w:t>.</w:t>
            </w:r>
            <w:r>
              <w:rPr>
                <w:rFonts w:hint="eastAsia" w:ascii="Times New Roman" w:hAnsi="Times New Roman" w:cs="Times New Roman"/>
                <w:b w:val="0"/>
                <w:bCs w:val="0"/>
                <w:color w:val="auto"/>
                <w:sz w:val="22"/>
                <w:szCs w:val="22"/>
                <w:lang w:val="en-US" w:eastAsia="zh-CN"/>
              </w:rPr>
              <w:t>7</w:t>
            </w:r>
            <w:r>
              <w:rPr>
                <w:rFonts w:hint="default" w:ascii="Times New Roman" w:hAnsi="Times New Roman" w:cs="Times New Roman"/>
                <w:b w:val="0"/>
                <w:bCs w:val="0"/>
                <w:color w:val="auto"/>
                <w:sz w:val="22"/>
                <w:szCs w:val="22"/>
              </w:rPr>
              <w:t xml:space="preserve">-1 </w:t>
            </w:r>
            <w:r>
              <w:rPr>
                <w:rFonts w:hint="eastAsia" w:ascii="Times New Roman" w:hAnsi="Times New Roman" w:cs="Times New Roman"/>
                <w:b w:val="0"/>
                <w:bCs w:val="0"/>
                <w:color w:val="auto"/>
                <w:sz w:val="22"/>
                <w:szCs w:val="22"/>
                <w:lang w:val="en-US" w:eastAsia="zh-CN"/>
              </w:rPr>
              <w:t xml:space="preserve"> </w:t>
            </w:r>
            <w:r>
              <w:rPr>
                <w:rFonts w:hint="default" w:ascii="Times New Roman" w:hAnsi="Times New Roman" w:cs="Times New Roman"/>
                <w:b w:val="0"/>
                <w:bCs w:val="0"/>
                <w:color w:val="auto"/>
                <w:sz w:val="22"/>
                <w:szCs w:val="22"/>
              </w:rPr>
              <w:t>项目</w:t>
            </w:r>
            <w:r>
              <w:rPr>
                <w:rFonts w:hint="eastAsia" w:ascii="Times New Roman" w:hAnsi="Times New Roman" w:cs="Times New Roman"/>
                <w:b w:val="0"/>
                <w:bCs w:val="0"/>
                <w:color w:val="auto"/>
                <w:sz w:val="22"/>
                <w:szCs w:val="22"/>
                <w:lang w:val="en-US" w:eastAsia="zh-CN"/>
              </w:rPr>
              <w:t>水</w:t>
            </w:r>
            <w:r>
              <w:rPr>
                <w:rFonts w:hint="default" w:ascii="Times New Roman" w:hAnsi="Times New Roman" w:cs="Times New Roman"/>
                <w:b w:val="0"/>
                <w:bCs w:val="0"/>
                <w:color w:val="auto"/>
                <w:sz w:val="22"/>
                <w:szCs w:val="22"/>
              </w:rPr>
              <w:t>平衡图（m</w:t>
            </w:r>
            <w:r>
              <w:rPr>
                <w:rFonts w:hint="default" w:ascii="Times New Roman" w:hAnsi="Times New Roman" w:cs="Times New Roman"/>
                <w:b w:val="0"/>
                <w:bCs w:val="0"/>
                <w:color w:val="auto"/>
                <w:sz w:val="22"/>
                <w:szCs w:val="22"/>
                <w:vertAlign w:val="superscript"/>
              </w:rPr>
              <w:t>3</w:t>
            </w:r>
            <w:r>
              <w:rPr>
                <w:rFonts w:hint="default" w:ascii="Times New Roman" w:hAnsi="Times New Roman" w:cs="Times New Roman"/>
                <w:b w:val="0"/>
                <w:bCs w:val="0"/>
                <w:color w:val="auto"/>
                <w:sz w:val="22"/>
                <w:szCs w:val="22"/>
              </w:rPr>
              <w:t>/</w:t>
            </w:r>
            <w:r>
              <w:rPr>
                <w:rFonts w:hint="default" w:ascii="Times New Roman" w:hAnsi="Times New Roman" w:cs="Times New Roman"/>
                <w:b w:val="0"/>
                <w:bCs w:val="0"/>
                <w:color w:val="auto"/>
                <w:sz w:val="22"/>
                <w:szCs w:val="22"/>
                <w:lang w:val="en-US" w:eastAsia="zh-CN"/>
              </w:rPr>
              <w:t>d</w:t>
            </w:r>
            <w:r>
              <w:rPr>
                <w:rFonts w:hint="default" w:ascii="Times New Roman" w:hAnsi="Times New Roman" w:cs="Times New Roman"/>
                <w:b w:val="0"/>
                <w:bCs w:val="0"/>
                <w:color w:val="auto"/>
                <w:sz w:val="22"/>
                <w:szCs w:val="22"/>
              </w:rPr>
              <w:t>）</w:t>
            </w:r>
          </w:p>
          <w:p w14:paraId="6E4A53CF">
            <w:pPr>
              <w:pStyle w:val="93"/>
              <w:keepNext w:val="0"/>
              <w:keepLines w:val="0"/>
              <w:pageBreakBefore w:val="0"/>
              <w:kinsoku/>
              <w:wordWrap/>
              <w:overflowPunct/>
              <w:topLinePunct w:val="0"/>
              <w:autoSpaceDE/>
              <w:autoSpaceDN/>
              <w:bidi w:val="0"/>
              <w:snapToGrid w:val="0"/>
              <w:spacing w:line="460" w:lineRule="exact"/>
              <w:ind w:left="0" w:leftChars="0" w:right="0"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3</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项目排水</w:t>
            </w:r>
          </w:p>
          <w:p w14:paraId="0C896717">
            <w:pPr>
              <w:pStyle w:val="93"/>
              <w:keepNext w:val="0"/>
              <w:keepLines w:val="0"/>
              <w:pageBreakBefore w:val="0"/>
              <w:kinsoku/>
              <w:wordWrap/>
              <w:overflowPunct/>
              <w:topLinePunct w:val="0"/>
              <w:autoSpaceDE/>
              <w:autoSpaceDN/>
              <w:bidi w:val="0"/>
              <w:snapToGrid w:val="0"/>
              <w:spacing w:line="460" w:lineRule="exact"/>
              <w:ind w:right="0" w:firstLine="520" w:firstLineChars="200"/>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eastAsia="zh-CN"/>
              </w:rPr>
              <w:t>项目排水系统采用“雨、污分流”制。</w:t>
            </w:r>
          </w:p>
          <w:p w14:paraId="56970E2A">
            <w:pPr>
              <w:pStyle w:val="7"/>
              <w:keepNext w:val="0"/>
              <w:keepLines w:val="0"/>
              <w:pageBreakBefore w:val="0"/>
              <w:kinsoku/>
              <w:wordWrap/>
              <w:overflowPunct/>
              <w:topLinePunct w:val="0"/>
              <w:autoSpaceDE/>
              <w:autoSpaceDN/>
              <w:bidi w:val="0"/>
              <w:snapToGrid w:val="0"/>
              <w:spacing w:before="0" w:after="0" w:line="460" w:lineRule="exact"/>
              <w:ind w:right="0"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eastAsia="zh-CN"/>
              </w:rPr>
              <w:t>本项目排水实行雨污分流制；项目办公生活用水</w:t>
            </w:r>
            <w:r>
              <w:rPr>
                <w:rFonts w:hint="eastAsia" w:ascii="Times New Roman" w:hAnsi="Times New Roman" w:eastAsia="宋体" w:cs="Times New Roman"/>
                <w:color w:val="auto"/>
                <w:sz w:val="26"/>
                <w:szCs w:val="26"/>
                <w:lang w:val="en-US" w:eastAsia="zh-CN"/>
              </w:rPr>
              <w:t>收集进入化粪池处理达标后接入大九污水处理厂</w:t>
            </w:r>
            <w:r>
              <w:rPr>
                <w:rFonts w:hint="eastAsia" w:cs="Times New Roman"/>
                <w:color w:val="auto"/>
                <w:sz w:val="26"/>
                <w:szCs w:val="26"/>
                <w:lang w:val="en-US" w:eastAsia="zh-CN"/>
              </w:rPr>
              <w:t>进一步</w:t>
            </w:r>
            <w:r>
              <w:rPr>
                <w:rFonts w:hint="eastAsia" w:ascii="Times New Roman" w:hAnsi="Times New Roman" w:eastAsia="宋体" w:cs="Times New Roman"/>
                <w:color w:val="auto"/>
                <w:sz w:val="26"/>
                <w:szCs w:val="26"/>
                <w:lang w:val="en-US" w:eastAsia="zh-CN"/>
              </w:rPr>
              <w:t>达标处理后排入跳蹬河后汇入长江</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场地</w:t>
            </w:r>
            <w:r>
              <w:rPr>
                <w:rFonts w:hint="eastAsia" w:ascii="Times New Roman" w:hAnsi="Times New Roman" w:eastAsia="宋体" w:cs="Times New Roman"/>
                <w:color w:val="auto"/>
                <w:sz w:val="26"/>
                <w:szCs w:val="26"/>
                <w:lang w:eastAsia="zh-CN"/>
              </w:rPr>
              <w:t>冲洗废水由厂区</w:t>
            </w:r>
            <w:r>
              <w:rPr>
                <w:rFonts w:hint="eastAsia" w:ascii="Times New Roman" w:hAnsi="Times New Roman" w:eastAsia="宋体" w:cs="Times New Roman"/>
                <w:color w:val="auto"/>
                <w:sz w:val="26"/>
                <w:szCs w:val="26"/>
                <w:lang w:val="en-US" w:eastAsia="zh-CN"/>
              </w:rPr>
              <w:t>内</w:t>
            </w:r>
            <w:r>
              <w:rPr>
                <w:rFonts w:hint="eastAsia" w:ascii="Times New Roman" w:hAnsi="Times New Roman" w:eastAsia="宋体" w:cs="Times New Roman"/>
                <w:color w:val="auto"/>
                <w:sz w:val="26"/>
                <w:szCs w:val="26"/>
                <w:lang w:eastAsia="zh-CN"/>
              </w:rPr>
              <w:t>排水沟收集进入项目</w:t>
            </w:r>
            <w:r>
              <w:rPr>
                <w:rFonts w:hint="eastAsia" w:cs="Times New Roman"/>
                <w:color w:val="auto"/>
                <w:sz w:val="26"/>
                <w:szCs w:val="26"/>
                <w:lang w:val="en-US" w:eastAsia="zh-CN"/>
              </w:rPr>
              <w:t>三段式</w:t>
            </w:r>
            <w:r>
              <w:rPr>
                <w:rFonts w:hint="eastAsia" w:ascii="Times New Roman" w:hAnsi="Times New Roman" w:eastAsia="宋体" w:cs="Times New Roman"/>
                <w:color w:val="auto"/>
                <w:sz w:val="26"/>
                <w:szCs w:val="26"/>
                <w:lang w:val="en-US" w:eastAsia="zh-CN"/>
              </w:rPr>
              <w:t>隔油</w:t>
            </w:r>
            <w:r>
              <w:rPr>
                <w:rFonts w:hint="eastAsia" w:ascii="Times New Roman" w:hAnsi="Times New Roman" w:eastAsia="宋体" w:cs="Times New Roman"/>
                <w:color w:val="auto"/>
                <w:sz w:val="26"/>
                <w:szCs w:val="26"/>
                <w:lang w:eastAsia="zh-CN"/>
              </w:rPr>
              <w:t>沉淀池</w:t>
            </w:r>
            <w:r>
              <w:rPr>
                <w:rFonts w:hint="eastAsia" w:ascii="Times New Roman" w:hAnsi="Times New Roman" w:eastAsia="宋体" w:cs="Times New Roman"/>
                <w:color w:val="auto"/>
                <w:sz w:val="26"/>
                <w:szCs w:val="26"/>
                <w:lang w:val="en-US" w:eastAsia="zh-CN"/>
              </w:rPr>
              <w:t>隔油</w:t>
            </w:r>
            <w:r>
              <w:rPr>
                <w:rFonts w:hint="eastAsia" w:ascii="Times New Roman" w:hAnsi="Times New Roman" w:eastAsia="宋体" w:cs="Times New Roman"/>
                <w:color w:val="auto"/>
                <w:sz w:val="26"/>
                <w:szCs w:val="26"/>
                <w:lang w:eastAsia="zh-CN"/>
              </w:rPr>
              <w:t>沉淀后</w:t>
            </w:r>
            <w:r>
              <w:rPr>
                <w:rFonts w:hint="eastAsia" w:ascii="Times New Roman" w:hAnsi="Times New Roman" w:eastAsia="宋体" w:cs="Times New Roman"/>
                <w:color w:val="auto"/>
                <w:sz w:val="26"/>
                <w:szCs w:val="26"/>
                <w:lang w:val="en-US" w:eastAsia="zh-CN"/>
              </w:rPr>
              <w:t>经水封井接入市政污水管网汇入大九污水处理厂进一步处理达标后排入跳蹬河后汇入长江</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洗车</w:t>
            </w:r>
            <w:r>
              <w:rPr>
                <w:rFonts w:hint="eastAsia" w:cs="Times New Roman"/>
                <w:color w:val="auto"/>
                <w:sz w:val="26"/>
                <w:szCs w:val="26"/>
                <w:lang w:val="en-US" w:eastAsia="zh-CN"/>
              </w:rPr>
              <w:t>产生的</w:t>
            </w:r>
            <w:r>
              <w:rPr>
                <w:rFonts w:hint="eastAsia" w:ascii="Times New Roman" w:hAnsi="Times New Roman" w:eastAsia="宋体" w:cs="Times New Roman"/>
                <w:color w:val="auto"/>
                <w:sz w:val="26"/>
                <w:szCs w:val="26"/>
                <w:lang w:eastAsia="zh-CN"/>
              </w:rPr>
              <w:t>废水</w:t>
            </w:r>
            <w:r>
              <w:rPr>
                <w:rFonts w:hint="eastAsia" w:cs="Times New Roman"/>
                <w:color w:val="auto"/>
                <w:sz w:val="26"/>
                <w:szCs w:val="26"/>
                <w:lang w:val="en-US" w:eastAsia="zh-CN"/>
              </w:rPr>
              <w:t>经洗车机自带的三级隔油沉淀池处理达标后回用于洗车，循环回用后定期更换</w:t>
            </w:r>
            <w:r>
              <w:rPr>
                <w:rFonts w:hint="eastAsia"/>
                <w:sz w:val="26"/>
                <w:szCs w:val="26"/>
                <w:lang w:val="en-US" w:eastAsia="zh-CN"/>
              </w:rPr>
              <w:t>后外排至加油站设置的三段式隔油沉淀池达标处理后汇入市政污水管网</w:t>
            </w:r>
            <w:r>
              <w:rPr>
                <w:rFonts w:hint="eastAsia" w:cs="Times New Roman"/>
                <w:color w:val="auto"/>
                <w:sz w:val="26"/>
                <w:szCs w:val="26"/>
                <w:lang w:val="en-US" w:eastAsia="zh-CN"/>
              </w:rPr>
              <w:t>。</w:t>
            </w:r>
          </w:p>
          <w:p w14:paraId="024E261C">
            <w:pPr>
              <w:adjustRightInd w:val="0"/>
              <w:snapToGrid w:val="0"/>
              <w:spacing w:line="460" w:lineRule="exact"/>
              <w:jc w:val="left"/>
              <w:rPr>
                <w:b/>
                <w:sz w:val="26"/>
                <w:szCs w:val="26"/>
              </w:rPr>
            </w:pPr>
            <w:r>
              <w:rPr>
                <w:b/>
                <w:sz w:val="26"/>
                <w:szCs w:val="26"/>
              </w:rPr>
              <w:t>2.</w:t>
            </w:r>
            <w:r>
              <w:rPr>
                <w:rFonts w:hint="eastAsia"/>
                <w:b/>
                <w:sz w:val="26"/>
                <w:szCs w:val="26"/>
                <w:lang w:val="en-US" w:eastAsia="zh-CN"/>
              </w:rPr>
              <w:t>8</w:t>
            </w:r>
            <w:r>
              <w:rPr>
                <w:b/>
                <w:sz w:val="26"/>
                <w:szCs w:val="26"/>
              </w:rPr>
              <w:t>厂区平面布置图</w:t>
            </w:r>
          </w:p>
          <w:p w14:paraId="29410EDD">
            <w:pPr>
              <w:adjustRightInd w:val="0"/>
              <w:snapToGrid w:val="0"/>
              <w:spacing w:line="460" w:lineRule="exact"/>
              <w:ind w:firstLine="520" w:firstLineChars="200"/>
              <w:rPr>
                <w:bCs/>
                <w:sz w:val="26"/>
                <w:szCs w:val="26"/>
              </w:rPr>
            </w:pPr>
            <w:r>
              <w:rPr>
                <w:rFonts w:hint="eastAsia"/>
                <w:bCs/>
                <w:sz w:val="26"/>
                <w:szCs w:val="26"/>
              </w:rPr>
              <w:t>加油站进出口分开设置，车辆由东</w:t>
            </w:r>
            <w:r>
              <w:rPr>
                <w:rFonts w:hint="eastAsia"/>
                <w:bCs/>
                <w:sz w:val="26"/>
                <w:szCs w:val="26"/>
                <w:lang w:val="en-US" w:eastAsia="zh-CN"/>
              </w:rPr>
              <w:t>北</w:t>
            </w:r>
            <w:r>
              <w:rPr>
                <w:rFonts w:hint="eastAsia"/>
                <w:bCs/>
                <w:sz w:val="26"/>
                <w:szCs w:val="26"/>
              </w:rPr>
              <w:t>侧驶入，</w:t>
            </w:r>
            <w:r>
              <w:rPr>
                <w:rFonts w:hint="eastAsia"/>
                <w:bCs/>
                <w:sz w:val="26"/>
                <w:szCs w:val="26"/>
                <w:lang w:val="en-US" w:eastAsia="zh-CN"/>
              </w:rPr>
              <w:t>东</w:t>
            </w:r>
            <w:r>
              <w:rPr>
                <w:rFonts w:hint="eastAsia"/>
                <w:bCs/>
                <w:sz w:val="26"/>
                <w:szCs w:val="26"/>
              </w:rPr>
              <w:t>南侧驶出。加油区位于场</w:t>
            </w:r>
            <w:r>
              <w:rPr>
                <w:rFonts w:hint="eastAsia"/>
                <w:bCs/>
                <w:sz w:val="26"/>
                <w:szCs w:val="26"/>
                <w:lang w:val="en-US" w:eastAsia="zh-CN"/>
              </w:rPr>
              <w:t>区</w:t>
            </w:r>
            <w:r>
              <w:rPr>
                <w:rFonts w:hint="eastAsia"/>
                <w:bCs/>
                <w:sz w:val="26"/>
                <w:szCs w:val="26"/>
              </w:rPr>
              <w:t>中间，设置</w:t>
            </w:r>
            <w:r>
              <w:rPr>
                <w:rFonts w:hint="eastAsia"/>
                <w:bCs/>
                <w:sz w:val="26"/>
                <w:szCs w:val="26"/>
                <w:lang w:val="en-US" w:eastAsia="zh-CN"/>
              </w:rPr>
              <w:t>6</w:t>
            </w:r>
            <w:r>
              <w:rPr>
                <w:rFonts w:hint="eastAsia"/>
                <w:bCs/>
                <w:sz w:val="26"/>
                <w:szCs w:val="26"/>
              </w:rPr>
              <w:t>个加油岛，呈矩形布置，每个加油岛上布置一台加油机，油罐区位于加油站</w:t>
            </w:r>
            <w:r>
              <w:rPr>
                <w:rFonts w:hint="eastAsia"/>
                <w:bCs/>
                <w:sz w:val="26"/>
                <w:szCs w:val="26"/>
                <w:lang w:val="en-US" w:eastAsia="zh-CN"/>
              </w:rPr>
              <w:t>中部（罩棚下方）</w:t>
            </w:r>
            <w:r>
              <w:rPr>
                <w:rFonts w:hint="eastAsia"/>
                <w:bCs/>
                <w:sz w:val="26"/>
                <w:szCs w:val="26"/>
              </w:rPr>
              <w:t>，设有4台SF双层油罐：其中有92#号汽油罐1个，95#汽油罐1个，9</w:t>
            </w:r>
            <w:r>
              <w:rPr>
                <w:rFonts w:hint="eastAsia"/>
                <w:bCs/>
                <w:sz w:val="26"/>
                <w:szCs w:val="26"/>
                <w:lang w:val="en-US" w:eastAsia="zh-CN"/>
              </w:rPr>
              <w:t>8</w:t>
            </w:r>
            <w:r>
              <w:rPr>
                <w:rFonts w:hint="eastAsia"/>
                <w:bCs/>
                <w:sz w:val="26"/>
                <w:szCs w:val="26"/>
              </w:rPr>
              <w:t>#汽油罐1个，0#柴油罐1个。油罐之间间距为0.5米，油罐安装有防溢阀。每个油罐单独设置通气管，</w:t>
            </w:r>
            <w:r>
              <w:rPr>
                <w:rFonts w:hint="eastAsia"/>
                <w:bCs/>
                <w:sz w:val="26"/>
                <w:szCs w:val="26"/>
                <w:lang w:val="en-US" w:eastAsia="zh-CN"/>
              </w:rPr>
              <w:t>位于加油站南侧卸油区旁，高度≥4m</w:t>
            </w:r>
            <w:r>
              <w:rPr>
                <w:rFonts w:hint="eastAsia"/>
                <w:bCs/>
                <w:sz w:val="26"/>
                <w:szCs w:val="26"/>
              </w:rPr>
              <w:t>，通气管口端头设置阻火器，其消防五大件、卸油停车位、密闭卸油口位于罩棚</w:t>
            </w:r>
            <w:r>
              <w:rPr>
                <w:rFonts w:hint="eastAsia"/>
                <w:bCs/>
                <w:sz w:val="26"/>
                <w:szCs w:val="26"/>
                <w:lang w:val="en-US" w:eastAsia="zh-CN"/>
              </w:rPr>
              <w:t>南</w:t>
            </w:r>
            <w:r>
              <w:rPr>
                <w:rFonts w:hint="eastAsia"/>
                <w:bCs/>
                <w:sz w:val="26"/>
                <w:szCs w:val="26"/>
              </w:rPr>
              <w:t>侧。</w:t>
            </w:r>
          </w:p>
          <w:p w14:paraId="0E05BE98">
            <w:pPr>
              <w:adjustRightInd w:val="0"/>
              <w:snapToGrid w:val="0"/>
              <w:spacing w:line="460" w:lineRule="exact"/>
              <w:ind w:firstLine="520" w:firstLineChars="200"/>
              <w:rPr>
                <w:bCs/>
                <w:sz w:val="26"/>
                <w:szCs w:val="26"/>
              </w:rPr>
            </w:pPr>
            <w:r>
              <w:rPr>
                <w:rFonts w:hint="eastAsia"/>
                <w:bCs/>
                <w:sz w:val="26"/>
                <w:szCs w:val="26"/>
              </w:rPr>
              <w:t>站房位于加油站</w:t>
            </w:r>
            <w:r>
              <w:rPr>
                <w:rFonts w:hint="eastAsia"/>
                <w:bCs/>
                <w:sz w:val="26"/>
                <w:szCs w:val="26"/>
                <w:lang w:val="en-US" w:eastAsia="zh-CN"/>
              </w:rPr>
              <w:t>西</w:t>
            </w:r>
            <w:r>
              <w:rPr>
                <w:rFonts w:hint="eastAsia"/>
                <w:bCs/>
                <w:sz w:val="26"/>
                <w:szCs w:val="26"/>
              </w:rPr>
              <w:t>侧，</w:t>
            </w:r>
            <w:r>
              <w:rPr>
                <w:rFonts w:hint="eastAsia"/>
                <w:bCs/>
                <w:sz w:val="26"/>
                <w:szCs w:val="26"/>
                <w:lang w:val="en-US" w:eastAsia="zh-CN"/>
              </w:rPr>
              <w:t>紧邻</w:t>
            </w:r>
            <w:r>
              <w:rPr>
                <w:rFonts w:hint="eastAsia"/>
                <w:bCs/>
                <w:sz w:val="26"/>
                <w:szCs w:val="26"/>
              </w:rPr>
              <w:t>罩棚，站房</w:t>
            </w:r>
            <w:r>
              <w:rPr>
                <w:rFonts w:hint="eastAsia"/>
                <w:bCs/>
                <w:sz w:val="26"/>
                <w:szCs w:val="26"/>
                <w:lang w:val="en-US" w:eastAsia="zh-CN"/>
              </w:rPr>
              <w:t>1F</w:t>
            </w:r>
            <w:r>
              <w:rPr>
                <w:rFonts w:hint="eastAsia"/>
                <w:bCs/>
                <w:sz w:val="26"/>
                <w:szCs w:val="26"/>
              </w:rPr>
              <w:t>包含办公室、便利店、</w:t>
            </w:r>
            <w:r>
              <w:rPr>
                <w:rFonts w:hint="eastAsia"/>
                <w:bCs/>
                <w:sz w:val="26"/>
                <w:szCs w:val="26"/>
                <w:lang w:val="en-US" w:eastAsia="zh-CN"/>
              </w:rPr>
              <w:t>商品</w:t>
            </w:r>
            <w:r>
              <w:rPr>
                <w:rFonts w:hint="eastAsia"/>
                <w:bCs/>
                <w:sz w:val="26"/>
                <w:szCs w:val="26"/>
              </w:rPr>
              <w:t>仓库、厕所</w:t>
            </w:r>
            <w:r>
              <w:rPr>
                <w:rFonts w:hint="eastAsia"/>
                <w:bCs/>
                <w:sz w:val="26"/>
                <w:szCs w:val="26"/>
                <w:lang w:val="en-US" w:eastAsia="zh-CN"/>
              </w:rPr>
              <w:t>及</w:t>
            </w:r>
            <w:r>
              <w:rPr>
                <w:rFonts w:hint="eastAsia"/>
                <w:bCs/>
                <w:sz w:val="26"/>
                <w:szCs w:val="26"/>
              </w:rPr>
              <w:t>加油站配电室、发电间位于站房</w:t>
            </w:r>
            <w:r>
              <w:rPr>
                <w:rFonts w:hint="eastAsia"/>
                <w:bCs/>
                <w:sz w:val="26"/>
                <w:szCs w:val="26"/>
                <w:lang w:val="en-US" w:eastAsia="zh-CN"/>
              </w:rPr>
              <w:t>南</w:t>
            </w:r>
            <w:r>
              <w:rPr>
                <w:rFonts w:hint="eastAsia"/>
                <w:bCs/>
                <w:sz w:val="26"/>
                <w:szCs w:val="26"/>
              </w:rPr>
              <w:t>面</w:t>
            </w:r>
            <w:r>
              <w:rPr>
                <w:rFonts w:hint="eastAsia"/>
                <w:bCs/>
                <w:sz w:val="26"/>
                <w:szCs w:val="26"/>
                <w:lang w:eastAsia="zh-CN"/>
              </w:rPr>
              <w:t>，</w:t>
            </w:r>
            <w:r>
              <w:rPr>
                <w:rFonts w:hint="eastAsia"/>
                <w:bCs/>
                <w:sz w:val="26"/>
                <w:szCs w:val="26"/>
              </w:rPr>
              <w:t>内部厨房采用电磁炉（无明火）</w:t>
            </w:r>
            <w:r>
              <w:rPr>
                <w:rFonts w:hint="eastAsia"/>
                <w:bCs/>
                <w:sz w:val="26"/>
                <w:szCs w:val="26"/>
                <w:lang w:eastAsia="zh-CN"/>
              </w:rPr>
              <w:t>，</w:t>
            </w:r>
            <w:r>
              <w:rPr>
                <w:rFonts w:hint="eastAsia"/>
                <w:bCs/>
                <w:sz w:val="26"/>
                <w:szCs w:val="26"/>
                <w:lang w:val="en-US" w:eastAsia="zh-CN"/>
              </w:rPr>
              <w:t>2F为员工倒班楼</w:t>
            </w:r>
            <w:r>
              <w:rPr>
                <w:rFonts w:hint="eastAsia"/>
                <w:bCs/>
                <w:sz w:val="26"/>
                <w:szCs w:val="26"/>
              </w:rPr>
              <w:t>；</w:t>
            </w:r>
            <w:r>
              <w:rPr>
                <w:rFonts w:hint="eastAsia"/>
                <w:bCs/>
                <w:sz w:val="26"/>
                <w:szCs w:val="26"/>
                <w:lang w:val="en-US" w:eastAsia="zh-CN"/>
              </w:rPr>
              <w:t>隔油池、化粪池、</w:t>
            </w:r>
            <w:r>
              <w:rPr>
                <w:rFonts w:hint="eastAsia"/>
                <w:bCs/>
                <w:sz w:val="26"/>
                <w:szCs w:val="26"/>
              </w:rPr>
              <w:t>水封井</w:t>
            </w:r>
            <w:r>
              <w:rPr>
                <w:rFonts w:hint="eastAsia"/>
                <w:bCs/>
                <w:sz w:val="26"/>
                <w:szCs w:val="26"/>
                <w:lang w:val="en-US" w:eastAsia="zh-CN"/>
              </w:rPr>
              <w:t>均</w:t>
            </w:r>
            <w:r>
              <w:rPr>
                <w:rFonts w:hint="eastAsia"/>
                <w:bCs/>
                <w:sz w:val="26"/>
                <w:szCs w:val="26"/>
              </w:rPr>
              <w:t>位于站区东面花台绿化带，自动洗车</w:t>
            </w:r>
            <w:r>
              <w:rPr>
                <w:rFonts w:hint="eastAsia"/>
                <w:bCs/>
                <w:sz w:val="26"/>
                <w:szCs w:val="26"/>
                <w:lang w:val="en-US" w:eastAsia="zh-CN"/>
              </w:rPr>
              <w:t>区</w:t>
            </w:r>
            <w:r>
              <w:rPr>
                <w:rFonts w:hint="eastAsia"/>
                <w:bCs/>
                <w:sz w:val="26"/>
                <w:szCs w:val="26"/>
              </w:rPr>
              <w:t>位于地块</w:t>
            </w:r>
            <w:r>
              <w:rPr>
                <w:rFonts w:hint="eastAsia"/>
                <w:bCs/>
                <w:sz w:val="26"/>
                <w:szCs w:val="26"/>
                <w:lang w:val="en-US" w:eastAsia="zh-CN"/>
              </w:rPr>
              <w:t>南</w:t>
            </w:r>
            <w:r>
              <w:rPr>
                <w:rFonts w:hint="eastAsia"/>
                <w:bCs/>
                <w:sz w:val="26"/>
                <w:szCs w:val="26"/>
              </w:rPr>
              <w:t>侧。站内各建（构）筑物的</w:t>
            </w:r>
            <w:r>
              <w:rPr>
                <w:rFonts w:hint="eastAsia"/>
                <w:bCs/>
                <w:sz w:val="26"/>
                <w:szCs w:val="26"/>
                <w:lang w:val="en-US" w:eastAsia="zh-CN"/>
              </w:rPr>
              <w:t>安全防火</w:t>
            </w:r>
            <w:r>
              <w:rPr>
                <w:rFonts w:hint="eastAsia"/>
                <w:bCs/>
                <w:sz w:val="26"/>
                <w:szCs w:val="26"/>
              </w:rPr>
              <w:t>间距符合要求。</w:t>
            </w:r>
          </w:p>
          <w:p w14:paraId="0F37F856">
            <w:pPr>
              <w:pStyle w:val="7"/>
              <w:keepNext w:val="0"/>
              <w:keepLines w:val="0"/>
              <w:pageBreakBefore w:val="0"/>
              <w:kinsoku/>
              <w:wordWrap/>
              <w:overflowPunct/>
              <w:topLinePunct w:val="0"/>
              <w:autoSpaceDE/>
              <w:autoSpaceDN/>
              <w:bidi w:val="0"/>
              <w:snapToGrid w:val="0"/>
              <w:spacing w:before="0" w:after="0" w:line="460" w:lineRule="exact"/>
              <w:ind w:right="0" w:firstLine="520" w:firstLineChars="200"/>
              <w:textAlignment w:val="auto"/>
              <w:rPr>
                <w:rFonts w:hint="eastAsia" w:ascii="Times New Roman" w:hAnsi="Times New Roman" w:eastAsia="宋体" w:cs="Times New Roman"/>
                <w:color w:val="auto"/>
                <w:sz w:val="26"/>
                <w:szCs w:val="26"/>
                <w:lang w:val="en-US" w:eastAsia="zh-CN"/>
              </w:rPr>
            </w:pPr>
            <w:r>
              <w:rPr>
                <w:rFonts w:hint="eastAsia"/>
                <w:bCs/>
                <w:sz w:val="26"/>
                <w:szCs w:val="26"/>
              </w:rPr>
              <w:t>另外，本项目危废贮存点位于站</w:t>
            </w:r>
            <w:r>
              <w:rPr>
                <w:rFonts w:hint="eastAsia"/>
                <w:bCs/>
                <w:sz w:val="26"/>
                <w:szCs w:val="26"/>
                <w:lang w:val="en-US" w:eastAsia="zh-CN"/>
              </w:rPr>
              <w:t>房西</w:t>
            </w:r>
            <w:r>
              <w:rPr>
                <w:rFonts w:hint="eastAsia"/>
                <w:bCs/>
                <w:sz w:val="26"/>
                <w:szCs w:val="26"/>
              </w:rPr>
              <w:t>侧，</w:t>
            </w:r>
            <w:r>
              <w:rPr>
                <w:rFonts w:hint="eastAsia"/>
                <w:bCs/>
                <w:color w:val="auto"/>
                <w:sz w:val="26"/>
                <w:szCs w:val="26"/>
              </w:rPr>
              <w:t>备用柴油发电机位于站房</w:t>
            </w:r>
            <w:r>
              <w:rPr>
                <w:rFonts w:hint="eastAsia"/>
                <w:bCs/>
                <w:color w:val="auto"/>
                <w:sz w:val="26"/>
                <w:szCs w:val="26"/>
                <w:lang w:val="en-US" w:eastAsia="zh-CN"/>
              </w:rPr>
              <w:t>内南</w:t>
            </w:r>
            <w:r>
              <w:rPr>
                <w:rFonts w:hint="eastAsia"/>
                <w:bCs/>
                <w:color w:val="auto"/>
                <w:sz w:val="26"/>
                <w:szCs w:val="26"/>
              </w:rPr>
              <w:t>侧，</w:t>
            </w:r>
            <w:r>
              <w:rPr>
                <w:rFonts w:hint="eastAsia"/>
                <w:bCs/>
                <w:sz w:val="26"/>
                <w:szCs w:val="26"/>
              </w:rPr>
              <w:t>均相对独立位置。本项总平面布置详见</w:t>
            </w:r>
            <w:r>
              <w:rPr>
                <w:rFonts w:hint="eastAsia"/>
                <w:b/>
                <w:sz w:val="26"/>
                <w:szCs w:val="26"/>
                <w:u w:val="single"/>
              </w:rPr>
              <w:t>附图</w:t>
            </w:r>
            <w:r>
              <w:rPr>
                <w:rFonts w:hint="eastAsia"/>
                <w:bCs/>
                <w:sz w:val="26"/>
                <w:szCs w:val="26"/>
              </w:rPr>
              <w:t>。</w:t>
            </w:r>
          </w:p>
          <w:p w14:paraId="502D6344">
            <w:pPr>
              <w:pStyle w:val="75"/>
              <w:rPr>
                <w:color w:val="auto"/>
              </w:rPr>
            </w:pPr>
            <w:r>
              <w:rPr>
                <w:bCs w:val="0"/>
                <w:color w:val="auto"/>
                <w:szCs w:val="26"/>
              </w:rPr>
              <w:t>2.</w:t>
            </w:r>
            <w:r>
              <w:rPr>
                <w:rFonts w:hint="eastAsia"/>
                <w:bCs w:val="0"/>
                <w:color w:val="auto"/>
                <w:szCs w:val="26"/>
                <w:lang w:val="en-US" w:eastAsia="zh-CN"/>
              </w:rPr>
              <w:t>9</w:t>
            </w:r>
            <w:r>
              <w:rPr>
                <w:bCs w:val="0"/>
                <w:color w:val="auto"/>
              </w:rPr>
              <w:t>主</w:t>
            </w:r>
            <w:r>
              <w:rPr>
                <w:color w:val="auto"/>
              </w:rPr>
              <w:t>要技术经济指标</w:t>
            </w:r>
          </w:p>
          <w:p w14:paraId="78460CC7">
            <w:pPr>
              <w:pStyle w:val="64"/>
              <w:snapToGrid/>
              <w:spacing w:line="460" w:lineRule="exact"/>
            </w:pPr>
            <w:r>
              <w:t>本项目主要技术经济指标见表2.</w:t>
            </w:r>
            <w:r>
              <w:rPr>
                <w:rFonts w:hint="eastAsia"/>
                <w:lang w:val="en-US" w:eastAsia="zh-CN"/>
              </w:rPr>
              <w:t>9</w:t>
            </w:r>
            <w:r>
              <w:t>-1。</w:t>
            </w:r>
          </w:p>
          <w:p w14:paraId="32652FC5">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color w:val="auto"/>
              </w:rPr>
            </w:pPr>
            <w:r>
              <w:rPr>
                <w:b w:val="0"/>
                <w:color w:val="auto"/>
                <w:sz w:val="22"/>
                <w:szCs w:val="21"/>
              </w:rPr>
              <w:t>表2.</w:t>
            </w:r>
            <w:r>
              <w:rPr>
                <w:rFonts w:hint="eastAsia"/>
                <w:b w:val="0"/>
                <w:color w:val="auto"/>
                <w:sz w:val="22"/>
                <w:szCs w:val="21"/>
                <w:lang w:val="en-US" w:eastAsia="zh-CN"/>
              </w:rPr>
              <w:t>9</w:t>
            </w:r>
            <w:r>
              <w:rPr>
                <w:b w:val="0"/>
                <w:color w:val="auto"/>
                <w:sz w:val="22"/>
                <w:szCs w:val="21"/>
              </w:rPr>
              <w:t>-1</w:t>
            </w:r>
            <w:r>
              <w:rPr>
                <w:rFonts w:hint="eastAsia"/>
                <w:b w:val="0"/>
                <w:color w:val="auto"/>
                <w:sz w:val="22"/>
                <w:szCs w:val="21"/>
                <w:lang w:val="en-US" w:eastAsia="zh-CN"/>
              </w:rPr>
              <w:t xml:space="preserve">  </w:t>
            </w:r>
            <w:r>
              <w:rPr>
                <w:b w:val="0"/>
                <w:color w:val="auto"/>
                <w:sz w:val="22"/>
                <w:szCs w:val="21"/>
              </w:rPr>
              <w:t>项目主要技术经济指标</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892"/>
              <w:gridCol w:w="1453"/>
              <w:gridCol w:w="831"/>
              <w:gridCol w:w="1152"/>
              <w:gridCol w:w="2776"/>
            </w:tblGrid>
            <w:tr w14:paraId="0990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Align w:val="center"/>
                </w:tcPr>
                <w:p w14:paraId="277E674F">
                  <w:pPr>
                    <w:contextualSpacing/>
                    <w:jc w:val="center"/>
                    <w:rPr>
                      <w:sz w:val="22"/>
                      <w:szCs w:val="22"/>
                    </w:rPr>
                  </w:pPr>
                  <w:r>
                    <w:rPr>
                      <w:rFonts w:hAnsi="宋体"/>
                      <w:sz w:val="22"/>
                      <w:szCs w:val="22"/>
                    </w:rPr>
                    <w:t>序号</w:t>
                  </w:r>
                </w:p>
              </w:tc>
              <w:tc>
                <w:tcPr>
                  <w:tcW w:w="1465" w:type="pct"/>
                  <w:gridSpan w:val="2"/>
                  <w:vAlign w:val="center"/>
                </w:tcPr>
                <w:p w14:paraId="374E0D9A">
                  <w:pPr>
                    <w:contextualSpacing/>
                    <w:jc w:val="center"/>
                    <w:rPr>
                      <w:sz w:val="22"/>
                      <w:szCs w:val="22"/>
                    </w:rPr>
                  </w:pPr>
                  <w:r>
                    <w:rPr>
                      <w:rFonts w:hAnsi="宋体"/>
                      <w:sz w:val="22"/>
                      <w:szCs w:val="22"/>
                    </w:rPr>
                    <w:t>名</w:t>
                  </w:r>
                  <w:r>
                    <w:rPr>
                      <w:sz w:val="22"/>
                      <w:szCs w:val="22"/>
                    </w:rPr>
                    <w:t xml:space="preserve">  </w:t>
                  </w:r>
                  <w:r>
                    <w:rPr>
                      <w:rFonts w:hAnsi="宋体"/>
                      <w:sz w:val="22"/>
                      <w:szCs w:val="22"/>
                    </w:rPr>
                    <w:t>称</w:t>
                  </w:r>
                </w:p>
              </w:tc>
              <w:tc>
                <w:tcPr>
                  <w:tcW w:w="519" w:type="pct"/>
                  <w:vAlign w:val="center"/>
                </w:tcPr>
                <w:p w14:paraId="486CA6DC">
                  <w:pPr>
                    <w:contextualSpacing/>
                    <w:jc w:val="center"/>
                    <w:rPr>
                      <w:sz w:val="22"/>
                      <w:szCs w:val="22"/>
                    </w:rPr>
                  </w:pPr>
                  <w:r>
                    <w:rPr>
                      <w:rFonts w:hAnsi="宋体"/>
                      <w:sz w:val="22"/>
                      <w:szCs w:val="22"/>
                    </w:rPr>
                    <w:t>单</w:t>
                  </w:r>
                  <w:r>
                    <w:rPr>
                      <w:sz w:val="22"/>
                      <w:szCs w:val="22"/>
                    </w:rPr>
                    <w:t xml:space="preserve"> </w:t>
                  </w:r>
                  <w:r>
                    <w:rPr>
                      <w:rFonts w:hAnsi="宋体"/>
                      <w:sz w:val="22"/>
                      <w:szCs w:val="22"/>
                    </w:rPr>
                    <w:t>位</w:t>
                  </w:r>
                </w:p>
              </w:tc>
              <w:tc>
                <w:tcPr>
                  <w:tcW w:w="720" w:type="pct"/>
                  <w:vAlign w:val="center"/>
                </w:tcPr>
                <w:p w14:paraId="0B4A1E91">
                  <w:pPr>
                    <w:contextualSpacing/>
                    <w:jc w:val="center"/>
                    <w:rPr>
                      <w:sz w:val="22"/>
                      <w:szCs w:val="22"/>
                    </w:rPr>
                  </w:pPr>
                  <w:r>
                    <w:rPr>
                      <w:rFonts w:hAnsi="宋体"/>
                      <w:sz w:val="22"/>
                      <w:szCs w:val="22"/>
                    </w:rPr>
                    <w:t>指</w:t>
                  </w:r>
                  <w:r>
                    <w:rPr>
                      <w:sz w:val="22"/>
                      <w:szCs w:val="22"/>
                    </w:rPr>
                    <w:t xml:space="preserve"> </w:t>
                  </w:r>
                  <w:r>
                    <w:rPr>
                      <w:rFonts w:hAnsi="宋体"/>
                      <w:sz w:val="22"/>
                      <w:szCs w:val="22"/>
                    </w:rPr>
                    <w:t>标</w:t>
                  </w:r>
                </w:p>
              </w:tc>
              <w:tc>
                <w:tcPr>
                  <w:tcW w:w="1734" w:type="pct"/>
                  <w:vAlign w:val="center"/>
                </w:tcPr>
                <w:p w14:paraId="35834F95">
                  <w:pPr>
                    <w:contextualSpacing/>
                    <w:jc w:val="center"/>
                    <w:rPr>
                      <w:sz w:val="22"/>
                      <w:szCs w:val="22"/>
                    </w:rPr>
                  </w:pPr>
                  <w:r>
                    <w:rPr>
                      <w:rFonts w:hAnsi="宋体"/>
                      <w:sz w:val="22"/>
                      <w:szCs w:val="22"/>
                    </w:rPr>
                    <w:t>备</w:t>
                  </w:r>
                  <w:r>
                    <w:rPr>
                      <w:sz w:val="22"/>
                      <w:szCs w:val="22"/>
                    </w:rPr>
                    <w:t xml:space="preserve">  </w:t>
                  </w:r>
                  <w:r>
                    <w:rPr>
                      <w:rFonts w:hAnsi="宋体"/>
                      <w:sz w:val="22"/>
                      <w:szCs w:val="22"/>
                    </w:rPr>
                    <w:t>注</w:t>
                  </w:r>
                </w:p>
              </w:tc>
            </w:tr>
            <w:tr w14:paraId="110F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60" w:type="pct"/>
                  <w:vMerge w:val="restart"/>
                  <w:vAlign w:val="center"/>
                </w:tcPr>
                <w:p w14:paraId="14642F2B">
                  <w:pPr>
                    <w:contextualSpacing/>
                    <w:jc w:val="center"/>
                    <w:rPr>
                      <w:sz w:val="22"/>
                      <w:szCs w:val="22"/>
                    </w:rPr>
                  </w:pPr>
                  <w:r>
                    <w:rPr>
                      <w:rFonts w:hint="eastAsia" w:hAnsi="宋体"/>
                      <w:sz w:val="22"/>
                      <w:szCs w:val="22"/>
                    </w:rPr>
                    <w:t>1</w:t>
                  </w:r>
                </w:p>
              </w:tc>
              <w:tc>
                <w:tcPr>
                  <w:tcW w:w="557" w:type="pct"/>
                  <w:vMerge w:val="restart"/>
                  <w:vAlign w:val="center"/>
                </w:tcPr>
                <w:p w14:paraId="6CE94381">
                  <w:pPr>
                    <w:contextualSpacing/>
                    <w:jc w:val="center"/>
                    <w:rPr>
                      <w:sz w:val="22"/>
                      <w:szCs w:val="22"/>
                    </w:rPr>
                  </w:pPr>
                  <w:r>
                    <w:rPr>
                      <w:rFonts w:hint="eastAsia"/>
                      <w:sz w:val="22"/>
                      <w:szCs w:val="22"/>
                    </w:rPr>
                    <w:t>销售</w:t>
                  </w:r>
                </w:p>
                <w:p w14:paraId="62723BFE">
                  <w:pPr>
                    <w:contextualSpacing/>
                    <w:jc w:val="center"/>
                    <w:rPr>
                      <w:sz w:val="22"/>
                      <w:szCs w:val="22"/>
                    </w:rPr>
                  </w:pPr>
                  <w:r>
                    <w:rPr>
                      <w:rFonts w:hint="eastAsia"/>
                      <w:sz w:val="22"/>
                      <w:szCs w:val="22"/>
                    </w:rPr>
                    <w:t>规模</w:t>
                  </w:r>
                </w:p>
              </w:tc>
              <w:tc>
                <w:tcPr>
                  <w:tcW w:w="908" w:type="pct"/>
                  <w:vAlign w:val="center"/>
                </w:tcPr>
                <w:p w14:paraId="53746207">
                  <w:pPr>
                    <w:contextualSpacing/>
                    <w:jc w:val="center"/>
                    <w:rPr>
                      <w:sz w:val="22"/>
                      <w:szCs w:val="22"/>
                    </w:rPr>
                  </w:pPr>
                  <w:r>
                    <w:rPr>
                      <w:sz w:val="22"/>
                      <w:szCs w:val="22"/>
                    </w:rPr>
                    <w:t>92#</w:t>
                  </w:r>
                  <w:r>
                    <w:rPr>
                      <w:rFonts w:hAnsi="宋体"/>
                      <w:sz w:val="22"/>
                      <w:szCs w:val="22"/>
                    </w:rPr>
                    <w:t>汽油</w:t>
                  </w:r>
                </w:p>
              </w:tc>
              <w:tc>
                <w:tcPr>
                  <w:tcW w:w="519" w:type="pct"/>
                  <w:vAlign w:val="center"/>
                </w:tcPr>
                <w:p w14:paraId="32E18FD1">
                  <w:pPr>
                    <w:contextualSpacing/>
                    <w:jc w:val="center"/>
                    <w:rPr>
                      <w:sz w:val="22"/>
                      <w:szCs w:val="22"/>
                    </w:rPr>
                  </w:pPr>
                  <w:r>
                    <w:rPr>
                      <w:sz w:val="22"/>
                      <w:szCs w:val="22"/>
                    </w:rPr>
                    <w:t>t/</w:t>
                  </w:r>
                  <w:r>
                    <w:rPr>
                      <w:rFonts w:hint="eastAsia"/>
                      <w:sz w:val="22"/>
                      <w:szCs w:val="22"/>
                    </w:rPr>
                    <w:t>a</w:t>
                  </w:r>
                </w:p>
              </w:tc>
              <w:tc>
                <w:tcPr>
                  <w:tcW w:w="720" w:type="pct"/>
                  <w:vAlign w:val="center"/>
                </w:tcPr>
                <w:p w14:paraId="125726A3">
                  <w:pPr>
                    <w:contextualSpacing/>
                    <w:jc w:val="center"/>
                    <w:rPr>
                      <w:rFonts w:hint="default" w:eastAsia="宋体"/>
                      <w:color w:val="auto"/>
                      <w:sz w:val="22"/>
                      <w:szCs w:val="22"/>
                      <w:lang w:val="en-US" w:eastAsia="zh-CN"/>
                    </w:rPr>
                  </w:pPr>
                  <w:r>
                    <w:rPr>
                      <w:rFonts w:hint="eastAsia"/>
                      <w:color w:val="auto"/>
                      <w:sz w:val="22"/>
                      <w:szCs w:val="22"/>
                      <w:lang w:val="en-US" w:eastAsia="zh-CN"/>
                    </w:rPr>
                    <w:t>2300</w:t>
                  </w:r>
                </w:p>
              </w:tc>
              <w:tc>
                <w:tcPr>
                  <w:tcW w:w="1734" w:type="pct"/>
                  <w:vAlign w:val="center"/>
                </w:tcPr>
                <w:p w14:paraId="3471E94C">
                  <w:pPr>
                    <w:contextualSpacing/>
                    <w:jc w:val="center"/>
                    <w:rPr>
                      <w:sz w:val="22"/>
                      <w:szCs w:val="22"/>
                    </w:rPr>
                  </w:pPr>
                  <w:r>
                    <w:rPr>
                      <w:sz w:val="22"/>
                      <w:szCs w:val="22"/>
                    </w:rPr>
                    <w:t>/</w:t>
                  </w:r>
                </w:p>
              </w:tc>
            </w:tr>
            <w:tr w14:paraId="1ECB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60" w:type="pct"/>
                  <w:vMerge w:val="continue"/>
                  <w:vAlign w:val="center"/>
                </w:tcPr>
                <w:p w14:paraId="27C2DAB8">
                  <w:pPr>
                    <w:contextualSpacing/>
                    <w:jc w:val="center"/>
                    <w:rPr>
                      <w:sz w:val="22"/>
                      <w:szCs w:val="22"/>
                    </w:rPr>
                  </w:pPr>
                </w:p>
              </w:tc>
              <w:tc>
                <w:tcPr>
                  <w:tcW w:w="557" w:type="pct"/>
                  <w:vMerge w:val="continue"/>
                  <w:vAlign w:val="center"/>
                </w:tcPr>
                <w:p w14:paraId="794D9E74">
                  <w:pPr>
                    <w:contextualSpacing/>
                    <w:jc w:val="center"/>
                    <w:rPr>
                      <w:sz w:val="22"/>
                      <w:szCs w:val="22"/>
                    </w:rPr>
                  </w:pPr>
                </w:p>
              </w:tc>
              <w:tc>
                <w:tcPr>
                  <w:tcW w:w="908" w:type="pct"/>
                  <w:vAlign w:val="center"/>
                </w:tcPr>
                <w:p w14:paraId="31C4D1A3">
                  <w:pPr>
                    <w:contextualSpacing/>
                    <w:jc w:val="center"/>
                    <w:rPr>
                      <w:sz w:val="22"/>
                      <w:szCs w:val="22"/>
                    </w:rPr>
                  </w:pPr>
                  <w:r>
                    <w:rPr>
                      <w:sz w:val="22"/>
                      <w:szCs w:val="22"/>
                    </w:rPr>
                    <w:t>95#</w:t>
                  </w:r>
                  <w:r>
                    <w:rPr>
                      <w:rFonts w:hAnsi="宋体"/>
                      <w:sz w:val="22"/>
                      <w:szCs w:val="22"/>
                    </w:rPr>
                    <w:t>汽油</w:t>
                  </w:r>
                </w:p>
              </w:tc>
              <w:tc>
                <w:tcPr>
                  <w:tcW w:w="519" w:type="pct"/>
                  <w:vAlign w:val="center"/>
                </w:tcPr>
                <w:p w14:paraId="66AB19AD">
                  <w:pPr>
                    <w:contextualSpacing/>
                    <w:jc w:val="center"/>
                    <w:rPr>
                      <w:sz w:val="22"/>
                      <w:szCs w:val="22"/>
                    </w:rPr>
                  </w:pPr>
                  <w:r>
                    <w:rPr>
                      <w:sz w:val="22"/>
                      <w:szCs w:val="22"/>
                    </w:rPr>
                    <w:t>t/</w:t>
                  </w:r>
                  <w:r>
                    <w:rPr>
                      <w:rFonts w:hint="eastAsia"/>
                      <w:sz w:val="22"/>
                      <w:szCs w:val="22"/>
                    </w:rPr>
                    <w:t>a</w:t>
                  </w:r>
                </w:p>
              </w:tc>
              <w:tc>
                <w:tcPr>
                  <w:tcW w:w="720" w:type="pct"/>
                  <w:vAlign w:val="center"/>
                </w:tcPr>
                <w:p w14:paraId="4D04FC48">
                  <w:pPr>
                    <w:contextualSpacing/>
                    <w:jc w:val="center"/>
                    <w:rPr>
                      <w:rFonts w:hint="default" w:eastAsia="宋体"/>
                      <w:color w:val="auto"/>
                      <w:sz w:val="22"/>
                      <w:szCs w:val="22"/>
                      <w:lang w:val="en-US" w:eastAsia="zh-CN"/>
                    </w:rPr>
                  </w:pPr>
                  <w:r>
                    <w:rPr>
                      <w:rFonts w:hint="eastAsia"/>
                      <w:color w:val="auto"/>
                      <w:sz w:val="22"/>
                      <w:szCs w:val="22"/>
                      <w:lang w:val="en-US" w:eastAsia="zh-CN"/>
                    </w:rPr>
                    <w:t>1400</w:t>
                  </w:r>
                </w:p>
              </w:tc>
              <w:tc>
                <w:tcPr>
                  <w:tcW w:w="1734" w:type="pct"/>
                  <w:vAlign w:val="center"/>
                </w:tcPr>
                <w:p w14:paraId="534F285A">
                  <w:pPr>
                    <w:contextualSpacing/>
                    <w:jc w:val="center"/>
                    <w:rPr>
                      <w:sz w:val="22"/>
                      <w:szCs w:val="22"/>
                    </w:rPr>
                  </w:pPr>
                  <w:r>
                    <w:rPr>
                      <w:sz w:val="22"/>
                      <w:szCs w:val="22"/>
                    </w:rPr>
                    <w:t>/</w:t>
                  </w:r>
                </w:p>
              </w:tc>
            </w:tr>
            <w:tr w14:paraId="49F3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60" w:type="pct"/>
                  <w:vMerge w:val="continue"/>
                  <w:vAlign w:val="center"/>
                </w:tcPr>
                <w:p w14:paraId="0C06FC59">
                  <w:pPr>
                    <w:contextualSpacing/>
                    <w:jc w:val="center"/>
                    <w:rPr>
                      <w:sz w:val="22"/>
                      <w:szCs w:val="22"/>
                    </w:rPr>
                  </w:pPr>
                </w:p>
              </w:tc>
              <w:tc>
                <w:tcPr>
                  <w:tcW w:w="557" w:type="pct"/>
                  <w:vMerge w:val="continue"/>
                  <w:vAlign w:val="center"/>
                </w:tcPr>
                <w:p w14:paraId="030BA373">
                  <w:pPr>
                    <w:contextualSpacing/>
                    <w:jc w:val="center"/>
                    <w:rPr>
                      <w:sz w:val="22"/>
                      <w:szCs w:val="22"/>
                    </w:rPr>
                  </w:pPr>
                </w:p>
              </w:tc>
              <w:tc>
                <w:tcPr>
                  <w:tcW w:w="908" w:type="pct"/>
                  <w:vAlign w:val="center"/>
                </w:tcPr>
                <w:p w14:paraId="708A2055">
                  <w:pPr>
                    <w:contextualSpacing/>
                    <w:jc w:val="center"/>
                    <w:rPr>
                      <w:sz w:val="22"/>
                      <w:szCs w:val="22"/>
                    </w:rPr>
                  </w:pPr>
                  <w:r>
                    <w:rPr>
                      <w:rFonts w:hint="eastAsia"/>
                      <w:sz w:val="22"/>
                      <w:szCs w:val="22"/>
                    </w:rPr>
                    <w:t>9</w:t>
                  </w:r>
                  <w:r>
                    <w:rPr>
                      <w:sz w:val="22"/>
                      <w:szCs w:val="22"/>
                    </w:rPr>
                    <w:t>8</w:t>
                  </w:r>
                  <w:r>
                    <w:rPr>
                      <w:rFonts w:hint="eastAsia"/>
                      <w:sz w:val="22"/>
                      <w:szCs w:val="22"/>
                    </w:rPr>
                    <w:t>#汽油</w:t>
                  </w:r>
                </w:p>
              </w:tc>
              <w:tc>
                <w:tcPr>
                  <w:tcW w:w="519" w:type="pct"/>
                  <w:vAlign w:val="center"/>
                </w:tcPr>
                <w:p w14:paraId="7E074780">
                  <w:pPr>
                    <w:contextualSpacing/>
                    <w:jc w:val="center"/>
                    <w:rPr>
                      <w:sz w:val="22"/>
                      <w:szCs w:val="22"/>
                    </w:rPr>
                  </w:pPr>
                  <w:r>
                    <w:rPr>
                      <w:rFonts w:hint="eastAsia"/>
                      <w:sz w:val="22"/>
                      <w:szCs w:val="22"/>
                    </w:rPr>
                    <w:t>t</w:t>
                  </w:r>
                  <w:r>
                    <w:rPr>
                      <w:sz w:val="22"/>
                      <w:szCs w:val="22"/>
                    </w:rPr>
                    <w:t>/a</w:t>
                  </w:r>
                </w:p>
              </w:tc>
              <w:tc>
                <w:tcPr>
                  <w:tcW w:w="720" w:type="pct"/>
                  <w:vAlign w:val="center"/>
                </w:tcPr>
                <w:p w14:paraId="784EFC8C">
                  <w:pPr>
                    <w:contextualSpacing/>
                    <w:jc w:val="center"/>
                    <w:rPr>
                      <w:rFonts w:hint="default" w:eastAsia="宋体"/>
                      <w:color w:val="auto"/>
                      <w:sz w:val="22"/>
                      <w:szCs w:val="22"/>
                      <w:lang w:val="en-US" w:eastAsia="zh-CN"/>
                    </w:rPr>
                  </w:pPr>
                  <w:r>
                    <w:rPr>
                      <w:rFonts w:hint="eastAsia"/>
                      <w:color w:val="auto"/>
                      <w:sz w:val="22"/>
                      <w:szCs w:val="22"/>
                      <w:lang w:val="en-US" w:eastAsia="zh-CN"/>
                    </w:rPr>
                    <w:t>450</w:t>
                  </w:r>
                </w:p>
              </w:tc>
              <w:tc>
                <w:tcPr>
                  <w:tcW w:w="1734" w:type="pct"/>
                  <w:vAlign w:val="center"/>
                </w:tcPr>
                <w:p w14:paraId="093B7B3A">
                  <w:pPr>
                    <w:contextualSpacing/>
                    <w:jc w:val="center"/>
                    <w:rPr>
                      <w:rFonts w:hint="default" w:eastAsia="宋体"/>
                      <w:sz w:val="22"/>
                      <w:szCs w:val="22"/>
                      <w:lang w:val="en-US" w:eastAsia="zh-CN"/>
                    </w:rPr>
                  </w:pPr>
                  <w:r>
                    <w:rPr>
                      <w:rFonts w:hint="eastAsia"/>
                      <w:sz w:val="22"/>
                      <w:szCs w:val="22"/>
                      <w:lang w:val="en-US" w:eastAsia="zh-CN"/>
                    </w:rPr>
                    <w:t>本次新增</w:t>
                  </w:r>
                </w:p>
              </w:tc>
            </w:tr>
            <w:tr w14:paraId="7EFA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Merge w:val="continue"/>
                  <w:vAlign w:val="center"/>
                </w:tcPr>
                <w:p w14:paraId="0FA34E3F">
                  <w:pPr>
                    <w:contextualSpacing/>
                    <w:jc w:val="center"/>
                    <w:rPr>
                      <w:sz w:val="22"/>
                      <w:szCs w:val="22"/>
                    </w:rPr>
                  </w:pPr>
                </w:p>
              </w:tc>
              <w:tc>
                <w:tcPr>
                  <w:tcW w:w="557" w:type="pct"/>
                  <w:vMerge w:val="continue"/>
                  <w:vAlign w:val="center"/>
                </w:tcPr>
                <w:p w14:paraId="06FD6EE7">
                  <w:pPr>
                    <w:contextualSpacing/>
                    <w:jc w:val="center"/>
                    <w:rPr>
                      <w:sz w:val="22"/>
                      <w:szCs w:val="22"/>
                    </w:rPr>
                  </w:pPr>
                </w:p>
              </w:tc>
              <w:tc>
                <w:tcPr>
                  <w:tcW w:w="908" w:type="pct"/>
                  <w:vAlign w:val="center"/>
                </w:tcPr>
                <w:p w14:paraId="4394473E">
                  <w:pPr>
                    <w:contextualSpacing/>
                    <w:jc w:val="center"/>
                    <w:rPr>
                      <w:sz w:val="22"/>
                      <w:szCs w:val="22"/>
                    </w:rPr>
                  </w:pPr>
                  <w:r>
                    <w:rPr>
                      <w:sz w:val="22"/>
                      <w:szCs w:val="22"/>
                    </w:rPr>
                    <w:t>0#</w:t>
                  </w:r>
                  <w:r>
                    <w:rPr>
                      <w:rFonts w:hAnsi="宋体"/>
                      <w:sz w:val="22"/>
                      <w:szCs w:val="22"/>
                    </w:rPr>
                    <w:t>柴油</w:t>
                  </w:r>
                </w:p>
              </w:tc>
              <w:tc>
                <w:tcPr>
                  <w:tcW w:w="519" w:type="pct"/>
                  <w:vAlign w:val="center"/>
                </w:tcPr>
                <w:p w14:paraId="2A7DFFA0">
                  <w:pPr>
                    <w:contextualSpacing/>
                    <w:jc w:val="center"/>
                    <w:rPr>
                      <w:sz w:val="22"/>
                      <w:szCs w:val="22"/>
                    </w:rPr>
                  </w:pPr>
                  <w:r>
                    <w:rPr>
                      <w:sz w:val="22"/>
                      <w:szCs w:val="22"/>
                    </w:rPr>
                    <w:t>t/</w:t>
                  </w:r>
                  <w:r>
                    <w:rPr>
                      <w:rFonts w:hint="eastAsia"/>
                      <w:sz w:val="22"/>
                      <w:szCs w:val="22"/>
                    </w:rPr>
                    <w:t>a</w:t>
                  </w:r>
                </w:p>
              </w:tc>
              <w:tc>
                <w:tcPr>
                  <w:tcW w:w="720" w:type="pct"/>
                  <w:vAlign w:val="center"/>
                </w:tcPr>
                <w:p w14:paraId="3EC45865">
                  <w:pPr>
                    <w:contextualSpacing/>
                    <w:jc w:val="center"/>
                    <w:rPr>
                      <w:rFonts w:hint="default" w:eastAsia="宋体"/>
                      <w:color w:val="auto"/>
                      <w:sz w:val="22"/>
                      <w:szCs w:val="22"/>
                      <w:lang w:val="en-US" w:eastAsia="zh-CN"/>
                    </w:rPr>
                  </w:pPr>
                  <w:r>
                    <w:rPr>
                      <w:rFonts w:hint="eastAsia"/>
                      <w:color w:val="auto"/>
                      <w:sz w:val="22"/>
                      <w:szCs w:val="22"/>
                      <w:lang w:val="en-US" w:eastAsia="zh-CN"/>
                    </w:rPr>
                    <w:t>520</w:t>
                  </w:r>
                </w:p>
              </w:tc>
              <w:tc>
                <w:tcPr>
                  <w:tcW w:w="1734" w:type="pct"/>
                  <w:vAlign w:val="center"/>
                </w:tcPr>
                <w:p w14:paraId="0D7FE82C">
                  <w:pPr>
                    <w:contextualSpacing/>
                    <w:jc w:val="center"/>
                    <w:rPr>
                      <w:sz w:val="22"/>
                      <w:szCs w:val="22"/>
                    </w:rPr>
                  </w:pPr>
                  <w:r>
                    <w:rPr>
                      <w:sz w:val="22"/>
                      <w:szCs w:val="22"/>
                    </w:rPr>
                    <w:t>/</w:t>
                  </w:r>
                </w:p>
              </w:tc>
            </w:tr>
            <w:tr w14:paraId="0C6B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Merge w:val="restart"/>
                  <w:vAlign w:val="center"/>
                </w:tcPr>
                <w:p w14:paraId="6CE9B3B1">
                  <w:pPr>
                    <w:contextualSpacing/>
                    <w:jc w:val="center"/>
                    <w:rPr>
                      <w:sz w:val="22"/>
                      <w:szCs w:val="22"/>
                    </w:rPr>
                  </w:pPr>
                  <w:r>
                    <w:rPr>
                      <w:sz w:val="22"/>
                      <w:szCs w:val="22"/>
                    </w:rPr>
                    <w:t>2</w:t>
                  </w:r>
                </w:p>
              </w:tc>
              <w:tc>
                <w:tcPr>
                  <w:tcW w:w="557" w:type="pct"/>
                  <w:vMerge w:val="restart"/>
                  <w:vAlign w:val="center"/>
                </w:tcPr>
                <w:p w14:paraId="7506A82A">
                  <w:pPr>
                    <w:contextualSpacing/>
                    <w:jc w:val="center"/>
                    <w:rPr>
                      <w:rFonts w:hint="eastAsia" w:hAnsi="宋体"/>
                      <w:sz w:val="22"/>
                      <w:szCs w:val="22"/>
                    </w:rPr>
                  </w:pPr>
                  <w:r>
                    <w:rPr>
                      <w:rFonts w:hAnsi="宋体"/>
                      <w:sz w:val="22"/>
                      <w:szCs w:val="22"/>
                    </w:rPr>
                    <w:t>油罐</w:t>
                  </w:r>
                </w:p>
                <w:p w14:paraId="5C9F90CC">
                  <w:pPr>
                    <w:contextualSpacing/>
                    <w:jc w:val="center"/>
                    <w:rPr>
                      <w:sz w:val="22"/>
                      <w:szCs w:val="22"/>
                    </w:rPr>
                  </w:pPr>
                  <w:r>
                    <w:rPr>
                      <w:rFonts w:hAnsi="宋体"/>
                      <w:sz w:val="22"/>
                      <w:szCs w:val="22"/>
                    </w:rPr>
                    <w:t>容积</w:t>
                  </w:r>
                </w:p>
              </w:tc>
              <w:tc>
                <w:tcPr>
                  <w:tcW w:w="908" w:type="pct"/>
                  <w:vAlign w:val="center"/>
                </w:tcPr>
                <w:p w14:paraId="7082D9EB">
                  <w:pPr>
                    <w:contextualSpacing/>
                    <w:jc w:val="center"/>
                    <w:rPr>
                      <w:sz w:val="22"/>
                      <w:szCs w:val="22"/>
                    </w:rPr>
                  </w:pPr>
                  <w:r>
                    <w:rPr>
                      <w:sz w:val="22"/>
                      <w:szCs w:val="22"/>
                    </w:rPr>
                    <w:t>92#</w:t>
                  </w:r>
                  <w:r>
                    <w:rPr>
                      <w:rFonts w:hAnsi="宋体"/>
                      <w:sz w:val="22"/>
                      <w:szCs w:val="22"/>
                    </w:rPr>
                    <w:t>汽油油罐</w:t>
                  </w:r>
                </w:p>
              </w:tc>
              <w:tc>
                <w:tcPr>
                  <w:tcW w:w="519" w:type="pct"/>
                  <w:vAlign w:val="center"/>
                </w:tcPr>
                <w:p w14:paraId="66EEF738">
                  <w:pPr>
                    <w:contextualSpacing/>
                    <w:jc w:val="center"/>
                    <w:rPr>
                      <w:sz w:val="22"/>
                      <w:szCs w:val="22"/>
                    </w:rPr>
                  </w:pPr>
                  <w:r>
                    <w:rPr>
                      <w:sz w:val="22"/>
                      <w:szCs w:val="22"/>
                    </w:rPr>
                    <w:t>m</w:t>
                  </w:r>
                  <w:r>
                    <w:rPr>
                      <w:sz w:val="22"/>
                      <w:szCs w:val="22"/>
                      <w:vertAlign w:val="superscript"/>
                    </w:rPr>
                    <w:t>3</w:t>
                  </w:r>
                </w:p>
              </w:tc>
              <w:tc>
                <w:tcPr>
                  <w:tcW w:w="720" w:type="pct"/>
                  <w:vAlign w:val="center"/>
                </w:tcPr>
                <w:p w14:paraId="788EFA14">
                  <w:pPr>
                    <w:contextualSpacing/>
                    <w:jc w:val="center"/>
                    <w:rPr>
                      <w:sz w:val="22"/>
                      <w:szCs w:val="22"/>
                    </w:rPr>
                  </w:pPr>
                  <w:r>
                    <w:rPr>
                      <w:rFonts w:hint="eastAsia"/>
                      <w:sz w:val="22"/>
                      <w:szCs w:val="22"/>
                    </w:rPr>
                    <w:t>30</w:t>
                  </w:r>
                </w:p>
              </w:tc>
              <w:tc>
                <w:tcPr>
                  <w:tcW w:w="1734" w:type="pct"/>
                  <w:vAlign w:val="center"/>
                </w:tcPr>
                <w:p w14:paraId="201CD032">
                  <w:pPr>
                    <w:contextualSpacing/>
                    <w:jc w:val="center"/>
                    <w:rPr>
                      <w:sz w:val="22"/>
                      <w:szCs w:val="22"/>
                    </w:rPr>
                  </w:pPr>
                  <w:r>
                    <w:rPr>
                      <w:sz w:val="22"/>
                      <w:szCs w:val="22"/>
                    </w:rPr>
                    <w:t>/</w:t>
                  </w:r>
                </w:p>
              </w:tc>
            </w:tr>
            <w:tr w14:paraId="4393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60" w:type="pct"/>
                  <w:vMerge w:val="continue"/>
                  <w:vAlign w:val="center"/>
                </w:tcPr>
                <w:p w14:paraId="20FB53B2">
                  <w:pPr>
                    <w:contextualSpacing/>
                    <w:jc w:val="center"/>
                    <w:rPr>
                      <w:sz w:val="22"/>
                      <w:szCs w:val="22"/>
                    </w:rPr>
                  </w:pPr>
                </w:p>
              </w:tc>
              <w:tc>
                <w:tcPr>
                  <w:tcW w:w="557" w:type="pct"/>
                  <w:vMerge w:val="continue"/>
                  <w:vAlign w:val="center"/>
                </w:tcPr>
                <w:p w14:paraId="64C69347">
                  <w:pPr>
                    <w:contextualSpacing/>
                    <w:jc w:val="center"/>
                    <w:rPr>
                      <w:rFonts w:hint="eastAsia" w:hAnsi="宋体"/>
                      <w:sz w:val="22"/>
                      <w:szCs w:val="22"/>
                    </w:rPr>
                  </w:pPr>
                </w:p>
              </w:tc>
              <w:tc>
                <w:tcPr>
                  <w:tcW w:w="908" w:type="pct"/>
                  <w:vAlign w:val="center"/>
                </w:tcPr>
                <w:p w14:paraId="310CECCD">
                  <w:pPr>
                    <w:contextualSpacing/>
                    <w:jc w:val="center"/>
                    <w:rPr>
                      <w:sz w:val="22"/>
                      <w:szCs w:val="22"/>
                    </w:rPr>
                  </w:pPr>
                  <w:r>
                    <w:rPr>
                      <w:sz w:val="22"/>
                      <w:szCs w:val="22"/>
                    </w:rPr>
                    <w:t>95#</w:t>
                  </w:r>
                  <w:r>
                    <w:rPr>
                      <w:rFonts w:hAnsi="宋体"/>
                      <w:sz w:val="22"/>
                      <w:szCs w:val="22"/>
                    </w:rPr>
                    <w:t>汽油油罐</w:t>
                  </w:r>
                </w:p>
              </w:tc>
              <w:tc>
                <w:tcPr>
                  <w:tcW w:w="519" w:type="pct"/>
                  <w:vAlign w:val="center"/>
                </w:tcPr>
                <w:p w14:paraId="57E53E6D">
                  <w:pPr>
                    <w:contextualSpacing/>
                    <w:jc w:val="center"/>
                    <w:rPr>
                      <w:sz w:val="22"/>
                      <w:szCs w:val="22"/>
                    </w:rPr>
                  </w:pPr>
                  <w:r>
                    <w:rPr>
                      <w:sz w:val="22"/>
                      <w:szCs w:val="22"/>
                    </w:rPr>
                    <w:t>m</w:t>
                  </w:r>
                  <w:r>
                    <w:rPr>
                      <w:sz w:val="22"/>
                      <w:szCs w:val="22"/>
                      <w:vertAlign w:val="superscript"/>
                    </w:rPr>
                    <w:t>3</w:t>
                  </w:r>
                </w:p>
              </w:tc>
              <w:tc>
                <w:tcPr>
                  <w:tcW w:w="720" w:type="pct"/>
                  <w:vAlign w:val="center"/>
                </w:tcPr>
                <w:p w14:paraId="1098C028">
                  <w:pPr>
                    <w:contextualSpacing/>
                    <w:jc w:val="center"/>
                    <w:rPr>
                      <w:sz w:val="22"/>
                      <w:szCs w:val="22"/>
                    </w:rPr>
                  </w:pPr>
                  <w:r>
                    <w:rPr>
                      <w:rFonts w:hint="eastAsia"/>
                      <w:sz w:val="22"/>
                      <w:szCs w:val="22"/>
                    </w:rPr>
                    <w:t>30</w:t>
                  </w:r>
                </w:p>
              </w:tc>
              <w:tc>
                <w:tcPr>
                  <w:tcW w:w="1734" w:type="pct"/>
                  <w:vAlign w:val="center"/>
                </w:tcPr>
                <w:p w14:paraId="4F1068DD">
                  <w:pPr>
                    <w:contextualSpacing/>
                    <w:jc w:val="center"/>
                    <w:rPr>
                      <w:rFonts w:hint="eastAsia" w:hAnsi="宋体"/>
                      <w:sz w:val="22"/>
                      <w:szCs w:val="22"/>
                    </w:rPr>
                  </w:pPr>
                  <w:r>
                    <w:rPr>
                      <w:sz w:val="22"/>
                      <w:szCs w:val="22"/>
                    </w:rPr>
                    <w:t>/</w:t>
                  </w:r>
                </w:p>
              </w:tc>
            </w:tr>
            <w:tr w14:paraId="4DDD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60" w:type="pct"/>
                  <w:vMerge w:val="continue"/>
                  <w:vAlign w:val="center"/>
                </w:tcPr>
                <w:p w14:paraId="57FBC73F">
                  <w:pPr>
                    <w:contextualSpacing/>
                    <w:jc w:val="center"/>
                    <w:rPr>
                      <w:sz w:val="22"/>
                      <w:szCs w:val="22"/>
                    </w:rPr>
                  </w:pPr>
                </w:p>
              </w:tc>
              <w:tc>
                <w:tcPr>
                  <w:tcW w:w="557" w:type="pct"/>
                  <w:vMerge w:val="continue"/>
                  <w:vAlign w:val="center"/>
                </w:tcPr>
                <w:p w14:paraId="71179619">
                  <w:pPr>
                    <w:contextualSpacing/>
                    <w:jc w:val="center"/>
                    <w:rPr>
                      <w:rFonts w:hint="eastAsia" w:hAnsi="宋体"/>
                      <w:sz w:val="22"/>
                      <w:szCs w:val="22"/>
                    </w:rPr>
                  </w:pPr>
                </w:p>
              </w:tc>
              <w:tc>
                <w:tcPr>
                  <w:tcW w:w="908" w:type="pct"/>
                  <w:vAlign w:val="center"/>
                </w:tcPr>
                <w:p w14:paraId="30E63199">
                  <w:pPr>
                    <w:contextualSpacing/>
                    <w:jc w:val="center"/>
                    <w:rPr>
                      <w:sz w:val="22"/>
                      <w:szCs w:val="22"/>
                    </w:rPr>
                  </w:pPr>
                  <w:r>
                    <w:rPr>
                      <w:rFonts w:hint="eastAsia"/>
                      <w:sz w:val="22"/>
                      <w:szCs w:val="22"/>
                    </w:rPr>
                    <w:t>9</w:t>
                  </w:r>
                  <w:r>
                    <w:rPr>
                      <w:sz w:val="22"/>
                      <w:szCs w:val="22"/>
                    </w:rPr>
                    <w:t>8</w:t>
                  </w:r>
                  <w:r>
                    <w:rPr>
                      <w:rFonts w:hint="eastAsia"/>
                      <w:sz w:val="22"/>
                      <w:szCs w:val="22"/>
                    </w:rPr>
                    <w:t>#汽油油罐</w:t>
                  </w:r>
                </w:p>
              </w:tc>
              <w:tc>
                <w:tcPr>
                  <w:tcW w:w="519" w:type="pct"/>
                  <w:vAlign w:val="center"/>
                </w:tcPr>
                <w:p w14:paraId="0A097F72">
                  <w:pPr>
                    <w:contextualSpacing/>
                    <w:jc w:val="center"/>
                    <w:rPr>
                      <w:sz w:val="22"/>
                      <w:szCs w:val="22"/>
                    </w:rPr>
                  </w:pPr>
                  <w:r>
                    <w:rPr>
                      <w:sz w:val="22"/>
                      <w:szCs w:val="22"/>
                    </w:rPr>
                    <w:t>m</w:t>
                  </w:r>
                  <w:r>
                    <w:rPr>
                      <w:sz w:val="22"/>
                      <w:szCs w:val="22"/>
                      <w:vertAlign w:val="superscript"/>
                    </w:rPr>
                    <w:t>3</w:t>
                  </w:r>
                </w:p>
              </w:tc>
              <w:tc>
                <w:tcPr>
                  <w:tcW w:w="720" w:type="pct"/>
                  <w:vAlign w:val="center"/>
                </w:tcPr>
                <w:p w14:paraId="296AE91F">
                  <w:pPr>
                    <w:contextualSpacing/>
                    <w:jc w:val="center"/>
                    <w:rPr>
                      <w:sz w:val="22"/>
                      <w:szCs w:val="22"/>
                    </w:rPr>
                  </w:pPr>
                  <w:r>
                    <w:rPr>
                      <w:rFonts w:hint="eastAsia"/>
                      <w:sz w:val="22"/>
                      <w:szCs w:val="22"/>
                    </w:rPr>
                    <w:t>20</w:t>
                  </w:r>
                </w:p>
              </w:tc>
              <w:tc>
                <w:tcPr>
                  <w:tcW w:w="1734" w:type="pct"/>
                  <w:vAlign w:val="center"/>
                </w:tcPr>
                <w:p w14:paraId="057E004A">
                  <w:pPr>
                    <w:contextualSpacing/>
                    <w:jc w:val="center"/>
                    <w:rPr>
                      <w:sz w:val="22"/>
                      <w:szCs w:val="22"/>
                    </w:rPr>
                  </w:pPr>
                </w:p>
              </w:tc>
            </w:tr>
            <w:tr w14:paraId="4C00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Merge w:val="continue"/>
                  <w:vAlign w:val="center"/>
                </w:tcPr>
                <w:p w14:paraId="19D913C9">
                  <w:pPr>
                    <w:contextualSpacing/>
                    <w:jc w:val="center"/>
                    <w:rPr>
                      <w:sz w:val="22"/>
                      <w:szCs w:val="22"/>
                    </w:rPr>
                  </w:pPr>
                </w:p>
              </w:tc>
              <w:tc>
                <w:tcPr>
                  <w:tcW w:w="557" w:type="pct"/>
                  <w:vMerge w:val="continue"/>
                  <w:vAlign w:val="center"/>
                </w:tcPr>
                <w:p w14:paraId="37D8CCE7">
                  <w:pPr>
                    <w:contextualSpacing/>
                    <w:jc w:val="center"/>
                    <w:rPr>
                      <w:rFonts w:hint="eastAsia" w:hAnsi="宋体"/>
                      <w:sz w:val="22"/>
                      <w:szCs w:val="22"/>
                    </w:rPr>
                  </w:pPr>
                </w:p>
              </w:tc>
              <w:tc>
                <w:tcPr>
                  <w:tcW w:w="908" w:type="pct"/>
                  <w:vAlign w:val="center"/>
                </w:tcPr>
                <w:p w14:paraId="13398D51">
                  <w:pPr>
                    <w:contextualSpacing/>
                    <w:jc w:val="center"/>
                    <w:rPr>
                      <w:sz w:val="22"/>
                      <w:szCs w:val="22"/>
                    </w:rPr>
                  </w:pPr>
                  <w:r>
                    <w:rPr>
                      <w:sz w:val="22"/>
                      <w:szCs w:val="22"/>
                    </w:rPr>
                    <w:t>0#</w:t>
                  </w:r>
                  <w:r>
                    <w:rPr>
                      <w:rFonts w:hAnsi="宋体"/>
                      <w:sz w:val="22"/>
                      <w:szCs w:val="22"/>
                    </w:rPr>
                    <w:t>柴油油罐</w:t>
                  </w:r>
                </w:p>
              </w:tc>
              <w:tc>
                <w:tcPr>
                  <w:tcW w:w="519" w:type="pct"/>
                  <w:vAlign w:val="center"/>
                </w:tcPr>
                <w:p w14:paraId="21EF1646">
                  <w:pPr>
                    <w:contextualSpacing/>
                    <w:jc w:val="center"/>
                    <w:rPr>
                      <w:sz w:val="22"/>
                      <w:szCs w:val="22"/>
                    </w:rPr>
                  </w:pPr>
                  <w:r>
                    <w:rPr>
                      <w:sz w:val="22"/>
                      <w:szCs w:val="22"/>
                    </w:rPr>
                    <w:t>m</w:t>
                  </w:r>
                  <w:r>
                    <w:rPr>
                      <w:sz w:val="22"/>
                      <w:szCs w:val="22"/>
                      <w:vertAlign w:val="superscript"/>
                    </w:rPr>
                    <w:t>3</w:t>
                  </w:r>
                </w:p>
              </w:tc>
              <w:tc>
                <w:tcPr>
                  <w:tcW w:w="720" w:type="pct"/>
                  <w:vAlign w:val="center"/>
                </w:tcPr>
                <w:p w14:paraId="6C363798">
                  <w:pPr>
                    <w:contextualSpacing/>
                    <w:jc w:val="center"/>
                    <w:rPr>
                      <w:sz w:val="22"/>
                      <w:szCs w:val="22"/>
                    </w:rPr>
                  </w:pPr>
                  <w:r>
                    <w:rPr>
                      <w:sz w:val="22"/>
                      <w:szCs w:val="22"/>
                    </w:rPr>
                    <w:t>2</w:t>
                  </w:r>
                  <w:r>
                    <w:rPr>
                      <w:rFonts w:hint="eastAsia"/>
                      <w:sz w:val="22"/>
                      <w:szCs w:val="22"/>
                    </w:rPr>
                    <w:t>0</w:t>
                  </w:r>
                </w:p>
              </w:tc>
              <w:tc>
                <w:tcPr>
                  <w:tcW w:w="1734" w:type="pct"/>
                  <w:vAlign w:val="center"/>
                </w:tcPr>
                <w:p w14:paraId="76FFBCF3">
                  <w:pPr>
                    <w:contextualSpacing/>
                    <w:jc w:val="center"/>
                    <w:rPr>
                      <w:rFonts w:hint="eastAsia" w:hAnsi="宋体"/>
                      <w:sz w:val="22"/>
                      <w:szCs w:val="22"/>
                    </w:rPr>
                  </w:pPr>
                  <w:r>
                    <w:rPr>
                      <w:sz w:val="22"/>
                      <w:szCs w:val="22"/>
                    </w:rPr>
                    <w:t>0#</w:t>
                  </w:r>
                  <w:r>
                    <w:rPr>
                      <w:rFonts w:hAnsi="宋体"/>
                      <w:sz w:val="22"/>
                      <w:szCs w:val="22"/>
                    </w:rPr>
                    <w:t>柴油油罐容积折半计入油罐总容积</w:t>
                  </w:r>
                </w:p>
              </w:tc>
            </w:tr>
            <w:tr w14:paraId="6301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60" w:type="pct"/>
                  <w:vAlign w:val="center"/>
                </w:tcPr>
                <w:p w14:paraId="4FB37D78">
                  <w:pPr>
                    <w:contextualSpacing/>
                    <w:jc w:val="center"/>
                    <w:rPr>
                      <w:sz w:val="22"/>
                      <w:szCs w:val="22"/>
                    </w:rPr>
                  </w:pPr>
                  <w:r>
                    <w:rPr>
                      <w:sz w:val="22"/>
                      <w:szCs w:val="22"/>
                    </w:rPr>
                    <w:t>3</w:t>
                  </w:r>
                </w:p>
              </w:tc>
              <w:tc>
                <w:tcPr>
                  <w:tcW w:w="1465" w:type="pct"/>
                  <w:gridSpan w:val="2"/>
                  <w:vAlign w:val="center"/>
                </w:tcPr>
                <w:p w14:paraId="33E13C90">
                  <w:pPr>
                    <w:contextualSpacing/>
                    <w:jc w:val="center"/>
                    <w:rPr>
                      <w:sz w:val="22"/>
                      <w:szCs w:val="22"/>
                    </w:rPr>
                  </w:pPr>
                  <w:r>
                    <w:rPr>
                      <w:rFonts w:hAnsi="宋体"/>
                      <w:sz w:val="22"/>
                      <w:szCs w:val="22"/>
                    </w:rPr>
                    <w:t>加油站等级</w:t>
                  </w:r>
                </w:p>
              </w:tc>
              <w:tc>
                <w:tcPr>
                  <w:tcW w:w="519" w:type="pct"/>
                  <w:vAlign w:val="center"/>
                </w:tcPr>
                <w:p w14:paraId="62DD1D3A">
                  <w:pPr>
                    <w:contextualSpacing/>
                    <w:jc w:val="center"/>
                    <w:rPr>
                      <w:sz w:val="22"/>
                      <w:szCs w:val="22"/>
                    </w:rPr>
                  </w:pPr>
                  <w:r>
                    <w:rPr>
                      <w:sz w:val="22"/>
                      <w:szCs w:val="22"/>
                    </w:rPr>
                    <w:t>/</w:t>
                  </w:r>
                </w:p>
              </w:tc>
              <w:tc>
                <w:tcPr>
                  <w:tcW w:w="720" w:type="pct"/>
                  <w:vAlign w:val="center"/>
                </w:tcPr>
                <w:p w14:paraId="57B72DC2">
                  <w:pPr>
                    <w:contextualSpacing/>
                    <w:jc w:val="center"/>
                    <w:rPr>
                      <w:sz w:val="22"/>
                      <w:szCs w:val="22"/>
                    </w:rPr>
                  </w:pPr>
                  <w:r>
                    <w:rPr>
                      <w:sz w:val="22"/>
                      <w:szCs w:val="22"/>
                    </w:rPr>
                    <w:t>三级</w:t>
                  </w:r>
                </w:p>
              </w:tc>
              <w:tc>
                <w:tcPr>
                  <w:tcW w:w="1734" w:type="pct"/>
                  <w:vAlign w:val="center"/>
                </w:tcPr>
                <w:p w14:paraId="296356B3">
                  <w:pPr>
                    <w:contextualSpacing/>
                    <w:jc w:val="center"/>
                    <w:rPr>
                      <w:sz w:val="22"/>
                      <w:szCs w:val="22"/>
                    </w:rPr>
                  </w:pPr>
                  <w:r>
                    <w:rPr>
                      <w:sz w:val="22"/>
                      <w:szCs w:val="22"/>
                    </w:rPr>
                    <w:t>/</w:t>
                  </w:r>
                </w:p>
              </w:tc>
            </w:tr>
            <w:tr w14:paraId="092D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Align w:val="center"/>
                </w:tcPr>
                <w:p w14:paraId="5B31BD1B">
                  <w:pPr>
                    <w:contextualSpacing/>
                    <w:jc w:val="center"/>
                    <w:rPr>
                      <w:sz w:val="22"/>
                      <w:szCs w:val="22"/>
                    </w:rPr>
                  </w:pPr>
                  <w:r>
                    <w:rPr>
                      <w:sz w:val="22"/>
                      <w:szCs w:val="22"/>
                    </w:rPr>
                    <w:t>4</w:t>
                  </w:r>
                </w:p>
              </w:tc>
              <w:tc>
                <w:tcPr>
                  <w:tcW w:w="1465" w:type="pct"/>
                  <w:gridSpan w:val="2"/>
                  <w:vAlign w:val="center"/>
                </w:tcPr>
                <w:p w14:paraId="1E308D3A">
                  <w:pPr>
                    <w:contextualSpacing/>
                    <w:jc w:val="center"/>
                    <w:rPr>
                      <w:sz w:val="22"/>
                      <w:szCs w:val="22"/>
                    </w:rPr>
                  </w:pPr>
                  <w:r>
                    <w:rPr>
                      <w:rFonts w:hAnsi="宋体"/>
                      <w:sz w:val="22"/>
                      <w:szCs w:val="22"/>
                    </w:rPr>
                    <w:t>加油站用地面积</w:t>
                  </w:r>
                </w:p>
              </w:tc>
              <w:tc>
                <w:tcPr>
                  <w:tcW w:w="519" w:type="pct"/>
                  <w:vAlign w:val="center"/>
                </w:tcPr>
                <w:p w14:paraId="47A6AA6F">
                  <w:pPr>
                    <w:contextualSpacing/>
                    <w:jc w:val="center"/>
                    <w:rPr>
                      <w:sz w:val="22"/>
                      <w:szCs w:val="22"/>
                    </w:rPr>
                  </w:pPr>
                  <w:r>
                    <w:rPr>
                      <w:sz w:val="22"/>
                      <w:szCs w:val="22"/>
                    </w:rPr>
                    <w:t>m</w:t>
                  </w:r>
                  <w:r>
                    <w:rPr>
                      <w:sz w:val="22"/>
                      <w:szCs w:val="22"/>
                      <w:vertAlign w:val="superscript"/>
                    </w:rPr>
                    <w:t>2</w:t>
                  </w:r>
                </w:p>
              </w:tc>
              <w:tc>
                <w:tcPr>
                  <w:tcW w:w="720" w:type="pct"/>
                  <w:vAlign w:val="center"/>
                </w:tcPr>
                <w:p w14:paraId="5FE53F49">
                  <w:pPr>
                    <w:contextualSpacing/>
                    <w:jc w:val="center"/>
                    <w:rPr>
                      <w:rFonts w:hint="default" w:eastAsia="宋体"/>
                      <w:color w:val="auto"/>
                      <w:sz w:val="22"/>
                      <w:szCs w:val="22"/>
                      <w:lang w:val="en-US" w:eastAsia="zh-CN"/>
                    </w:rPr>
                  </w:pPr>
                  <w:r>
                    <w:rPr>
                      <w:rFonts w:hint="eastAsia"/>
                      <w:color w:val="auto"/>
                      <w:sz w:val="22"/>
                      <w:szCs w:val="22"/>
                      <w:lang w:val="en-US" w:eastAsia="zh-CN"/>
                    </w:rPr>
                    <w:t>3110.4</w:t>
                  </w:r>
                </w:p>
              </w:tc>
              <w:tc>
                <w:tcPr>
                  <w:tcW w:w="1734" w:type="pct"/>
                  <w:vAlign w:val="center"/>
                </w:tcPr>
                <w:p w14:paraId="78B9C0FD">
                  <w:pPr>
                    <w:contextualSpacing/>
                    <w:jc w:val="center"/>
                    <w:rPr>
                      <w:sz w:val="22"/>
                      <w:szCs w:val="22"/>
                    </w:rPr>
                  </w:pPr>
                  <w:r>
                    <w:rPr>
                      <w:sz w:val="22"/>
                      <w:szCs w:val="22"/>
                    </w:rPr>
                    <w:t>/</w:t>
                  </w:r>
                </w:p>
              </w:tc>
            </w:tr>
            <w:tr w14:paraId="49B5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Align w:val="center"/>
                </w:tcPr>
                <w:p w14:paraId="344EF577">
                  <w:pPr>
                    <w:contextualSpacing/>
                    <w:jc w:val="center"/>
                    <w:rPr>
                      <w:sz w:val="22"/>
                      <w:szCs w:val="22"/>
                    </w:rPr>
                  </w:pPr>
                  <w:r>
                    <w:rPr>
                      <w:sz w:val="22"/>
                      <w:szCs w:val="22"/>
                    </w:rPr>
                    <w:t>5</w:t>
                  </w:r>
                </w:p>
              </w:tc>
              <w:tc>
                <w:tcPr>
                  <w:tcW w:w="1465" w:type="pct"/>
                  <w:gridSpan w:val="2"/>
                  <w:vAlign w:val="center"/>
                </w:tcPr>
                <w:p w14:paraId="542B9385">
                  <w:pPr>
                    <w:contextualSpacing/>
                    <w:jc w:val="center"/>
                    <w:rPr>
                      <w:sz w:val="22"/>
                      <w:szCs w:val="22"/>
                    </w:rPr>
                  </w:pPr>
                  <w:r>
                    <w:rPr>
                      <w:rFonts w:hAnsi="宋体"/>
                      <w:sz w:val="22"/>
                      <w:szCs w:val="22"/>
                    </w:rPr>
                    <w:t>总建筑面积</w:t>
                  </w:r>
                </w:p>
              </w:tc>
              <w:tc>
                <w:tcPr>
                  <w:tcW w:w="519" w:type="pct"/>
                  <w:vAlign w:val="center"/>
                </w:tcPr>
                <w:p w14:paraId="26C7457C">
                  <w:pPr>
                    <w:contextualSpacing/>
                    <w:jc w:val="center"/>
                    <w:rPr>
                      <w:sz w:val="22"/>
                      <w:szCs w:val="22"/>
                    </w:rPr>
                  </w:pPr>
                  <w:r>
                    <w:rPr>
                      <w:sz w:val="22"/>
                      <w:szCs w:val="22"/>
                    </w:rPr>
                    <w:t>m</w:t>
                  </w:r>
                  <w:r>
                    <w:rPr>
                      <w:sz w:val="22"/>
                      <w:szCs w:val="22"/>
                      <w:vertAlign w:val="superscript"/>
                    </w:rPr>
                    <w:t>2</w:t>
                  </w:r>
                </w:p>
              </w:tc>
              <w:tc>
                <w:tcPr>
                  <w:tcW w:w="720" w:type="pct"/>
                  <w:vAlign w:val="center"/>
                </w:tcPr>
                <w:p w14:paraId="45C17CAA">
                  <w:pPr>
                    <w:contextualSpacing/>
                    <w:jc w:val="center"/>
                    <w:rPr>
                      <w:rFonts w:hint="default" w:eastAsia="宋体"/>
                      <w:color w:val="auto"/>
                      <w:sz w:val="22"/>
                      <w:szCs w:val="22"/>
                      <w:lang w:val="en-US" w:eastAsia="zh-CN"/>
                    </w:rPr>
                  </w:pPr>
                  <w:r>
                    <w:rPr>
                      <w:rFonts w:hint="eastAsia"/>
                      <w:color w:val="auto"/>
                      <w:sz w:val="22"/>
                      <w:szCs w:val="22"/>
                      <w:lang w:val="en-US" w:eastAsia="zh-CN"/>
                    </w:rPr>
                    <w:t>1270.96</w:t>
                  </w:r>
                </w:p>
              </w:tc>
              <w:tc>
                <w:tcPr>
                  <w:tcW w:w="1734" w:type="pct"/>
                  <w:vAlign w:val="center"/>
                </w:tcPr>
                <w:p w14:paraId="2AD85EB3">
                  <w:pPr>
                    <w:contextualSpacing/>
                    <w:jc w:val="center"/>
                    <w:rPr>
                      <w:sz w:val="22"/>
                      <w:szCs w:val="22"/>
                    </w:rPr>
                  </w:pPr>
                  <w:r>
                    <w:rPr>
                      <w:rFonts w:hAnsi="宋体"/>
                      <w:sz w:val="22"/>
                      <w:szCs w:val="22"/>
                    </w:rPr>
                    <w:t>含罩棚</w:t>
                  </w:r>
                </w:p>
              </w:tc>
            </w:tr>
            <w:tr w14:paraId="6BF9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60" w:type="pct"/>
                  <w:vAlign w:val="center"/>
                </w:tcPr>
                <w:p w14:paraId="5D259A50">
                  <w:pPr>
                    <w:contextualSpacing/>
                    <w:jc w:val="center"/>
                    <w:rPr>
                      <w:sz w:val="22"/>
                      <w:szCs w:val="22"/>
                    </w:rPr>
                  </w:pPr>
                  <w:r>
                    <w:rPr>
                      <w:sz w:val="22"/>
                      <w:szCs w:val="22"/>
                    </w:rPr>
                    <w:t>6</w:t>
                  </w:r>
                </w:p>
              </w:tc>
              <w:tc>
                <w:tcPr>
                  <w:tcW w:w="1465" w:type="pct"/>
                  <w:gridSpan w:val="2"/>
                  <w:vAlign w:val="center"/>
                </w:tcPr>
                <w:p w14:paraId="069DDF29">
                  <w:pPr>
                    <w:contextualSpacing/>
                    <w:jc w:val="center"/>
                    <w:rPr>
                      <w:sz w:val="22"/>
                      <w:szCs w:val="22"/>
                    </w:rPr>
                  </w:pPr>
                  <w:r>
                    <w:rPr>
                      <w:rFonts w:hAnsi="宋体"/>
                      <w:sz w:val="22"/>
                      <w:szCs w:val="22"/>
                    </w:rPr>
                    <w:t>绿化面积</w:t>
                  </w:r>
                </w:p>
              </w:tc>
              <w:tc>
                <w:tcPr>
                  <w:tcW w:w="519" w:type="pct"/>
                  <w:vAlign w:val="center"/>
                </w:tcPr>
                <w:p w14:paraId="7186D12D">
                  <w:pPr>
                    <w:contextualSpacing/>
                    <w:jc w:val="center"/>
                    <w:rPr>
                      <w:sz w:val="22"/>
                      <w:szCs w:val="22"/>
                    </w:rPr>
                  </w:pPr>
                  <w:r>
                    <w:rPr>
                      <w:sz w:val="22"/>
                      <w:szCs w:val="22"/>
                    </w:rPr>
                    <w:t>m</w:t>
                  </w:r>
                  <w:r>
                    <w:rPr>
                      <w:sz w:val="22"/>
                      <w:szCs w:val="22"/>
                      <w:vertAlign w:val="superscript"/>
                    </w:rPr>
                    <w:t>2</w:t>
                  </w:r>
                </w:p>
              </w:tc>
              <w:tc>
                <w:tcPr>
                  <w:tcW w:w="720" w:type="pct"/>
                  <w:vAlign w:val="center"/>
                </w:tcPr>
                <w:p w14:paraId="5C13AEC5">
                  <w:pPr>
                    <w:contextualSpacing/>
                    <w:jc w:val="center"/>
                    <w:rPr>
                      <w:color w:val="auto"/>
                      <w:sz w:val="22"/>
                      <w:szCs w:val="22"/>
                    </w:rPr>
                  </w:pPr>
                  <w:r>
                    <w:rPr>
                      <w:rFonts w:hint="eastAsia"/>
                      <w:color w:val="auto"/>
                      <w:sz w:val="22"/>
                      <w:szCs w:val="22"/>
                    </w:rPr>
                    <w:t>15</w:t>
                  </w:r>
                  <w:r>
                    <w:rPr>
                      <w:color w:val="auto"/>
                      <w:sz w:val="22"/>
                      <w:szCs w:val="22"/>
                    </w:rPr>
                    <w:t>0</w:t>
                  </w:r>
                </w:p>
              </w:tc>
              <w:tc>
                <w:tcPr>
                  <w:tcW w:w="1734" w:type="pct"/>
                  <w:vAlign w:val="center"/>
                </w:tcPr>
                <w:p w14:paraId="7A24AC7B">
                  <w:pPr>
                    <w:contextualSpacing/>
                    <w:jc w:val="center"/>
                    <w:rPr>
                      <w:sz w:val="22"/>
                      <w:szCs w:val="22"/>
                    </w:rPr>
                  </w:pPr>
                  <w:r>
                    <w:rPr>
                      <w:sz w:val="22"/>
                      <w:szCs w:val="22"/>
                    </w:rPr>
                    <w:t>/</w:t>
                  </w:r>
                </w:p>
              </w:tc>
            </w:tr>
            <w:tr w14:paraId="6EA1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Align w:val="center"/>
                </w:tcPr>
                <w:p w14:paraId="6C2B0A00">
                  <w:pPr>
                    <w:contextualSpacing/>
                    <w:jc w:val="center"/>
                    <w:rPr>
                      <w:sz w:val="22"/>
                      <w:szCs w:val="22"/>
                    </w:rPr>
                  </w:pPr>
                  <w:r>
                    <w:rPr>
                      <w:sz w:val="22"/>
                      <w:szCs w:val="22"/>
                    </w:rPr>
                    <w:t>7</w:t>
                  </w:r>
                </w:p>
              </w:tc>
              <w:tc>
                <w:tcPr>
                  <w:tcW w:w="1465" w:type="pct"/>
                  <w:gridSpan w:val="2"/>
                  <w:vAlign w:val="center"/>
                </w:tcPr>
                <w:p w14:paraId="4A2BA4E6">
                  <w:pPr>
                    <w:contextualSpacing/>
                    <w:jc w:val="center"/>
                    <w:rPr>
                      <w:sz w:val="22"/>
                      <w:szCs w:val="22"/>
                    </w:rPr>
                  </w:pPr>
                  <w:r>
                    <w:rPr>
                      <w:rFonts w:hAnsi="宋体"/>
                      <w:sz w:val="22"/>
                      <w:szCs w:val="22"/>
                    </w:rPr>
                    <w:t>总投资</w:t>
                  </w:r>
                </w:p>
              </w:tc>
              <w:tc>
                <w:tcPr>
                  <w:tcW w:w="519" w:type="pct"/>
                  <w:vAlign w:val="center"/>
                </w:tcPr>
                <w:p w14:paraId="0761F1FC">
                  <w:pPr>
                    <w:contextualSpacing/>
                    <w:jc w:val="center"/>
                    <w:rPr>
                      <w:sz w:val="22"/>
                      <w:szCs w:val="22"/>
                    </w:rPr>
                  </w:pPr>
                  <w:r>
                    <w:rPr>
                      <w:rFonts w:hAnsi="宋体"/>
                      <w:sz w:val="22"/>
                      <w:szCs w:val="22"/>
                    </w:rPr>
                    <w:t>万元</w:t>
                  </w:r>
                </w:p>
              </w:tc>
              <w:tc>
                <w:tcPr>
                  <w:tcW w:w="720" w:type="pct"/>
                  <w:vAlign w:val="center"/>
                </w:tcPr>
                <w:p w14:paraId="538D0FA3">
                  <w:pPr>
                    <w:contextualSpacing/>
                    <w:jc w:val="center"/>
                    <w:rPr>
                      <w:rFonts w:hint="default" w:eastAsia="宋体"/>
                      <w:sz w:val="22"/>
                      <w:szCs w:val="22"/>
                      <w:lang w:val="en-US" w:eastAsia="zh-CN"/>
                    </w:rPr>
                  </w:pPr>
                  <w:r>
                    <w:rPr>
                      <w:rFonts w:hint="eastAsia"/>
                      <w:sz w:val="22"/>
                      <w:szCs w:val="22"/>
                      <w:lang w:val="en-US" w:eastAsia="zh-CN"/>
                    </w:rPr>
                    <w:t>297.9</w:t>
                  </w:r>
                </w:p>
              </w:tc>
              <w:tc>
                <w:tcPr>
                  <w:tcW w:w="1734" w:type="pct"/>
                  <w:vAlign w:val="center"/>
                </w:tcPr>
                <w:p w14:paraId="659DB7CE">
                  <w:pPr>
                    <w:contextualSpacing/>
                    <w:jc w:val="center"/>
                    <w:rPr>
                      <w:sz w:val="22"/>
                      <w:szCs w:val="22"/>
                    </w:rPr>
                  </w:pPr>
                  <w:r>
                    <w:rPr>
                      <w:sz w:val="22"/>
                      <w:szCs w:val="22"/>
                    </w:rPr>
                    <w:t>/</w:t>
                  </w:r>
                </w:p>
              </w:tc>
            </w:tr>
            <w:tr w14:paraId="5C15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Align w:val="center"/>
                </w:tcPr>
                <w:p w14:paraId="3B398F26">
                  <w:pPr>
                    <w:contextualSpacing/>
                    <w:jc w:val="center"/>
                    <w:rPr>
                      <w:sz w:val="22"/>
                      <w:szCs w:val="22"/>
                    </w:rPr>
                  </w:pPr>
                  <w:r>
                    <w:rPr>
                      <w:sz w:val="22"/>
                      <w:szCs w:val="22"/>
                    </w:rPr>
                    <w:t>8</w:t>
                  </w:r>
                </w:p>
              </w:tc>
              <w:tc>
                <w:tcPr>
                  <w:tcW w:w="1465" w:type="pct"/>
                  <w:gridSpan w:val="2"/>
                  <w:vAlign w:val="center"/>
                </w:tcPr>
                <w:p w14:paraId="2A3567DE">
                  <w:pPr>
                    <w:contextualSpacing/>
                    <w:jc w:val="center"/>
                    <w:rPr>
                      <w:sz w:val="22"/>
                      <w:szCs w:val="22"/>
                    </w:rPr>
                  </w:pPr>
                  <w:r>
                    <w:rPr>
                      <w:rFonts w:hAnsi="宋体"/>
                      <w:sz w:val="22"/>
                      <w:szCs w:val="22"/>
                    </w:rPr>
                    <w:t>环保投资</w:t>
                  </w:r>
                </w:p>
              </w:tc>
              <w:tc>
                <w:tcPr>
                  <w:tcW w:w="519" w:type="pct"/>
                  <w:vAlign w:val="center"/>
                </w:tcPr>
                <w:p w14:paraId="5DDE78ED">
                  <w:pPr>
                    <w:contextualSpacing/>
                    <w:jc w:val="center"/>
                    <w:rPr>
                      <w:sz w:val="22"/>
                      <w:szCs w:val="22"/>
                    </w:rPr>
                  </w:pPr>
                  <w:r>
                    <w:rPr>
                      <w:rFonts w:hAnsi="宋体"/>
                      <w:sz w:val="22"/>
                      <w:szCs w:val="22"/>
                    </w:rPr>
                    <w:t>万元</w:t>
                  </w:r>
                </w:p>
              </w:tc>
              <w:tc>
                <w:tcPr>
                  <w:tcW w:w="720" w:type="pct"/>
                  <w:vAlign w:val="center"/>
                </w:tcPr>
                <w:p w14:paraId="3AD20EAA">
                  <w:pPr>
                    <w:contextualSpacing/>
                    <w:jc w:val="center"/>
                    <w:rPr>
                      <w:sz w:val="22"/>
                      <w:szCs w:val="22"/>
                    </w:rPr>
                  </w:pPr>
                  <w:r>
                    <w:rPr>
                      <w:sz w:val="22"/>
                      <w:szCs w:val="22"/>
                    </w:rPr>
                    <w:t>25</w:t>
                  </w:r>
                </w:p>
              </w:tc>
              <w:tc>
                <w:tcPr>
                  <w:tcW w:w="1734" w:type="pct"/>
                  <w:vAlign w:val="center"/>
                </w:tcPr>
                <w:p w14:paraId="27895F2F">
                  <w:pPr>
                    <w:contextualSpacing/>
                    <w:jc w:val="center"/>
                    <w:rPr>
                      <w:sz w:val="22"/>
                      <w:szCs w:val="22"/>
                    </w:rPr>
                  </w:pPr>
                  <w:r>
                    <w:rPr>
                      <w:sz w:val="22"/>
                      <w:szCs w:val="22"/>
                    </w:rPr>
                    <w:t>/</w:t>
                  </w:r>
                </w:p>
              </w:tc>
            </w:tr>
            <w:tr w14:paraId="0BCC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Align w:val="center"/>
                </w:tcPr>
                <w:p w14:paraId="3999EC34">
                  <w:pPr>
                    <w:contextualSpacing/>
                    <w:jc w:val="center"/>
                    <w:rPr>
                      <w:sz w:val="22"/>
                      <w:szCs w:val="22"/>
                    </w:rPr>
                  </w:pPr>
                  <w:r>
                    <w:rPr>
                      <w:sz w:val="22"/>
                      <w:szCs w:val="22"/>
                    </w:rPr>
                    <w:t>9</w:t>
                  </w:r>
                </w:p>
              </w:tc>
              <w:tc>
                <w:tcPr>
                  <w:tcW w:w="1465" w:type="pct"/>
                  <w:gridSpan w:val="2"/>
                  <w:vAlign w:val="center"/>
                </w:tcPr>
                <w:p w14:paraId="61074767">
                  <w:pPr>
                    <w:contextualSpacing/>
                    <w:jc w:val="center"/>
                    <w:rPr>
                      <w:sz w:val="22"/>
                      <w:szCs w:val="22"/>
                    </w:rPr>
                  </w:pPr>
                  <w:r>
                    <w:rPr>
                      <w:rFonts w:hAnsi="宋体"/>
                      <w:sz w:val="22"/>
                      <w:szCs w:val="22"/>
                    </w:rPr>
                    <w:t>劳动定员</w:t>
                  </w:r>
                </w:p>
              </w:tc>
              <w:tc>
                <w:tcPr>
                  <w:tcW w:w="519" w:type="pct"/>
                  <w:vAlign w:val="center"/>
                </w:tcPr>
                <w:p w14:paraId="6F4B2351">
                  <w:pPr>
                    <w:contextualSpacing/>
                    <w:jc w:val="center"/>
                    <w:rPr>
                      <w:sz w:val="22"/>
                      <w:szCs w:val="22"/>
                    </w:rPr>
                  </w:pPr>
                  <w:r>
                    <w:rPr>
                      <w:rFonts w:hAnsi="宋体"/>
                      <w:sz w:val="22"/>
                      <w:szCs w:val="22"/>
                    </w:rPr>
                    <w:t>人</w:t>
                  </w:r>
                </w:p>
              </w:tc>
              <w:tc>
                <w:tcPr>
                  <w:tcW w:w="720" w:type="pct"/>
                  <w:vAlign w:val="center"/>
                </w:tcPr>
                <w:p w14:paraId="3096BFA8">
                  <w:pPr>
                    <w:contextualSpacing/>
                    <w:jc w:val="center"/>
                    <w:rPr>
                      <w:rFonts w:hint="default" w:eastAsia="宋体"/>
                      <w:sz w:val="22"/>
                      <w:szCs w:val="22"/>
                      <w:lang w:val="en-US" w:eastAsia="zh-CN"/>
                    </w:rPr>
                  </w:pPr>
                  <w:r>
                    <w:rPr>
                      <w:rFonts w:hint="eastAsia"/>
                      <w:sz w:val="22"/>
                      <w:szCs w:val="22"/>
                      <w:lang w:val="en-US" w:eastAsia="zh-CN"/>
                    </w:rPr>
                    <w:t>7</w:t>
                  </w:r>
                </w:p>
              </w:tc>
              <w:tc>
                <w:tcPr>
                  <w:tcW w:w="1734" w:type="pct"/>
                  <w:vAlign w:val="center"/>
                </w:tcPr>
                <w:p w14:paraId="224352CB">
                  <w:pPr>
                    <w:contextualSpacing/>
                    <w:jc w:val="center"/>
                    <w:rPr>
                      <w:sz w:val="22"/>
                      <w:szCs w:val="22"/>
                    </w:rPr>
                  </w:pPr>
                  <w:r>
                    <w:rPr>
                      <w:sz w:val="22"/>
                      <w:szCs w:val="22"/>
                    </w:rPr>
                    <w:t>/</w:t>
                  </w:r>
                </w:p>
              </w:tc>
            </w:tr>
            <w:tr w14:paraId="3D0E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pct"/>
                  <w:vAlign w:val="center"/>
                </w:tcPr>
                <w:p w14:paraId="2D95E9A4">
                  <w:pPr>
                    <w:contextualSpacing/>
                    <w:jc w:val="center"/>
                    <w:rPr>
                      <w:sz w:val="22"/>
                      <w:szCs w:val="22"/>
                    </w:rPr>
                  </w:pPr>
                  <w:r>
                    <w:rPr>
                      <w:sz w:val="22"/>
                      <w:szCs w:val="22"/>
                    </w:rPr>
                    <w:t>10</w:t>
                  </w:r>
                </w:p>
              </w:tc>
              <w:tc>
                <w:tcPr>
                  <w:tcW w:w="1465" w:type="pct"/>
                  <w:gridSpan w:val="2"/>
                  <w:vAlign w:val="center"/>
                </w:tcPr>
                <w:p w14:paraId="6B310680">
                  <w:pPr>
                    <w:contextualSpacing/>
                    <w:jc w:val="center"/>
                    <w:rPr>
                      <w:sz w:val="22"/>
                      <w:szCs w:val="22"/>
                    </w:rPr>
                  </w:pPr>
                  <w:r>
                    <w:rPr>
                      <w:rFonts w:hAnsi="宋体"/>
                      <w:sz w:val="22"/>
                      <w:szCs w:val="22"/>
                    </w:rPr>
                    <w:t>年工作日</w:t>
                  </w:r>
                </w:p>
              </w:tc>
              <w:tc>
                <w:tcPr>
                  <w:tcW w:w="519" w:type="pct"/>
                  <w:vAlign w:val="center"/>
                </w:tcPr>
                <w:p w14:paraId="52D3591B">
                  <w:pPr>
                    <w:contextualSpacing/>
                    <w:jc w:val="center"/>
                    <w:rPr>
                      <w:sz w:val="22"/>
                      <w:szCs w:val="22"/>
                    </w:rPr>
                  </w:pPr>
                  <w:r>
                    <w:rPr>
                      <w:rFonts w:hAnsi="宋体"/>
                      <w:sz w:val="22"/>
                      <w:szCs w:val="22"/>
                    </w:rPr>
                    <w:t>天</w:t>
                  </w:r>
                </w:p>
              </w:tc>
              <w:tc>
                <w:tcPr>
                  <w:tcW w:w="720" w:type="pct"/>
                  <w:vAlign w:val="center"/>
                </w:tcPr>
                <w:p w14:paraId="110E3D59">
                  <w:pPr>
                    <w:contextualSpacing/>
                    <w:jc w:val="center"/>
                    <w:rPr>
                      <w:sz w:val="22"/>
                      <w:szCs w:val="22"/>
                    </w:rPr>
                  </w:pPr>
                  <w:r>
                    <w:rPr>
                      <w:sz w:val="22"/>
                      <w:szCs w:val="22"/>
                    </w:rPr>
                    <w:t>365</w:t>
                  </w:r>
                </w:p>
              </w:tc>
              <w:tc>
                <w:tcPr>
                  <w:tcW w:w="1734" w:type="pct"/>
                  <w:vAlign w:val="center"/>
                </w:tcPr>
                <w:p w14:paraId="6A543F52">
                  <w:pPr>
                    <w:contextualSpacing/>
                    <w:jc w:val="center"/>
                    <w:rPr>
                      <w:sz w:val="22"/>
                      <w:szCs w:val="22"/>
                    </w:rPr>
                  </w:pPr>
                  <w:r>
                    <w:rPr>
                      <w:rFonts w:hAnsi="宋体"/>
                      <w:sz w:val="22"/>
                      <w:szCs w:val="22"/>
                    </w:rPr>
                    <w:t>3班制，</w:t>
                  </w:r>
                  <w:r>
                    <w:rPr>
                      <w:sz w:val="22"/>
                      <w:szCs w:val="22"/>
                    </w:rPr>
                    <w:t>8</w:t>
                  </w:r>
                  <w:r>
                    <w:rPr>
                      <w:rFonts w:hAnsi="宋体"/>
                      <w:sz w:val="22"/>
                      <w:szCs w:val="22"/>
                    </w:rPr>
                    <w:t>小时</w:t>
                  </w:r>
                  <w:r>
                    <w:rPr>
                      <w:sz w:val="22"/>
                      <w:szCs w:val="22"/>
                    </w:rPr>
                    <w:t>/</w:t>
                  </w:r>
                  <w:r>
                    <w:rPr>
                      <w:rFonts w:hAnsi="宋体"/>
                      <w:sz w:val="22"/>
                      <w:szCs w:val="22"/>
                    </w:rPr>
                    <w:t>班</w:t>
                  </w:r>
                </w:p>
              </w:tc>
            </w:tr>
          </w:tbl>
          <w:p w14:paraId="1AA783F7">
            <w:pPr>
              <w:pStyle w:val="14"/>
            </w:pPr>
          </w:p>
          <w:p w14:paraId="79B0ADE0">
            <w:pPr>
              <w:pStyle w:val="14"/>
            </w:pPr>
          </w:p>
          <w:p w14:paraId="163BBE24">
            <w:pPr>
              <w:pStyle w:val="14"/>
            </w:pPr>
          </w:p>
        </w:tc>
      </w:tr>
      <w:tr w14:paraId="06A61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14:paraId="71C3A725">
            <w:pPr>
              <w:adjustRightInd w:val="0"/>
              <w:snapToGrid w:val="0"/>
              <w:jc w:val="center"/>
              <w:rPr>
                <w:sz w:val="26"/>
                <w:szCs w:val="26"/>
              </w:rPr>
            </w:pPr>
            <w:r>
              <w:rPr>
                <w:sz w:val="26"/>
                <w:szCs w:val="26"/>
              </w:rPr>
              <w:t>工艺流程和产排污环节</w:t>
            </w:r>
          </w:p>
        </w:tc>
        <w:tc>
          <w:tcPr>
            <w:tcW w:w="8161" w:type="dxa"/>
          </w:tcPr>
          <w:p w14:paraId="79F02508">
            <w:pPr>
              <w:adjustRightInd w:val="0"/>
              <w:snapToGrid w:val="0"/>
              <w:spacing w:line="440" w:lineRule="exact"/>
              <w:jc w:val="left"/>
              <w:rPr>
                <w:b/>
                <w:sz w:val="26"/>
                <w:szCs w:val="26"/>
              </w:rPr>
            </w:pPr>
            <w:r>
              <w:rPr>
                <w:rFonts w:hint="eastAsia"/>
                <w:b/>
                <w:sz w:val="26"/>
                <w:szCs w:val="26"/>
              </w:rPr>
              <w:t>2.</w:t>
            </w:r>
            <w:r>
              <w:rPr>
                <w:rFonts w:hint="eastAsia"/>
                <w:b/>
                <w:sz w:val="26"/>
                <w:szCs w:val="26"/>
                <w:lang w:val="en-US" w:eastAsia="zh-CN"/>
              </w:rPr>
              <w:t>10</w:t>
            </w:r>
            <w:r>
              <w:rPr>
                <w:rFonts w:hint="eastAsia"/>
                <w:b/>
                <w:sz w:val="26"/>
                <w:szCs w:val="26"/>
              </w:rPr>
              <w:t>本项目施工期</w:t>
            </w:r>
            <w:r>
              <w:rPr>
                <w:b/>
                <w:sz w:val="26"/>
                <w:szCs w:val="26"/>
              </w:rPr>
              <w:t>主要工艺流程及产排污环节</w:t>
            </w:r>
          </w:p>
          <w:p w14:paraId="0CC9A802">
            <w:pPr>
              <w:spacing w:line="440" w:lineRule="exact"/>
              <w:ind w:firstLine="520" w:firstLineChars="200"/>
              <w:rPr>
                <w:sz w:val="26"/>
                <w:szCs w:val="26"/>
              </w:rPr>
            </w:pPr>
            <w:r>
              <w:rPr>
                <w:sz w:val="26"/>
                <w:szCs w:val="26"/>
              </w:rPr>
              <w:t>项目施工</w:t>
            </w:r>
            <w:r>
              <w:rPr>
                <w:rFonts w:hint="eastAsia"/>
                <w:sz w:val="26"/>
                <w:szCs w:val="26"/>
              </w:rPr>
              <w:t>期间</w:t>
            </w:r>
            <w:r>
              <w:rPr>
                <w:sz w:val="26"/>
                <w:szCs w:val="26"/>
              </w:rPr>
              <w:t>大致分3个步骤：</w:t>
            </w:r>
            <w:r>
              <w:rPr>
                <w:rFonts w:hint="eastAsia"/>
                <w:sz w:val="26"/>
                <w:szCs w:val="26"/>
              </w:rPr>
              <w:t>拆除现有埋地罐、池、输油管线，结构施工，储油罐、管线安装，装饰调试，投入使用</w:t>
            </w:r>
            <w:r>
              <w:rPr>
                <w:sz w:val="26"/>
                <w:szCs w:val="26"/>
              </w:rPr>
              <w:t>。本项目施工期工艺流程及排污环节见图2.</w:t>
            </w:r>
            <w:r>
              <w:rPr>
                <w:rFonts w:hint="eastAsia"/>
                <w:sz w:val="26"/>
                <w:szCs w:val="26"/>
                <w:lang w:val="en-US" w:eastAsia="zh-CN"/>
              </w:rPr>
              <w:t>10</w:t>
            </w:r>
            <w:r>
              <w:rPr>
                <w:sz w:val="26"/>
                <w:szCs w:val="26"/>
              </w:rPr>
              <w:t>-1。</w:t>
            </w:r>
          </w:p>
          <w:p w14:paraId="2F3F1132">
            <w:pPr>
              <w:jc w:val="center"/>
              <w:rPr>
                <w:rFonts w:hint="eastAsia" w:hAnsi="宋体"/>
                <w:sz w:val="24"/>
              </w:rPr>
            </w:pPr>
            <w:r>
              <w:drawing>
                <wp:inline distT="0" distB="0" distL="0" distR="0">
                  <wp:extent cx="5045075" cy="1443990"/>
                  <wp:effectExtent l="19050" t="19050" r="22225"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045075" cy="1443990"/>
                          </a:xfrm>
                          <a:prstGeom prst="rect">
                            <a:avLst/>
                          </a:prstGeom>
                          <a:ln>
                            <a:solidFill>
                              <a:schemeClr val="tx1"/>
                            </a:solidFill>
                          </a:ln>
                        </pic:spPr>
                      </pic:pic>
                    </a:graphicData>
                  </a:graphic>
                </wp:inline>
              </w:drawing>
            </w:r>
          </w:p>
          <w:p w14:paraId="2183750C">
            <w:pPr>
              <w:spacing w:line="240" w:lineRule="auto"/>
              <w:jc w:val="center"/>
              <w:rPr>
                <w:rFonts w:hint="eastAsia" w:hAnsi="宋体"/>
                <w:b/>
                <w:bCs/>
                <w:sz w:val="24"/>
                <w:u w:val="single"/>
              </w:rPr>
            </w:pPr>
            <w:r>
              <w:rPr>
                <w:rFonts w:hint="eastAsia" w:hAnsi="宋体"/>
                <w:b w:val="0"/>
                <w:bCs w:val="0"/>
                <w:sz w:val="22"/>
                <w:szCs w:val="22"/>
                <w:u w:val="none"/>
              </w:rPr>
              <w:t>图2.</w:t>
            </w:r>
            <w:r>
              <w:rPr>
                <w:rFonts w:hint="eastAsia" w:hAnsi="宋体"/>
                <w:b w:val="0"/>
                <w:bCs w:val="0"/>
                <w:sz w:val="22"/>
                <w:szCs w:val="22"/>
                <w:u w:val="none"/>
                <w:lang w:val="en-US" w:eastAsia="zh-CN"/>
              </w:rPr>
              <w:t>10</w:t>
            </w:r>
            <w:r>
              <w:rPr>
                <w:rFonts w:hint="eastAsia" w:hAnsi="宋体"/>
                <w:b w:val="0"/>
                <w:bCs w:val="0"/>
                <w:sz w:val="22"/>
                <w:szCs w:val="22"/>
                <w:u w:val="none"/>
              </w:rPr>
              <w:t>-1  施工期工艺流程及排污环节图</w:t>
            </w:r>
          </w:p>
          <w:p w14:paraId="5E3CBAA9">
            <w:pPr>
              <w:adjustRightInd w:val="0"/>
              <w:snapToGrid w:val="0"/>
              <w:spacing w:line="440" w:lineRule="exact"/>
              <w:ind w:firstLine="520" w:firstLineChars="200"/>
              <w:rPr>
                <w:bCs/>
                <w:sz w:val="26"/>
                <w:szCs w:val="26"/>
              </w:rPr>
            </w:pPr>
            <w:r>
              <w:rPr>
                <w:rFonts w:hint="eastAsia"/>
                <w:bCs/>
                <w:sz w:val="26"/>
                <w:szCs w:val="26"/>
              </w:rPr>
              <w:t>建设过程中使用的机械设备将会产生施工噪声，施工期废水主要来源于施工人员生活污水及施工机械冲洗废水，另外原有工程油罐委托专业单位进行拆除，</w:t>
            </w:r>
            <w:r>
              <w:rPr>
                <w:rFonts w:hint="eastAsia"/>
                <w:bCs/>
                <w:sz w:val="26"/>
                <w:szCs w:val="26"/>
                <w:lang w:val="en-US" w:eastAsia="zh-CN"/>
              </w:rPr>
              <w:t>现有</w:t>
            </w:r>
            <w:r>
              <w:rPr>
                <w:rFonts w:hint="eastAsia"/>
                <w:bCs/>
                <w:sz w:val="26"/>
                <w:szCs w:val="26"/>
              </w:rPr>
              <w:t>油罐为4个</w:t>
            </w:r>
            <w:r>
              <w:rPr>
                <w:rFonts w:hint="eastAsia"/>
                <w:bCs/>
                <w:sz w:val="26"/>
                <w:szCs w:val="26"/>
                <w:lang w:eastAsia="zh-CN"/>
              </w:rPr>
              <w:t>，</w:t>
            </w:r>
            <w:r>
              <w:rPr>
                <w:rFonts w:hint="eastAsia"/>
                <w:bCs/>
                <w:sz w:val="26"/>
                <w:szCs w:val="26"/>
              </w:rPr>
              <w:t>清罐废物</w:t>
            </w:r>
            <w:r>
              <w:rPr>
                <w:rFonts w:hint="eastAsia"/>
                <w:bCs/>
                <w:sz w:val="26"/>
                <w:szCs w:val="26"/>
                <w:lang w:val="en-US" w:eastAsia="zh-CN"/>
              </w:rPr>
              <w:t>产生量</w:t>
            </w:r>
            <w:r>
              <w:rPr>
                <w:rFonts w:hint="eastAsia"/>
                <w:bCs/>
                <w:sz w:val="26"/>
                <w:szCs w:val="26"/>
              </w:rPr>
              <w:t>合计</w:t>
            </w:r>
            <w:r>
              <w:rPr>
                <w:rFonts w:hint="eastAsia"/>
                <w:bCs/>
                <w:sz w:val="26"/>
                <w:szCs w:val="26"/>
                <w:lang w:val="en-US" w:eastAsia="zh-CN"/>
              </w:rPr>
              <w:t>2.0</w:t>
            </w:r>
            <w:r>
              <w:rPr>
                <w:rFonts w:hint="eastAsia"/>
                <w:bCs/>
                <w:sz w:val="26"/>
                <w:szCs w:val="26"/>
              </w:rPr>
              <w:t>t，拆除油罐及含油废物在拆过过程完成后立即由</w:t>
            </w:r>
            <w:r>
              <w:rPr>
                <w:rFonts w:hint="eastAsia"/>
                <w:kern w:val="44"/>
                <w:sz w:val="26"/>
                <w:szCs w:val="26"/>
                <w:lang w:bidi="ar"/>
              </w:rPr>
              <w:t>有危废转移处理资质单位清运处置</w:t>
            </w:r>
            <w:r>
              <w:rPr>
                <w:rFonts w:hint="eastAsia"/>
                <w:bCs/>
                <w:sz w:val="26"/>
                <w:szCs w:val="26"/>
              </w:rPr>
              <w:t>。</w:t>
            </w:r>
          </w:p>
          <w:p w14:paraId="3F729CF3">
            <w:pPr>
              <w:adjustRightInd w:val="0"/>
              <w:snapToGrid w:val="0"/>
              <w:spacing w:line="440" w:lineRule="exact"/>
              <w:jc w:val="left"/>
              <w:rPr>
                <w:b/>
                <w:sz w:val="26"/>
                <w:szCs w:val="26"/>
              </w:rPr>
            </w:pPr>
            <w:r>
              <w:rPr>
                <w:b/>
                <w:sz w:val="26"/>
                <w:szCs w:val="26"/>
              </w:rPr>
              <w:t>2.</w:t>
            </w:r>
            <w:r>
              <w:rPr>
                <w:rFonts w:hint="eastAsia"/>
                <w:b/>
                <w:sz w:val="26"/>
                <w:szCs w:val="26"/>
                <w:lang w:val="en-US" w:eastAsia="zh-CN"/>
              </w:rPr>
              <w:t>11</w:t>
            </w:r>
            <w:r>
              <w:rPr>
                <w:rFonts w:hint="eastAsia"/>
                <w:b/>
                <w:sz w:val="26"/>
                <w:szCs w:val="26"/>
              </w:rPr>
              <w:t>本</w:t>
            </w:r>
            <w:r>
              <w:rPr>
                <w:b/>
                <w:sz w:val="26"/>
                <w:szCs w:val="26"/>
              </w:rPr>
              <w:t>项目</w:t>
            </w:r>
            <w:r>
              <w:rPr>
                <w:rFonts w:hint="eastAsia"/>
                <w:b/>
                <w:sz w:val="26"/>
                <w:szCs w:val="26"/>
              </w:rPr>
              <w:t>运营期</w:t>
            </w:r>
            <w:r>
              <w:rPr>
                <w:b/>
                <w:sz w:val="26"/>
                <w:szCs w:val="26"/>
              </w:rPr>
              <w:t>主要工艺流程及产排污环节</w:t>
            </w:r>
          </w:p>
          <w:p w14:paraId="37A6E00D">
            <w:pPr>
              <w:pStyle w:val="64"/>
            </w:pPr>
            <w:r>
              <w:rPr>
                <w:rFonts w:hint="eastAsia"/>
              </w:rPr>
              <w:t>本项目为加油站项目，运营期间主要为过往车辆加油。加油站工艺成熟，主要包括成品油进站卸油、储油和给过往车辆加油等过程。首先由油罐车将油料卸载至站内的油罐，采用加油机计量将油料加入车辆油箱。储油罐用于储存油料，从而保证加油站不会出现脱销现象。</w:t>
            </w:r>
          </w:p>
          <w:p w14:paraId="1A242E77">
            <w:pPr>
              <w:pStyle w:val="64"/>
            </w:pPr>
            <w:r>
              <w:drawing>
                <wp:anchor distT="0" distB="0" distL="114300" distR="114300" simplePos="0" relativeHeight="251662336" behindDoc="0" locked="0" layoutInCell="1" allowOverlap="1">
                  <wp:simplePos x="0" y="0"/>
                  <wp:positionH relativeFrom="column">
                    <wp:posOffset>62865</wp:posOffset>
                  </wp:positionH>
                  <wp:positionV relativeFrom="paragraph">
                    <wp:posOffset>2976245</wp:posOffset>
                  </wp:positionV>
                  <wp:extent cx="4900295" cy="3174365"/>
                  <wp:effectExtent l="19050" t="19050" r="14605" b="260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00295" cy="3174365"/>
                          </a:xfrm>
                          <a:prstGeom prst="rect">
                            <a:avLst/>
                          </a:prstGeom>
                          <a:ln>
                            <a:solidFill>
                              <a:schemeClr val="tx1"/>
                            </a:solidFill>
                          </a:ln>
                        </pic:spPr>
                      </pic:pic>
                    </a:graphicData>
                  </a:graphic>
                </wp:anchor>
              </w:drawing>
            </w:r>
            <w:r>
              <w:drawing>
                <wp:anchor distT="0" distB="0" distL="114300" distR="114300" simplePos="0" relativeHeight="251661312" behindDoc="0" locked="0" layoutInCell="1" allowOverlap="1">
                  <wp:simplePos x="0" y="0"/>
                  <wp:positionH relativeFrom="column">
                    <wp:posOffset>64770</wp:posOffset>
                  </wp:positionH>
                  <wp:positionV relativeFrom="paragraph">
                    <wp:posOffset>414020</wp:posOffset>
                  </wp:positionV>
                  <wp:extent cx="4900295" cy="2461260"/>
                  <wp:effectExtent l="19050" t="19050" r="14605" b="1524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00295" cy="2461260"/>
                          </a:xfrm>
                          <a:prstGeom prst="rect">
                            <a:avLst/>
                          </a:prstGeom>
                          <a:ln>
                            <a:solidFill>
                              <a:schemeClr val="tx1"/>
                            </a:solidFill>
                          </a:ln>
                        </pic:spPr>
                      </pic:pic>
                    </a:graphicData>
                  </a:graphic>
                </wp:anchor>
              </w:drawing>
            </w:r>
            <w:r>
              <w:rPr>
                <w:rFonts w:hint="eastAsia"/>
              </w:rPr>
              <w:t>本项目主要工艺及产污环节流程图分别</w:t>
            </w:r>
            <w:r>
              <w:t>见下图2.</w:t>
            </w:r>
            <w:r>
              <w:rPr>
                <w:rFonts w:hint="eastAsia"/>
                <w:lang w:val="en-US" w:eastAsia="zh-CN"/>
              </w:rPr>
              <w:t>11</w:t>
            </w:r>
            <w:r>
              <w:t>-1</w:t>
            </w:r>
            <w:r>
              <w:rPr>
                <w:rFonts w:hint="eastAsia"/>
              </w:rPr>
              <w:t>~</w:t>
            </w:r>
            <w:r>
              <w:t>图2.</w:t>
            </w:r>
            <w:r>
              <w:rPr>
                <w:rFonts w:hint="eastAsia"/>
                <w:lang w:val="en-US" w:eastAsia="zh-CN"/>
              </w:rPr>
              <w:t>11</w:t>
            </w:r>
            <w:r>
              <w:t>-3。</w:t>
            </w:r>
          </w:p>
          <w:p w14:paraId="602D21A5">
            <w:pPr>
              <w:adjustRightInd w:val="0"/>
              <w:snapToGrid w:val="0"/>
              <w:spacing w:line="240" w:lineRule="auto"/>
              <w:jc w:val="center"/>
              <w:rPr>
                <w:b/>
                <w:bCs/>
                <w:sz w:val="26"/>
                <w:szCs w:val="26"/>
                <w:u w:val="single"/>
              </w:rPr>
            </w:pPr>
            <w:r>
              <w:rPr>
                <w:rFonts w:hint="eastAsia"/>
                <w:b w:val="0"/>
                <w:bCs w:val="0"/>
                <w:sz w:val="22"/>
                <w:szCs w:val="22"/>
                <w:u w:val="none"/>
              </w:rPr>
              <w:t>图</w:t>
            </w:r>
            <w:r>
              <w:rPr>
                <w:b w:val="0"/>
                <w:bCs w:val="0"/>
                <w:sz w:val="22"/>
                <w:szCs w:val="22"/>
                <w:u w:val="none"/>
              </w:rPr>
              <w:t>2.</w:t>
            </w:r>
            <w:r>
              <w:rPr>
                <w:rFonts w:hint="eastAsia"/>
                <w:b w:val="0"/>
                <w:bCs w:val="0"/>
                <w:sz w:val="22"/>
                <w:szCs w:val="22"/>
                <w:u w:val="none"/>
                <w:lang w:val="en-US" w:eastAsia="zh-CN"/>
              </w:rPr>
              <w:t>11</w:t>
            </w:r>
            <w:r>
              <w:rPr>
                <w:rFonts w:hint="eastAsia"/>
                <w:b w:val="0"/>
                <w:bCs w:val="0"/>
                <w:sz w:val="22"/>
                <w:szCs w:val="22"/>
                <w:u w:val="none"/>
              </w:rPr>
              <w:t>-1  运营期汽油运作工艺流程及产污环节（一、二次油气回收）</w:t>
            </w:r>
          </w:p>
          <w:p w14:paraId="57C15D1E">
            <w:pPr>
              <w:adjustRightInd w:val="0"/>
              <w:snapToGrid w:val="0"/>
              <w:spacing w:line="460" w:lineRule="exact"/>
              <w:jc w:val="center"/>
              <w:rPr>
                <w:b/>
                <w:bCs/>
                <w:sz w:val="26"/>
                <w:szCs w:val="26"/>
                <w:u w:val="single"/>
              </w:rPr>
            </w:pPr>
          </w:p>
          <w:p w14:paraId="4CC38038">
            <w:pPr>
              <w:adjustRightInd w:val="0"/>
              <w:snapToGrid w:val="0"/>
              <w:spacing w:line="460" w:lineRule="exact"/>
              <w:jc w:val="center"/>
              <w:rPr>
                <w:b/>
                <w:bCs/>
                <w:sz w:val="26"/>
                <w:szCs w:val="26"/>
                <w:u w:val="single"/>
              </w:rPr>
            </w:pPr>
          </w:p>
          <w:p w14:paraId="6FECD60A">
            <w:pPr>
              <w:adjustRightInd w:val="0"/>
              <w:snapToGrid w:val="0"/>
              <w:spacing w:line="460" w:lineRule="exact"/>
              <w:jc w:val="center"/>
              <w:rPr>
                <w:b/>
                <w:bCs/>
                <w:sz w:val="26"/>
                <w:szCs w:val="26"/>
                <w:u w:val="single"/>
              </w:rPr>
            </w:pPr>
          </w:p>
          <w:p w14:paraId="5DD742BD">
            <w:pPr>
              <w:adjustRightInd w:val="0"/>
              <w:snapToGrid w:val="0"/>
              <w:spacing w:line="460" w:lineRule="exact"/>
              <w:jc w:val="center"/>
              <w:rPr>
                <w:b/>
                <w:bCs/>
                <w:sz w:val="26"/>
                <w:szCs w:val="26"/>
                <w:u w:val="single"/>
              </w:rPr>
            </w:pPr>
          </w:p>
          <w:p w14:paraId="458AF2A5">
            <w:pPr>
              <w:adjustRightInd w:val="0"/>
              <w:snapToGrid w:val="0"/>
              <w:spacing w:line="460" w:lineRule="exact"/>
              <w:jc w:val="center"/>
              <w:rPr>
                <w:b/>
                <w:bCs/>
                <w:sz w:val="26"/>
                <w:szCs w:val="26"/>
                <w:u w:val="single"/>
              </w:rPr>
            </w:pPr>
          </w:p>
          <w:p w14:paraId="2CD4BFDD">
            <w:pPr>
              <w:adjustRightInd w:val="0"/>
              <w:snapToGrid w:val="0"/>
              <w:spacing w:line="460" w:lineRule="exact"/>
              <w:jc w:val="center"/>
              <w:rPr>
                <w:b/>
                <w:bCs/>
                <w:sz w:val="26"/>
                <w:szCs w:val="26"/>
                <w:u w:val="single"/>
              </w:rPr>
            </w:pPr>
          </w:p>
          <w:p w14:paraId="51AD6BD9">
            <w:pPr>
              <w:adjustRightInd w:val="0"/>
              <w:snapToGrid w:val="0"/>
              <w:spacing w:line="460" w:lineRule="exact"/>
              <w:jc w:val="center"/>
              <w:rPr>
                <w:b/>
                <w:bCs/>
                <w:sz w:val="26"/>
                <w:szCs w:val="26"/>
                <w:u w:val="single"/>
              </w:rPr>
            </w:pPr>
          </w:p>
          <w:p w14:paraId="3BD2C354">
            <w:pPr>
              <w:adjustRightInd w:val="0"/>
              <w:snapToGrid w:val="0"/>
              <w:spacing w:line="460" w:lineRule="exact"/>
              <w:jc w:val="center"/>
              <w:rPr>
                <w:b/>
                <w:bCs/>
                <w:sz w:val="26"/>
                <w:szCs w:val="26"/>
                <w:u w:val="single"/>
              </w:rPr>
            </w:pPr>
            <w:r>
              <w:rPr>
                <w:rFonts w:cs="MicrosoftYaHei" w:asciiTheme="minorEastAsia" w:hAnsiTheme="minorEastAsia"/>
                <w:color w:val="414141"/>
                <w:kern w:val="0"/>
                <w:sz w:val="24"/>
              </w:rPr>
              <w:drawing>
                <wp:anchor distT="0" distB="0" distL="114300" distR="114300" simplePos="0" relativeHeight="251668480" behindDoc="0" locked="0" layoutInCell="1" allowOverlap="1">
                  <wp:simplePos x="0" y="0"/>
                  <wp:positionH relativeFrom="column">
                    <wp:posOffset>168910</wp:posOffset>
                  </wp:positionH>
                  <wp:positionV relativeFrom="paragraph">
                    <wp:posOffset>37465</wp:posOffset>
                  </wp:positionV>
                  <wp:extent cx="4746625" cy="3111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rcRect l="20803" t="18503" r="18662" b="8144"/>
                          <a:stretch>
                            <a:fillRect/>
                          </a:stretch>
                        </pic:blipFill>
                        <pic:spPr>
                          <a:xfrm>
                            <a:off x="0" y="0"/>
                            <a:ext cx="4746625" cy="3111500"/>
                          </a:xfrm>
                          <a:prstGeom prst="rect">
                            <a:avLst/>
                          </a:prstGeom>
                          <a:ln>
                            <a:noFill/>
                          </a:ln>
                        </pic:spPr>
                      </pic:pic>
                    </a:graphicData>
                  </a:graphic>
                </wp:anchor>
              </w:drawing>
            </w:r>
          </w:p>
          <w:p w14:paraId="6DB03C9F">
            <w:pPr>
              <w:adjustRightInd w:val="0"/>
              <w:snapToGrid w:val="0"/>
              <w:spacing w:line="460" w:lineRule="exact"/>
              <w:jc w:val="center"/>
              <w:rPr>
                <w:b/>
                <w:bCs/>
                <w:sz w:val="26"/>
                <w:szCs w:val="26"/>
                <w:u w:val="single"/>
              </w:rPr>
            </w:pPr>
          </w:p>
          <w:p w14:paraId="4D319127">
            <w:pPr>
              <w:adjustRightInd w:val="0"/>
              <w:snapToGrid w:val="0"/>
              <w:spacing w:line="460" w:lineRule="exact"/>
              <w:jc w:val="center"/>
              <w:rPr>
                <w:b/>
                <w:bCs/>
                <w:sz w:val="26"/>
                <w:szCs w:val="26"/>
                <w:u w:val="single"/>
              </w:rPr>
            </w:pPr>
          </w:p>
          <w:p w14:paraId="5A066638">
            <w:pPr>
              <w:adjustRightInd w:val="0"/>
              <w:snapToGrid w:val="0"/>
              <w:spacing w:line="460" w:lineRule="exact"/>
              <w:jc w:val="center"/>
              <w:rPr>
                <w:b/>
                <w:bCs/>
                <w:sz w:val="26"/>
                <w:szCs w:val="26"/>
                <w:u w:val="single"/>
              </w:rPr>
            </w:pPr>
          </w:p>
          <w:p w14:paraId="334F8AA3">
            <w:pPr>
              <w:adjustRightInd w:val="0"/>
              <w:snapToGrid w:val="0"/>
              <w:spacing w:line="460" w:lineRule="exact"/>
              <w:jc w:val="center"/>
              <w:rPr>
                <w:b/>
                <w:bCs/>
                <w:sz w:val="26"/>
                <w:szCs w:val="26"/>
                <w:u w:val="single"/>
              </w:rPr>
            </w:pPr>
          </w:p>
          <w:p w14:paraId="75D5A526">
            <w:pPr>
              <w:adjustRightInd w:val="0"/>
              <w:snapToGrid w:val="0"/>
              <w:spacing w:line="460" w:lineRule="exact"/>
              <w:jc w:val="center"/>
              <w:rPr>
                <w:b/>
                <w:bCs/>
                <w:sz w:val="26"/>
                <w:szCs w:val="26"/>
                <w:u w:val="single"/>
              </w:rPr>
            </w:pPr>
          </w:p>
          <w:p w14:paraId="11CD95BC">
            <w:pPr>
              <w:adjustRightInd w:val="0"/>
              <w:snapToGrid w:val="0"/>
              <w:spacing w:line="460" w:lineRule="exact"/>
              <w:jc w:val="center"/>
              <w:rPr>
                <w:b/>
                <w:bCs/>
                <w:sz w:val="26"/>
                <w:szCs w:val="26"/>
                <w:u w:val="single"/>
              </w:rPr>
            </w:pPr>
          </w:p>
          <w:p w14:paraId="5609CA97">
            <w:pPr>
              <w:adjustRightInd w:val="0"/>
              <w:snapToGrid w:val="0"/>
              <w:spacing w:line="460" w:lineRule="exact"/>
              <w:jc w:val="center"/>
              <w:rPr>
                <w:b/>
                <w:bCs/>
                <w:sz w:val="26"/>
                <w:szCs w:val="26"/>
                <w:u w:val="single"/>
              </w:rPr>
            </w:pPr>
          </w:p>
          <w:p w14:paraId="49ABE68E">
            <w:pPr>
              <w:adjustRightInd w:val="0"/>
              <w:snapToGrid w:val="0"/>
              <w:spacing w:line="460" w:lineRule="exact"/>
              <w:jc w:val="center"/>
              <w:rPr>
                <w:b/>
                <w:bCs/>
                <w:sz w:val="26"/>
                <w:szCs w:val="26"/>
                <w:u w:val="single"/>
              </w:rPr>
            </w:pPr>
          </w:p>
          <w:p w14:paraId="4067FBA4">
            <w:pPr>
              <w:adjustRightInd w:val="0"/>
              <w:snapToGrid w:val="0"/>
              <w:spacing w:line="460" w:lineRule="exact"/>
              <w:jc w:val="center"/>
              <w:rPr>
                <w:b/>
                <w:bCs/>
                <w:sz w:val="26"/>
                <w:szCs w:val="26"/>
                <w:u w:val="single"/>
              </w:rPr>
            </w:pPr>
          </w:p>
          <w:p w14:paraId="26AA32A2">
            <w:pPr>
              <w:adjustRightInd w:val="0"/>
              <w:snapToGrid w:val="0"/>
              <w:spacing w:line="460" w:lineRule="exact"/>
              <w:jc w:val="center"/>
              <w:rPr>
                <w:b/>
                <w:bCs/>
                <w:sz w:val="26"/>
                <w:szCs w:val="26"/>
                <w:u w:val="single"/>
              </w:rPr>
            </w:pPr>
          </w:p>
          <w:p w14:paraId="78BEC41F">
            <w:pPr>
              <w:adjustRightInd w:val="0"/>
              <w:snapToGrid w:val="0"/>
              <w:spacing w:line="240" w:lineRule="auto"/>
              <w:jc w:val="center"/>
              <w:rPr>
                <w:rFonts w:hint="eastAsia"/>
                <w:b w:val="0"/>
                <w:bCs w:val="0"/>
                <w:color w:val="FF0000"/>
                <w:sz w:val="22"/>
                <w:szCs w:val="22"/>
                <w:u w:val="none"/>
              </w:rPr>
            </w:pPr>
            <w:r>
              <w:rPr>
                <w:rFonts w:hint="eastAsia"/>
                <w:b w:val="0"/>
                <w:bCs w:val="0"/>
                <w:color w:val="FF0000"/>
                <w:sz w:val="22"/>
                <w:szCs w:val="22"/>
                <w:u w:val="none"/>
              </w:rPr>
              <w:t>续图</w:t>
            </w:r>
            <w:r>
              <w:rPr>
                <w:b w:val="0"/>
                <w:bCs w:val="0"/>
                <w:color w:val="FF0000"/>
                <w:sz w:val="22"/>
                <w:szCs w:val="22"/>
                <w:u w:val="none"/>
              </w:rPr>
              <w:t>2.</w:t>
            </w:r>
            <w:r>
              <w:rPr>
                <w:rFonts w:hint="eastAsia"/>
                <w:b w:val="0"/>
                <w:bCs w:val="0"/>
                <w:color w:val="FF0000"/>
                <w:sz w:val="22"/>
                <w:szCs w:val="22"/>
                <w:u w:val="none"/>
                <w:lang w:val="en-US" w:eastAsia="zh-CN"/>
              </w:rPr>
              <w:t>11</w:t>
            </w:r>
            <w:r>
              <w:rPr>
                <w:rFonts w:hint="eastAsia"/>
                <w:b w:val="0"/>
                <w:bCs w:val="0"/>
                <w:color w:val="FF0000"/>
                <w:sz w:val="22"/>
                <w:szCs w:val="22"/>
                <w:u w:val="none"/>
              </w:rPr>
              <w:t>-1  运营期汽油运作工艺流程及产污环节（三次油气回收）</w:t>
            </w:r>
          </w:p>
          <w:p w14:paraId="19B546CF">
            <w:pPr>
              <w:pStyle w:val="64"/>
              <w:tabs>
                <w:tab w:val="left" w:pos="625"/>
              </w:tabs>
              <w:ind w:left="0" w:leftChars="0" w:firstLine="0" w:firstLineChars="0"/>
              <w:rPr>
                <w:rFonts w:hint="default" w:eastAsia="宋体"/>
                <w:lang w:val="en-US" w:eastAsia="zh-CN"/>
              </w:rPr>
            </w:pPr>
            <w:r>
              <w:rPr>
                <w:rFonts w:hint="eastAsia"/>
                <w:b/>
                <w:bCs w:val="0"/>
                <w:lang w:val="en-US" w:eastAsia="zh-CN"/>
              </w:rPr>
              <w:t>三次油气回收系统运行原理：</w:t>
            </w:r>
          </w:p>
          <w:p w14:paraId="730DC987">
            <w:pPr>
              <w:keepNext w:val="0"/>
              <w:keepLines w:val="0"/>
              <w:pageBreakBefore w:val="0"/>
              <w:widowControl w:val="0"/>
              <w:kinsoku/>
              <w:wordWrap/>
              <w:overflowPunct/>
              <w:topLinePunct w:val="0"/>
              <w:autoSpaceDE/>
              <w:autoSpaceDN/>
              <w:bidi w:val="0"/>
              <w:adjustRightInd/>
              <w:spacing w:line="460" w:lineRule="exact"/>
              <w:ind w:firstLine="520" w:firstLineChars="200"/>
              <w:jc w:val="left"/>
              <w:textAlignment w:val="auto"/>
              <w:rPr>
                <w:rStyle w:val="105"/>
                <w:rFonts w:hint="default" w:ascii="Times New Roman" w:hAnsi="Times New Roman" w:eastAsia="宋体" w:cs="Times New Roman"/>
                <w:i w:val="0"/>
                <w:color w:val="FF0000"/>
                <w:sz w:val="26"/>
                <w:szCs w:val="26"/>
              </w:rPr>
            </w:pPr>
            <w:r>
              <w:rPr>
                <w:rFonts w:hint="default" w:ascii="Times New Roman" w:hAnsi="Times New Roman" w:eastAsia="宋体" w:cs="Times New Roman"/>
                <w:color w:val="FF0000"/>
                <w:sz w:val="26"/>
                <w:szCs w:val="26"/>
                <w:lang w:val="en-US" w:eastAsia="zh-CN"/>
              </w:rPr>
              <w:t>针对加油站油气回收中三次油气回收系统采用的主要工艺为膜分离+冷凝设备，</w:t>
            </w:r>
            <w:r>
              <w:rPr>
                <w:rStyle w:val="105"/>
                <w:rFonts w:hint="default" w:ascii="Times New Roman" w:hAnsi="Times New Roman" w:eastAsia="宋体" w:cs="Times New Roman"/>
                <w:i w:val="0"/>
                <w:color w:val="FF0000"/>
                <w:sz w:val="26"/>
                <w:szCs w:val="26"/>
              </w:rPr>
              <w:t>膜分离法的基本原理是利用特殊方法和材料制成的分离膜对不同气体分子渗透能力不同的特性，选择性地使一些气体分子透过分离膜而阻止另一些气体分子透过，从而实现不同组分的分离。其中油气中烃类组分为透过相，空气为滞留相。透过相穿过膜的过程首先是透过相分子在膜的上游侧吸附溶解附着在膜上，然后在施加在分离膜两侧的压差和浓度梯度推动力作用下渗透过分离膜，最后再从膜的下游侧解吸出来。</w:t>
            </w:r>
          </w:p>
          <w:p w14:paraId="1F7A0B7A">
            <w:pPr>
              <w:pStyle w:val="64"/>
              <w:keepNext w:val="0"/>
              <w:keepLines w:val="0"/>
              <w:pageBreakBefore w:val="0"/>
              <w:widowControl w:val="0"/>
              <w:tabs>
                <w:tab w:val="left" w:pos="625"/>
              </w:tabs>
              <w:kinsoku/>
              <w:wordWrap/>
              <w:overflowPunct/>
              <w:topLinePunct w:val="0"/>
              <w:autoSpaceDE/>
              <w:autoSpaceDN/>
              <w:bidi w:val="0"/>
              <w:adjustRightInd/>
              <w:spacing w:line="460" w:lineRule="exact"/>
              <w:ind w:firstLine="520" w:firstLineChars="200"/>
              <w:textAlignment w:val="auto"/>
              <w:rPr>
                <w:rFonts w:hint="eastAsia" w:ascii="宋体" w:hAnsi="宋体" w:eastAsia="宋体" w:cs="宋体"/>
                <w:sz w:val="26"/>
                <w:szCs w:val="26"/>
                <w:lang w:val="en-US" w:eastAsia="zh-CN"/>
              </w:rPr>
            </w:pPr>
            <w:r>
              <w:rPr>
                <w:rStyle w:val="105"/>
                <w:rFonts w:hint="default" w:ascii="Times New Roman" w:hAnsi="Times New Roman" w:eastAsia="宋体" w:cs="Times New Roman"/>
                <w:i w:val="0"/>
                <w:color w:val="FF0000"/>
                <w:sz w:val="26"/>
                <w:szCs w:val="26"/>
              </w:rPr>
              <w:t>其工艺过程为：</w:t>
            </w:r>
            <w:r>
              <w:rPr>
                <w:rFonts w:hint="default" w:ascii="Times New Roman" w:hAnsi="Times New Roman" w:eastAsia="宋体" w:cs="Times New Roman"/>
                <w:color w:val="FF0000"/>
                <w:kern w:val="0"/>
                <w:sz w:val="26"/>
                <w:szCs w:val="26"/>
              </w:rPr>
              <w:t>三次油气回收系统检测到油罐内压力达到设定启动压力（如+150Pa）时，系统开始工作；油罐内的挥发油气经专用压缩机升压、散热器降温液化处理后进入油气分离器，混合油气中的未被液化部分的油气进入膜分离器分离。膜分离器的滞留侧为清洁尾气经压控阀后排入大气，膜分离器透过侧为提浓油气经真空泵返回系统；随着系统的运行，油罐内压力降低，当油罐内压力降到设置停止压力（如-150Pa）或系统运行时间达到设置停止时间时，系统会自动停止直至罐内压力再次升高至设置压力时，系统再次启动</w:t>
            </w:r>
            <w:r>
              <w:rPr>
                <w:rFonts w:hint="default" w:ascii="Times New Roman" w:hAnsi="Times New Roman" w:eastAsia="宋体" w:cs="Times New Roman"/>
                <w:color w:val="FF0000"/>
                <w:sz w:val="26"/>
                <w:szCs w:val="26"/>
                <w:lang w:val="en-US" w:eastAsia="zh-CN"/>
              </w:rPr>
              <w:t>。</w:t>
            </w:r>
          </w:p>
          <w:p w14:paraId="3636B87C">
            <w:pPr>
              <w:adjustRightInd w:val="0"/>
              <w:snapToGrid w:val="0"/>
              <w:spacing w:line="240" w:lineRule="auto"/>
              <w:jc w:val="center"/>
              <w:rPr>
                <w:rFonts w:ascii="Times New Roman" w:eastAsia="宋体" w:cs="Times New Roman"/>
                <w:color w:val="auto"/>
              </w:rPr>
            </w:pPr>
            <w:r>
              <w:rPr>
                <w:b w:val="0"/>
                <w:bCs w:val="0"/>
                <w:sz w:val="22"/>
                <w:szCs w:val="22"/>
                <w:u w:val="none"/>
              </w:rPr>
              <w:drawing>
                <wp:anchor distT="0" distB="0" distL="114300" distR="114300" simplePos="0" relativeHeight="251664384" behindDoc="0" locked="0" layoutInCell="1" allowOverlap="1">
                  <wp:simplePos x="0" y="0"/>
                  <wp:positionH relativeFrom="column">
                    <wp:posOffset>76200</wp:posOffset>
                  </wp:positionH>
                  <wp:positionV relativeFrom="paragraph">
                    <wp:posOffset>119380</wp:posOffset>
                  </wp:positionV>
                  <wp:extent cx="4921885" cy="1598930"/>
                  <wp:effectExtent l="19050" t="19050" r="12065" b="20320"/>
                  <wp:wrapSquare wrapText="bothSides"/>
                  <wp:docPr id="763710373" name="图片 76371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10373" name="图片 76371037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21885" cy="1598930"/>
                          </a:xfrm>
                          <a:prstGeom prst="rect">
                            <a:avLst/>
                          </a:prstGeom>
                          <a:ln>
                            <a:solidFill>
                              <a:schemeClr val="tx1"/>
                            </a:solidFill>
                          </a:ln>
                        </pic:spPr>
                      </pic:pic>
                    </a:graphicData>
                  </a:graphic>
                </wp:anchor>
              </w:drawing>
            </w:r>
            <w:r>
              <w:rPr>
                <w:rFonts w:hint="eastAsia"/>
                <w:b w:val="0"/>
                <w:bCs w:val="0"/>
                <w:sz w:val="22"/>
                <w:szCs w:val="22"/>
                <w:u w:val="none"/>
              </w:rPr>
              <w:t>图</w:t>
            </w:r>
            <w:r>
              <w:rPr>
                <w:b w:val="0"/>
                <w:bCs w:val="0"/>
                <w:sz w:val="22"/>
                <w:szCs w:val="22"/>
                <w:u w:val="none"/>
              </w:rPr>
              <w:t>2.</w:t>
            </w:r>
            <w:r>
              <w:rPr>
                <w:rFonts w:hint="eastAsia"/>
                <w:b w:val="0"/>
                <w:bCs w:val="0"/>
                <w:sz w:val="22"/>
                <w:szCs w:val="22"/>
                <w:u w:val="none"/>
                <w:lang w:val="en-US" w:eastAsia="zh-CN"/>
              </w:rPr>
              <w:t>11</w:t>
            </w:r>
            <w:r>
              <w:rPr>
                <w:rFonts w:hint="eastAsia"/>
                <w:b w:val="0"/>
                <w:bCs w:val="0"/>
                <w:sz w:val="22"/>
                <w:szCs w:val="22"/>
                <w:u w:val="none"/>
              </w:rPr>
              <w:t>-</w:t>
            </w:r>
            <w:r>
              <w:rPr>
                <w:b w:val="0"/>
                <w:bCs w:val="0"/>
                <w:sz w:val="22"/>
                <w:szCs w:val="22"/>
                <w:u w:val="none"/>
              </w:rPr>
              <w:t>2</w:t>
            </w:r>
            <w:r>
              <w:rPr>
                <w:rFonts w:hint="eastAsia"/>
                <w:b w:val="0"/>
                <w:bCs w:val="0"/>
                <w:sz w:val="22"/>
                <w:szCs w:val="22"/>
                <w:u w:val="none"/>
              </w:rPr>
              <w:t xml:space="preserve">  运营期</w:t>
            </w:r>
            <w:r>
              <w:rPr>
                <w:rFonts w:hint="eastAsia"/>
                <w:b w:val="0"/>
                <w:bCs w:val="0"/>
                <w:sz w:val="22"/>
                <w:szCs w:val="22"/>
                <w:u w:val="none"/>
                <w:lang w:val="en-US" w:eastAsia="zh-CN"/>
              </w:rPr>
              <w:t>油品（汽油、柴油）</w:t>
            </w:r>
            <w:r>
              <w:rPr>
                <w:rFonts w:hint="eastAsia"/>
                <w:b w:val="0"/>
                <w:bCs w:val="0"/>
                <w:sz w:val="22"/>
                <w:szCs w:val="22"/>
                <w:u w:val="none"/>
              </w:rPr>
              <w:t>运作工艺流程及产污环节</w:t>
            </w:r>
          </w:p>
          <w:p w14:paraId="2519AFE1">
            <w:pPr>
              <w:pStyle w:val="23"/>
              <w:rPr>
                <w:color w:val="auto"/>
              </w:rPr>
            </w:pPr>
            <w:r>
              <w:rPr>
                <w:b w:val="0"/>
                <w:bCs w:val="0"/>
                <w:sz w:val="22"/>
                <w:szCs w:val="22"/>
                <w:u w:val="none"/>
              </w:rPr>
              <w:drawing>
                <wp:anchor distT="0" distB="0" distL="114300" distR="114300" simplePos="0" relativeHeight="251663360" behindDoc="0" locked="0" layoutInCell="1" allowOverlap="1">
                  <wp:simplePos x="0" y="0"/>
                  <wp:positionH relativeFrom="column">
                    <wp:posOffset>33020</wp:posOffset>
                  </wp:positionH>
                  <wp:positionV relativeFrom="paragraph">
                    <wp:posOffset>83820</wp:posOffset>
                  </wp:positionV>
                  <wp:extent cx="4859655" cy="1671320"/>
                  <wp:effectExtent l="19050" t="19050" r="17145" b="2413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9655" cy="1671320"/>
                          </a:xfrm>
                          <a:prstGeom prst="rect">
                            <a:avLst/>
                          </a:prstGeom>
                          <a:ln>
                            <a:solidFill>
                              <a:schemeClr val="tx1"/>
                            </a:solidFill>
                          </a:ln>
                        </pic:spPr>
                      </pic:pic>
                    </a:graphicData>
                  </a:graphic>
                </wp:anchor>
              </w:drawing>
            </w:r>
            <w:r>
              <w:rPr>
                <w:rFonts w:ascii="Times New Roman" w:eastAsia="宋体" w:cs="Times New Roman"/>
                <w:b w:val="0"/>
                <w:bCs w:val="0"/>
                <w:color w:val="auto"/>
                <w:sz w:val="22"/>
                <w:szCs w:val="22"/>
                <w:u w:val="none"/>
              </w:rPr>
              <w:t>图2.</w:t>
            </w:r>
            <w:r>
              <w:rPr>
                <w:rFonts w:hint="eastAsia" w:ascii="Times New Roman" w:eastAsia="宋体" w:cs="Times New Roman"/>
                <w:b w:val="0"/>
                <w:bCs w:val="0"/>
                <w:color w:val="auto"/>
                <w:sz w:val="22"/>
                <w:szCs w:val="22"/>
                <w:u w:val="none"/>
                <w:lang w:val="en-US" w:eastAsia="zh-CN"/>
              </w:rPr>
              <w:t>11</w:t>
            </w:r>
            <w:r>
              <w:rPr>
                <w:rFonts w:ascii="Times New Roman" w:eastAsia="宋体" w:cs="Times New Roman"/>
                <w:b w:val="0"/>
                <w:bCs w:val="0"/>
                <w:color w:val="auto"/>
                <w:sz w:val="22"/>
                <w:szCs w:val="22"/>
                <w:u w:val="none"/>
              </w:rPr>
              <w:t>-3  清罐工艺流程及产排污环节示意图</w:t>
            </w:r>
          </w:p>
          <w:p w14:paraId="430DB751">
            <w:pPr>
              <w:pStyle w:val="64"/>
            </w:pPr>
            <w:r>
              <w:rPr>
                <w:rFonts w:hint="eastAsia"/>
              </w:rPr>
              <w:t>（1）柴油加油工艺流程</w:t>
            </w:r>
            <w:r>
              <w:t>说明</w:t>
            </w:r>
          </w:p>
          <w:p w14:paraId="003E6EC1">
            <w:pPr>
              <w:pStyle w:val="64"/>
              <w:tabs>
                <w:tab w:val="left" w:pos="625"/>
              </w:tabs>
            </w:pPr>
            <w:r>
              <w:rPr>
                <w:rFonts w:hint="eastAsia"/>
              </w:rPr>
              <w:t>①卸油过程：油罐车将柴油运至场地内再通过密闭卸油点把柴油卸至埋地卧式油罐中。在油罐车卸油过程中，储油车内压力减小，地下储罐内压力增加，地下储罐与油罐车内的压力差，使卸油过程中地下油罐内部上空通过排气管和油罐车上空通过呼吸控制阀挥发油气。</w:t>
            </w:r>
          </w:p>
          <w:p w14:paraId="762B8ACC">
            <w:pPr>
              <w:pStyle w:val="64"/>
              <w:tabs>
                <w:tab w:val="left" w:pos="625"/>
              </w:tabs>
            </w:pPr>
            <w:r>
              <w:rPr>
                <w:rFonts w:hint="eastAsia"/>
              </w:rPr>
              <w:t>②加油过程：油</w:t>
            </w:r>
            <w:r>
              <w:rPr>
                <w:rFonts w:hint="eastAsia"/>
                <w:lang w:val="en-US" w:eastAsia="zh-CN"/>
              </w:rPr>
              <w:t>品</w:t>
            </w:r>
            <w:r>
              <w:rPr>
                <w:rFonts w:hint="eastAsia"/>
              </w:rPr>
              <w:t>通过潜污泵从埋地油罐输送至加油机，然后通过加油机配套的加油枪给过往车辆加油。加油过程中通过计量器进行计量，加油车辆</w:t>
            </w:r>
            <w:r>
              <w:rPr>
                <w:rFonts w:hint="eastAsia"/>
                <w:lang w:val="en-US" w:eastAsia="zh-CN"/>
              </w:rPr>
              <w:t>油箱</w:t>
            </w:r>
            <w:r>
              <w:rPr>
                <w:rFonts w:hint="eastAsia"/>
              </w:rPr>
              <w:t>随着柴油的注入，车辆</w:t>
            </w:r>
            <w:r>
              <w:rPr>
                <w:rFonts w:hint="eastAsia"/>
                <w:lang w:val="en-US" w:eastAsia="zh-CN"/>
              </w:rPr>
              <w:t>油箱</w:t>
            </w:r>
            <w:r>
              <w:rPr>
                <w:rFonts w:hint="eastAsia"/>
              </w:rPr>
              <w:t>内产生的油气逸散至大气中。</w:t>
            </w:r>
          </w:p>
          <w:p w14:paraId="7F78A626">
            <w:pPr>
              <w:pStyle w:val="64"/>
            </w:pPr>
            <w:r>
              <w:rPr>
                <w:rFonts w:hint="eastAsia"/>
              </w:rPr>
              <w:t>（2）汽油加油工艺流程说明</w:t>
            </w:r>
          </w:p>
          <w:p w14:paraId="528AF990">
            <w:pPr>
              <w:pStyle w:val="64"/>
            </w:pPr>
            <w:r>
              <w:rPr>
                <w:rFonts w:hint="eastAsia"/>
              </w:rPr>
              <w:t>①卸油过程</w:t>
            </w:r>
          </w:p>
          <w:p w14:paraId="623ABC4B">
            <w:pPr>
              <w:pStyle w:val="64"/>
            </w:pPr>
            <w:r>
              <w:rPr>
                <w:rFonts w:hint="eastAsia"/>
              </w:rPr>
              <w:t>首先通过油罐车将汽油运至场地内，再通过密闭卸油点把汽油卸至埋地卧式油罐。项目埋地油罐安装卸油油气回收系统（即一次油气回收系统）装置，对汽油进行卸油时产生的油气进行回收。卸油油气回收系统主要工作原理为在油罐车卸油过程中，储油车内压力减小，地下储罐内压力增加，地下储罐与油罐车内的压力差，使卸油过程中挥发的油气通过管线密闭回到油罐车内，运回储油库进行处理，从而达到油气收集的目的。加油站和油罐车均安装卸油回气快速接头，油罐车同时配备带快速接头的软管。卸油过程罐车与埋地油罐内油气气压基本平衡，气液等体积置换，卸油过程管道密闭，卸油油气回收效率可达95%。</w:t>
            </w:r>
          </w:p>
          <w:p w14:paraId="3894E999">
            <w:pPr>
              <w:pStyle w:val="64"/>
            </w:pPr>
            <w:r>
              <w:t>三次油气回收系统</w:t>
            </w:r>
            <w:r>
              <w:rPr>
                <w:rFonts w:hint="eastAsia"/>
              </w:rPr>
              <w:t>：</w:t>
            </w:r>
            <w:r>
              <w:t>三次油气回收是指在油品储存过程中，对储油罐内 呼出的油气进行处理，二次回收收集到油罐里的油气通过油气回收装置，一部分被压缩冷凝转化为汽油，未转化为汽油的部分通过膜分离元件，将洁净的空气排入大气，高浓度的油气再回到油罐内</w:t>
            </w:r>
            <w:r>
              <w:rPr>
                <w:rFonts w:hint="eastAsia"/>
                <w:lang w:eastAsia="zh-CN"/>
              </w:rPr>
              <w:t>，</w:t>
            </w:r>
            <w:r>
              <w:rPr>
                <w:rFonts w:hint="eastAsia"/>
                <w:lang w:val="en-US" w:eastAsia="zh-CN"/>
              </w:rPr>
              <w:t>储油</w:t>
            </w:r>
            <w:r>
              <w:rPr>
                <w:rFonts w:hint="eastAsia"/>
              </w:rPr>
              <w:t>油气回收效率可达95%。</w:t>
            </w:r>
          </w:p>
          <w:p w14:paraId="43D255B8">
            <w:pPr>
              <w:pStyle w:val="64"/>
            </w:pPr>
            <w:r>
              <w:rPr>
                <w:rFonts w:hint="eastAsia"/>
              </w:rPr>
              <w:t>②加油过程</w:t>
            </w:r>
          </w:p>
          <w:p w14:paraId="772F4417">
            <w:pPr>
              <w:pStyle w:val="64"/>
            </w:pPr>
            <w:r>
              <w:rPr>
                <w:rFonts w:hint="eastAsia"/>
              </w:rPr>
              <w:t>加油包括加油和油气回收两个过程。</w:t>
            </w:r>
          </w:p>
          <w:p w14:paraId="6B5414CC">
            <w:pPr>
              <w:pStyle w:val="64"/>
            </w:pPr>
            <w:r>
              <w:rPr>
                <w:rFonts w:hint="eastAsia"/>
              </w:rPr>
              <w:t>加油：待加油车辆进入指定场地后，通过潜油泵将油从埋地卧式油罐抽出，通过加油机给车辆油箱加油。</w:t>
            </w:r>
          </w:p>
          <w:p w14:paraId="13AECC6D">
            <w:pPr>
              <w:pStyle w:val="64"/>
            </w:pPr>
            <w:r>
              <w:rPr>
                <w:rFonts w:hint="eastAsia"/>
              </w:rPr>
              <w:t>油气回收：项目设置分散式油气回收系统，在加油枪为汽车加油过程中，通过真空泵产生一定真空度，经过油气回收油枪和同轴皮管、油气回收管等油气回收设备汽车油箱油气进行回收。加油油气回收系统采用分散式油气回收系统，加油机回收的汽油全部回收至油罐内。共设置</w:t>
            </w:r>
            <w:r>
              <w:rPr>
                <w:rFonts w:hint="eastAsia"/>
                <w:color w:val="auto"/>
                <w:lang w:val="en-US" w:eastAsia="zh-CN"/>
              </w:rPr>
              <w:t>6</w:t>
            </w:r>
            <w:r>
              <w:rPr>
                <w:rFonts w:hint="eastAsia"/>
                <w:color w:val="auto"/>
              </w:rPr>
              <w:t>台</w:t>
            </w:r>
            <w:r>
              <w:rPr>
                <w:rFonts w:hint="eastAsia"/>
              </w:rPr>
              <w:t>采用具有油气回收功能自封式税控加油机。加油油气回收系统气液比1.2：1，回收效率为90%。即向汽车加入1L液态汽油，油气回收系统将抽入1.2L的油气（损耗油气的90%）和空气的混合物。回收系统回收的油气和空气混合物将平衡埋地油罐的气压平衡，多余体积气体则因油罐外温度变化，通过通气立管排入环境</w:t>
            </w:r>
            <w:r>
              <w:rPr>
                <w:rFonts w:hint="eastAsia"/>
                <w:lang w:eastAsia="zh-CN"/>
              </w:rPr>
              <w:t>，</w:t>
            </w:r>
            <w:r>
              <w:rPr>
                <w:rFonts w:hint="eastAsia"/>
                <w:lang w:val="en-US" w:eastAsia="zh-CN"/>
              </w:rPr>
              <w:t>加油</w:t>
            </w:r>
            <w:r>
              <w:rPr>
                <w:rFonts w:hint="eastAsia"/>
              </w:rPr>
              <w:t>油气回收效率可达9</w:t>
            </w:r>
            <w:r>
              <w:rPr>
                <w:rFonts w:hint="eastAsia"/>
                <w:lang w:val="en-US" w:eastAsia="zh-CN"/>
              </w:rPr>
              <w:t>0</w:t>
            </w:r>
            <w:r>
              <w:rPr>
                <w:rFonts w:hint="eastAsia"/>
              </w:rPr>
              <w:t>%。</w:t>
            </w:r>
          </w:p>
          <w:p w14:paraId="33E51DE2">
            <w:pPr>
              <w:pStyle w:val="64"/>
            </w:pPr>
            <w:r>
              <w:rPr>
                <w:rFonts w:hint="eastAsia"/>
              </w:rPr>
              <w:t>（3）清罐</w:t>
            </w:r>
          </w:p>
          <w:p w14:paraId="37CC835F">
            <w:pPr>
              <w:pStyle w:val="64"/>
              <w:rPr>
                <w:rFonts w:hint="eastAsia"/>
              </w:rPr>
            </w:pPr>
            <w:r>
              <w:rPr>
                <w:rFonts w:hint="eastAsia"/>
              </w:rPr>
              <w:t>加油站大概每5年需进行一次油罐清洗作业，保证输出油品质量和防止油罐腐蚀。清罐由专业资质公司进行，首先排除罐内存油，然后再用通风排除罐内油气并测定油气浓度到安全范围，接着人员进罐清扫油污、水及其它沉淀物，人工用290~490kpa高压水冲洗罐内油污和浮锈，同时尽快排除冲洗污水并用拖布擦净，然后再通风干燥除湿，人工用铜制工具除去局部锈蚀，最后进行质量检查验收。</w:t>
            </w:r>
          </w:p>
          <w:p w14:paraId="77B827FD">
            <w:pPr>
              <w:pStyle w:val="64"/>
            </w:pPr>
            <w:r>
              <w:rPr>
                <w:rFonts w:hint="eastAsia"/>
              </w:rPr>
              <w:t>清罐产生的清罐废物用塑料桶盛装，清罐废物转运均采用联单制管理，当日交具有危险废物</w:t>
            </w:r>
            <w:r>
              <w:rPr>
                <w:rFonts w:hint="eastAsia"/>
                <w:lang w:val="en-US" w:eastAsia="zh-CN"/>
              </w:rPr>
              <w:t>清运</w:t>
            </w:r>
            <w:r>
              <w:rPr>
                <w:rFonts w:hint="eastAsia"/>
              </w:rPr>
              <w:t>处理资质的单位进行妥善</w:t>
            </w:r>
            <w:r>
              <w:rPr>
                <w:rFonts w:hint="eastAsia"/>
                <w:lang w:val="en-US" w:eastAsia="zh-CN"/>
              </w:rPr>
              <w:t>转运</w:t>
            </w:r>
            <w:r>
              <w:rPr>
                <w:rFonts w:hint="eastAsia"/>
              </w:rPr>
              <w:t>处理</w:t>
            </w:r>
            <w:r>
              <w:rPr>
                <w:rFonts w:hint="eastAsia"/>
                <w:lang w:eastAsia="zh-CN"/>
              </w:rPr>
              <w:t>，</w:t>
            </w:r>
            <w:r>
              <w:rPr>
                <w:rFonts w:hint="eastAsia"/>
                <w:lang w:val="en-US" w:eastAsia="zh-CN"/>
              </w:rPr>
              <w:t>不在站内暂存</w:t>
            </w:r>
            <w:r>
              <w:rPr>
                <w:rFonts w:hint="eastAsia"/>
              </w:rPr>
              <w:t>。</w:t>
            </w:r>
          </w:p>
          <w:p w14:paraId="6EE2FA49">
            <w:pPr>
              <w:pStyle w:val="64"/>
              <w:rPr>
                <w:color w:val="auto"/>
              </w:rPr>
            </w:pPr>
            <w:r>
              <w:rPr>
                <w:rFonts w:hint="eastAsia"/>
                <w:color w:val="auto"/>
              </w:rPr>
              <w:t>（4）柴油发电机</w:t>
            </w:r>
          </w:p>
          <w:p w14:paraId="3C4A1437">
            <w:pPr>
              <w:pStyle w:val="64"/>
            </w:pPr>
            <w:r>
              <w:rPr>
                <w:rFonts w:hint="eastAsia"/>
              </w:rPr>
              <w:t>项目</w:t>
            </w:r>
            <w:r>
              <w:rPr>
                <w:rFonts w:hint="eastAsia"/>
                <w:lang w:val="en-US" w:eastAsia="zh-CN"/>
              </w:rPr>
              <w:t>依托现有</w:t>
            </w:r>
            <w:r>
              <w:rPr>
                <w:rFonts w:hint="eastAsia"/>
              </w:rPr>
              <w:t>配电房内</w:t>
            </w:r>
            <w:r>
              <w:rPr>
                <w:rFonts w:hint="eastAsia"/>
                <w:lang w:val="en-US" w:eastAsia="zh-CN"/>
              </w:rPr>
              <w:t>设置的</w:t>
            </w:r>
            <w:r>
              <w:rPr>
                <w:rFonts w:hint="eastAsia"/>
              </w:rPr>
              <w:t>1台</w:t>
            </w:r>
            <w:r>
              <w:rPr>
                <w:rFonts w:hint="eastAsia"/>
                <w:lang w:val="en-US" w:eastAsia="zh-CN"/>
              </w:rPr>
              <w:t>30kw的</w:t>
            </w:r>
            <w:r>
              <w:rPr>
                <w:rFonts w:hint="eastAsia"/>
              </w:rPr>
              <w:t>柴油发电机作备用电源。仅停电时应急使用，应急柴油发电机工作时产生的燃油烟气通过</w:t>
            </w:r>
            <w:r>
              <w:rPr>
                <w:rFonts w:hint="eastAsia"/>
                <w:lang w:val="en-US" w:eastAsia="zh-CN"/>
              </w:rPr>
              <w:t>专用管道</w:t>
            </w:r>
            <w:r>
              <w:rPr>
                <w:rFonts w:hint="eastAsia"/>
              </w:rPr>
              <w:t>引至站房屋顶排放。</w:t>
            </w:r>
          </w:p>
          <w:p w14:paraId="7331B29C">
            <w:pPr>
              <w:pStyle w:val="64"/>
            </w:pPr>
            <w:r>
              <w:rPr>
                <w:rFonts w:hint="eastAsia"/>
              </w:rPr>
              <w:t>（</w:t>
            </w:r>
            <w:r>
              <w:t>5</w:t>
            </w:r>
            <w:r>
              <w:rPr>
                <w:rFonts w:hint="eastAsia"/>
              </w:rPr>
              <w:t>）全自动洗车</w:t>
            </w:r>
          </w:p>
          <w:p w14:paraId="549DEFF9">
            <w:pPr>
              <w:pStyle w:val="64"/>
              <w:rPr>
                <w:rFonts w:hint="default" w:eastAsia="宋体"/>
                <w:lang w:val="en-US" w:eastAsia="zh-CN"/>
              </w:rPr>
            </w:pPr>
            <w:r>
              <w:rPr>
                <w:rFonts w:hint="eastAsia"/>
              </w:rPr>
              <w:t>小型车辆在行驶至自动洗车间时，挂入空挡，通过传输道将车辆匀速低速向前推送，自动水枪及刷车滚筒对车辆进行快速清洗，洗车废水</w:t>
            </w:r>
            <w:r>
              <w:rPr>
                <w:rFonts w:hint="eastAsia"/>
                <w:lang w:val="en-US" w:eastAsia="zh-CN"/>
              </w:rPr>
              <w:t>收集进入自带的废水处理系统</w:t>
            </w:r>
            <w:r>
              <w:rPr>
                <w:rFonts w:hint="eastAsia"/>
              </w:rPr>
              <w:t>处理</w:t>
            </w:r>
            <w:r>
              <w:rPr>
                <w:rFonts w:hint="eastAsia"/>
                <w:lang w:val="en-US" w:eastAsia="zh-CN"/>
              </w:rPr>
              <w:t>后回用于洗车</w:t>
            </w:r>
            <w:r>
              <w:rPr>
                <w:rFonts w:hint="eastAsia"/>
              </w:rPr>
              <w:t>，待车辆冲洗完毕后驶离自动洗车间，由人工通过毛巾对车辆快速擦拭直至洗车完毕。</w:t>
            </w:r>
            <w:r>
              <w:rPr>
                <w:rFonts w:hint="eastAsia"/>
                <w:lang w:val="en-US" w:eastAsia="zh-CN"/>
              </w:rPr>
              <w:t>该过程产生的洗车废水经洗车机自带的三级隔油沉淀池处理达标后循环回用于洗车，循环回用后定期</w:t>
            </w:r>
            <w:r>
              <w:rPr>
                <w:rFonts w:hint="eastAsia"/>
                <w:sz w:val="26"/>
                <w:szCs w:val="26"/>
                <w:lang w:val="en-US" w:eastAsia="zh-CN"/>
              </w:rPr>
              <w:t>外排至加油站设置的三段式隔油沉淀池达标处理后汇入市政污水管网</w:t>
            </w:r>
            <w:r>
              <w:rPr>
                <w:rFonts w:hint="eastAsia"/>
                <w:lang w:val="en-US" w:eastAsia="zh-CN"/>
              </w:rPr>
              <w:t>。</w:t>
            </w:r>
          </w:p>
          <w:p w14:paraId="00F65EF8">
            <w:pPr>
              <w:pStyle w:val="64"/>
            </w:pPr>
          </w:p>
        </w:tc>
      </w:tr>
      <w:tr w14:paraId="2305A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2C480E2B">
            <w:pPr>
              <w:adjustRightInd w:val="0"/>
              <w:snapToGrid w:val="0"/>
              <w:jc w:val="center"/>
              <w:rPr>
                <w:sz w:val="26"/>
                <w:szCs w:val="26"/>
              </w:rPr>
            </w:pPr>
            <w:r>
              <w:rPr>
                <w:bCs/>
                <w:sz w:val="26"/>
                <w:szCs w:val="26"/>
              </w:rPr>
              <w:t>与项目有关的原有环境污染问题</w:t>
            </w:r>
          </w:p>
        </w:tc>
        <w:tc>
          <w:tcPr>
            <w:tcW w:w="8161" w:type="dxa"/>
          </w:tcPr>
          <w:p w14:paraId="749902BF">
            <w:pPr>
              <w:adjustRightInd w:val="0"/>
              <w:snapToGrid w:val="0"/>
              <w:spacing w:line="460" w:lineRule="exact"/>
              <w:rPr>
                <w:b/>
                <w:bCs/>
                <w:sz w:val="26"/>
                <w:szCs w:val="26"/>
              </w:rPr>
            </w:pPr>
            <w:r>
              <w:rPr>
                <w:b/>
                <w:bCs/>
                <w:sz w:val="26"/>
                <w:szCs w:val="26"/>
              </w:rPr>
              <w:t>2.</w:t>
            </w:r>
            <w:r>
              <w:rPr>
                <w:rFonts w:hint="eastAsia"/>
                <w:b/>
                <w:bCs/>
                <w:sz w:val="26"/>
                <w:szCs w:val="26"/>
                <w:lang w:val="en-US" w:eastAsia="zh-CN"/>
              </w:rPr>
              <w:t>12</w:t>
            </w:r>
            <w:r>
              <w:rPr>
                <w:rFonts w:hint="eastAsia"/>
                <w:b/>
                <w:bCs/>
                <w:sz w:val="26"/>
                <w:szCs w:val="26"/>
              </w:rPr>
              <w:t>与本项目有关的原有污染情况及主要环境问题</w:t>
            </w:r>
          </w:p>
          <w:p w14:paraId="2D0B45A9">
            <w:pPr>
              <w:adjustRightInd w:val="0"/>
              <w:snapToGrid w:val="0"/>
              <w:spacing w:line="460" w:lineRule="exact"/>
              <w:rPr>
                <w:b/>
                <w:bCs/>
                <w:sz w:val="26"/>
                <w:szCs w:val="26"/>
              </w:rPr>
            </w:pPr>
            <w:r>
              <w:rPr>
                <w:b/>
                <w:bCs/>
                <w:sz w:val="26"/>
                <w:szCs w:val="26"/>
              </w:rPr>
              <w:t>2.</w:t>
            </w:r>
            <w:r>
              <w:rPr>
                <w:rFonts w:hint="eastAsia"/>
                <w:b/>
                <w:bCs/>
                <w:sz w:val="26"/>
                <w:szCs w:val="26"/>
                <w:lang w:val="en-US" w:eastAsia="zh-CN"/>
              </w:rPr>
              <w:t>12</w:t>
            </w:r>
            <w:r>
              <w:rPr>
                <w:b/>
                <w:bCs/>
                <w:sz w:val="26"/>
                <w:szCs w:val="26"/>
              </w:rPr>
              <w:t>.1</w:t>
            </w:r>
            <w:r>
              <w:rPr>
                <w:rFonts w:hint="eastAsia"/>
                <w:b/>
                <w:bCs/>
                <w:sz w:val="26"/>
                <w:szCs w:val="26"/>
              </w:rPr>
              <w:t>现有工程环保手续办理情况</w:t>
            </w:r>
          </w:p>
          <w:p w14:paraId="23140DF0">
            <w:pPr>
              <w:adjustRightInd w:val="0"/>
              <w:snapToGrid w:val="0"/>
              <w:spacing w:line="460" w:lineRule="exact"/>
              <w:ind w:firstLine="520" w:firstLineChars="200"/>
              <w:rPr>
                <w:bCs/>
                <w:sz w:val="26"/>
                <w:szCs w:val="26"/>
              </w:rPr>
            </w:pPr>
            <w:r>
              <w:rPr>
                <w:rFonts w:hint="eastAsia"/>
                <w:bCs/>
                <w:sz w:val="26"/>
                <w:szCs w:val="26"/>
              </w:rPr>
              <w:t>（1）安全、环保手续履行情况</w:t>
            </w:r>
          </w:p>
          <w:p w14:paraId="247C2A01">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lang w:val="en-US" w:eastAsia="zh-CN"/>
              </w:rPr>
              <w:t>现有项目于2009年5月5日编制了环境影响评价报告表</w:t>
            </w:r>
            <w:r>
              <w:rPr>
                <w:rFonts w:hint="eastAsia"/>
                <w:bCs/>
                <w:sz w:val="26"/>
                <w:szCs w:val="26"/>
              </w:rPr>
              <w:t>，并取得了原重庆市</w:t>
            </w:r>
            <w:r>
              <w:rPr>
                <w:rFonts w:hint="eastAsia"/>
                <w:bCs/>
                <w:sz w:val="26"/>
                <w:szCs w:val="26"/>
                <w:lang w:val="en-US" w:eastAsia="zh-CN"/>
              </w:rPr>
              <w:t>九龙坡</w:t>
            </w:r>
            <w:r>
              <w:rPr>
                <w:rFonts w:hint="eastAsia"/>
                <w:bCs/>
                <w:sz w:val="26"/>
                <w:szCs w:val="26"/>
              </w:rPr>
              <w:t>区环境保护局</w:t>
            </w:r>
            <w:r>
              <w:rPr>
                <w:rFonts w:hint="eastAsia"/>
                <w:bCs/>
                <w:sz w:val="26"/>
                <w:szCs w:val="26"/>
                <w:lang w:val="en-US" w:eastAsia="zh-CN"/>
              </w:rPr>
              <w:t>下发的“重庆市建设项目环境影响评价文件批准书”</w:t>
            </w:r>
            <w:r>
              <w:rPr>
                <w:rFonts w:hint="eastAsia"/>
                <w:bCs/>
                <w:sz w:val="26"/>
                <w:szCs w:val="26"/>
              </w:rPr>
              <w:t>（</w:t>
            </w:r>
            <w:r>
              <w:rPr>
                <w:rFonts w:hint="eastAsia"/>
                <w:bCs/>
                <w:sz w:val="26"/>
                <w:szCs w:val="26"/>
                <w:lang w:val="en-US" w:eastAsia="zh-CN"/>
              </w:rPr>
              <w:t>渝（九）环准</w:t>
            </w:r>
            <w:r>
              <w:rPr>
                <w:rFonts w:hint="default" w:ascii="Times New Roman" w:hAnsi="Times New Roman" w:eastAsia="微软雅黑" w:cs="Times New Roman"/>
                <w:bCs/>
                <w:sz w:val="26"/>
                <w:szCs w:val="26"/>
                <w:lang w:val="en-US" w:eastAsia="zh-CN"/>
              </w:rPr>
              <w:t>〔2009〕30</w:t>
            </w:r>
            <w:r>
              <w:rPr>
                <w:rFonts w:hint="eastAsia" w:ascii="微软雅黑" w:hAnsi="微软雅黑" w:eastAsia="微软雅黑" w:cs="微软雅黑"/>
                <w:bCs/>
                <w:sz w:val="26"/>
                <w:szCs w:val="26"/>
                <w:lang w:val="en-US" w:eastAsia="zh-CN"/>
              </w:rPr>
              <w:t>号</w:t>
            </w:r>
            <w:r>
              <w:rPr>
                <w:rFonts w:hint="eastAsia"/>
                <w:bCs/>
                <w:sz w:val="26"/>
                <w:szCs w:val="26"/>
              </w:rPr>
              <w:t>），</w:t>
            </w:r>
            <w:r>
              <w:rPr>
                <w:rFonts w:hint="eastAsia"/>
                <w:bCs/>
                <w:color w:val="auto"/>
                <w:sz w:val="26"/>
                <w:szCs w:val="26"/>
                <w:lang w:val="en-US" w:eastAsia="zh-CN"/>
              </w:rPr>
              <w:t>并于2016年3月完成现有项目的竣工环保验收，取得了原重庆市九龙坡区环境保护局下发的重庆市建设项目竣工环保验收批复“渝（九）环验</w:t>
            </w:r>
            <w:r>
              <w:rPr>
                <w:rFonts w:hint="default" w:ascii="Times New Roman" w:hAnsi="Times New Roman" w:eastAsia="微软雅黑" w:cs="Times New Roman"/>
                <w:bCs/>
                <w:color w:val="auto"/>
                <w:sz w:val="26"/>
                <w:szCs w:val="26"/>
                <w:lang w:val="en-US" w:eastAsia="zh-CN"/>
              </w:rPr>
              <w:t>〔2016〕151</w:t>
            </w:r>
            <w:r>
              <w:rPr>
                <w:rFonts w:hint="eastAsia" w:ascii="宋体" w:hAnsi="宋体" w:eastAsia="宋体" w:cs="宋体"/>
                <w:bCs/>
                <w:color w:val="auto"/>
                <w:sz w:val="26"/>
                <w:szCs w:val="26"/>
                <w:lang w:val="en-US" w:eastAsia="zh-CN"/>
              </w:rPr>
              <w:t>号”</w:t>
            </w:r>
            <w:r>
              <w:rPr>
                <w:rFonts w:hint="eastAsia"/>
                <w:bCs/>
                <w:color w:val="auto"/>
                <w:sz w:val="26"/>
                <w:szCs w:val="26"/>
                <w:lang w:val="en-US" w:eastAsia="zh-CN"/>
              </w:rPr>
              <w:t>，</w:t>
            </w:r>
            <w:r>
              <w:rPr>
                <w:rFonts w:hint="eastAsia"/>
                <w:bCs/>
                <w:sz w:val="26"/>
                <w:szCs w:val="26"/>
              </w:rPr>
              <w:t>期间企业逐步落完善落实了相应安全环保手续，取得了排污许可（许可证编号：915000005634805543001X），并</w:t>
            </w:r>
            <w:r>
              <w:rPr>
                <w:rFonts w:hint="eastAsia"/>
                <w:bCs/>
                <w:sz w:val="26"/>
                <w:szCs w:val="26"/>
                <w:lang w:val="en-US" w:eastAsia="zh-CN"/>
              </w:rPr>
              <w:t>定期</w:t>
            </w:r>
            <w:r>
              <w:rPr>
                <w:rFonts w:hint="eastAsia"/>
                <w:bCs/>
                <w:sz w:val="26"/>
                <w:szCs w:val="26"/>
              </w:rPr>
              <w:t>开展了安全现状评估。</w:t>
            </w:r>
            <w:r>
              <w:rPr>
                <w:rFonts w:hint="eastAsia"/>
                <w:bCs/>
                <w:sz w:val="26"/>
                <w:szCs w:val="26"/>
                <w:lang w:val="en-US" w:eastAsia="zh-CN"/>
              </w:rPr>
              <w:t>建设单位于2022年12月29日报送了《中国石化销售股份有限公司重庆石油分公司华福路L-CNG加油加气站生产安全事故应急预案》，并取得生产经营单位生产安全事故应急预案备案登记表，备案编号为“500107-2022-XX19”。</w:t>
            </w:r>
          </w:p>
          <w:p w14:paraId="63C8EF28">
            <w:pPr>
              <w:pStyle w:val="87"/>
              <w:ind w:firstLine="520"/>
              <w:rPr>
                <w:rFonts w:cs="Times New Roman"/>
                <w:bCs/>
                <w:sz w:val="26"/>
                <w:szCs w:val="26"/>
              </w:rPr>
            </w:pPr>
            <w:r>
              <w:rPr>
                <w:rFonts w:hint="eastAsia" w:cs="Times New Roman"/>
                <w:bCs/>
                <w:sz w:val="26"/>
                <w:szCs w:val="26"/>
              </w:rPr>
              <w:t>（2）突发环境实际风险评估及应急预案修订情况</w:t>
            </w:r>
          </w:p>
          <w:p w14:paraId="71C1F18D">
            <w:pPr>
              <w:pStyle w:val="87"/>
              <w:keepNext w:val="0"/>
              <w:keepLines w:val="0"/>
              <w:pageBreakBefore w:val="0"/>
              <w:widowControl w:val="0"/>
              <w:kinsoku/>
              <w:wordWrap w:val="0"/>
              <w:overflowPunct/>
              <w:topLinePunct w:val="0"/>
              <w:autoSpaceDE/>
              <w:autoSpaceDN/>
              <w:bidi w:val="0"/>
              <w:adjustRightInd/>
              <w:snapToGrid/>
              <w:ind w:firstLine="520"/>
              <w:textAlignment w:val="auto"/>
              <w:rPr>
                <w:rFonts w:cs="Times New Roman"/>
                <w:bCs/>
                <w:sz w:val="26"/>
                <w:szCs w:val="26"/>
              </w:rPr>
            </w:pPr>
            <w:r>
              <w:rPr>
                <w:rFonts w:hint="eastAsia" w:cs="Times New Roman"/>
                <w:bCs/>
                <w:sz w:val="26"/>
                <w:szCs w:val="26"/>
              </w:rPr>
              <w:t>现有工程于</w:t>
            </w:r>
            <w:r>
              <w:rPr>
                <w:rFonts w:hint="eastAsia" w:cs="Times New Roman"/>
                <w:bCs/>
                <w:color w:val="auto"/>
                <w:sz w:val="26"/>
                <w:szCs w:val="26"/>
              </w:rPr>
              <w:t>2</w:t>
            </w:r>
            <w:r>
              <w:rPr>
                <w:rFonts w:cs="Times New Roman"/>
                <w:bCs/>
                <w:color w:val="auto"/>
                <w:sz w:val="26"/>
                <w:szCs w:val="26"/>
              </w:rPr>
              <w:t>0</w:t>
            </w:r>
            <w:r>
              <w:rPr>
                <w:rFonts w:hint="eastAsia" w:cs="Times New Roman"/>
                <w:bCs/>
                <w:color w:val="auto"/>
                <w:sz w:val="26"/>
                <w:szCs w:val="26"/>
              </w:rPr>
              <w:t>2</w:t>
            </w:r>
            <w:r>
              <w:rPr>
                <w:rFonts w:hint="eastAsia" w:cs="Times New Roman"/>
                <w:bCs/>
                <w:color w:val="auto"/>
                <w:sz w:val="26"/>
                <w:szCs w:val="26"/>
                <w:lang w:val="en-US" w:eastAsia="zh-CN"/>
              </w:rPr>
              <w:t>5</w:t>
            </w:r>
            <w:r>
              <w:rPr>
                <w:rFonts w:hint="eastAsia" w:cs="Times New Roman"/>
                <w:bCs/>
                <w:color w:val="auto"/>
                <w:sz w:val="26"/>
                <w:szCs w:val="26"/>
              </w:rPr>
              <w:t>年</w:t>
            </w:r>
            <w:r>
              <w:rPr>
                <w:rFonts w:hint="eastAsia" w:cs="Times New Roman"/>
                <w:bCs/>
                <w:color w:val="auto"/>
                <w:sz w:val="26"/>
                <w:szCs w:val="26"/>
                <w:lang w:val="en-US" w:eastAsia="zh-CN"/>
              </w:rPr>
              <w:t>7</w:t>
            </w:r>
            <w:r>
              <w:rPr>
                <w:rFonts w:hint="eastAsia" w:cs="Times New Roman"/>
                <w:bCs/>
                <w:color w:val="auto"/>
                <w:sz w:val="26"/>
                <w:szCs w:val="26"/>
              </w:rPr>
              <w:t>月</w:t>
            </w:r>
            <w:r>
              <w:rPr>
                <w:rFonts w:hint="eastAsia" w:cs="Times New Roman"/>
                <w:bCs/>
                <w:sz w:val="26"/>
                <w:szCs w:val="26"/>
              </w:rPr>
              <w:t>对</w:t>
            </w:r>
            <w:r>
              <w:rPr>
                <w:rFonts w:hint="eastAsia" w:cs="Times New Roman"/>
                <w:bCs/>
                <w:sz w:val="26"/>
                <w:szCs w:val="26"/>
                <w:lang w:val="en-US" w:eastAsia="zh-CN"/>
              </w:rPr>
              <w:t>企业</w:t>
            </w:r>
            <w:r>
              <w:rPr>
                <w:rFonts w:hint="eastAsia" w:cs="Times New Roman"/>
                <w:bCs/>
                <w:sz w:val="26"/>
                <w:szCs w:val="26"/>
              </w:rPr>
              <w:t>突发环境实际风险评估及应急预案进行了修订，</w:t>
            </w:r>
            <w:r>
              <w:rPr>
                <w:rFonts w:hint="eastAsia" w:cs="Times New Roman"/>
                <w:bCs/>
                <w:sz w:val="26"/>
                <w:szCs w:val="26"/>
                <w:lang w:val="en-US" w:eastAsia="zh-CN"/>
              </w:rPr>
              <w:t>目前</w:t>
            </w:r>
            <w:r>
              <w:rPr>
                <w:rFonts w:hint="eastAsia" w:cs="Times New Roman"/>
                <w:bCs/>
                <w:sz w:val="26"/>
                <w:szCs w:val="26"/>
              </w:rPr>
              <w:t>在3年</w:t>
            </w:r>
            <w:r>
              <w:rPr>
                <w:rFonts w:hint="eastAsia" w:cs="Times New Roman"/>
                <w:bCs/>
                <w:sz w:val="26"/>
                <w:szCs w:val="26"/>
                <w:lang w:val="en-US" w:eastAsia="zh-CN"/>
              </w:rPr>
              <w:t>有效</w:t>
            </w:r>
            <w:r>
              <w:rPr>
                <w:rFonts w:hint="eastAsia" w:cs="Times New Roman"/>
                <w:bCs/>
                <w:sz w:val="26"/>
                <w:szCs w:val="26"/>
              </w:rPr>
              <w:t>期限内，修订后取得突发环境事件</w:t>
            </w:r>
            <w:r>
              <w:rPr>
                <w:rFonts w:hint="eastAsia" w:cs="Times New Roman"/>
                <w:bCs/>
                <w:sz w:val="26"/>
                <w:szCs w:val="26"/>
                <w:lang w:val="en-US" w:eastAsia="zh-CN"/>
              </w:rPr>
              <w:t>风险评估和</w:t>
            </w:r>
            <w:r>
              <w:rPr>
                <w:rFonts w:hint="eastAsia" w:cs="Times New Roman"/>
                <w:bCs/>
                <w:sz w:val="26"/>
                <w:szCs w:val="26"/>
              </w:rPr>
              <w:t>应急预案备案回执，评估及预案备案编号分别为</w:t>
            </w:r>
            <w:r>
              <w:rPr>
                <w:rFonts w:hint="eastAsia" w:cs="Times New Roman"/>
                <w:bCs/>
                <w:sz w:val="26"/>
                <w:szCs w:val="26"/>
                <w:lang w:eastAsia="zh-CN"/>
              </w:rPr>
              <w:t>“</w:t>
            </w:r>
            <w:r>
              <w:rPr>
                <w:rFonts w:hint="eastAsia" w:cs="Times New Roman"/>
                <w:bCs/>
                <w:sz w:val="26"/>
                <w:szCs w:val="26"/>
                <w:lang w:val="en-US" w:eastAsia="zh-CN"/>
              </w:rPr>
              <w:t>50</w:t>
            </w:r>
            <w:r>
              <w:rPr>
                <w:rFonts w:hint="eastAsia" w:cs="Times New Roman"/>
                <w:bCs/>
                <w:sz w:val="26"/>
                <w:szCs w:val="26"/>
              </w:rPr>
              <w:t>0107202</w:t>
            </w:r>
            <w:r>
              <w:rPr>
                <w:rFonts w:hint="eastAsia" w:cs="Times New Roman"/>
                <w:bCs/>
                <w:sz w:val="26"/>
                <w:szCs w:val="26"/>
                <w:lang w:val="en-US" w:eastAsia="zh-CN"/>
              </w:rPr>
              <w:t>5</w:t>
            </w:r>
            <w:r>
              <w:rPr>
                <w:rFonts w:hint="eastAsia" w:cs="Times New Roman"/>
                <w:bCs/>
                <w:sz w:val="26"/>
                <w:szCs w:val="26"/>
              </w:rPr>
              <w:t>0</w:t>
            </w:r>
            <w:r>
              <w:rPr>
                <w:rFonts w:hint="eastAsia" w:cs="Times New Roman"/>
                <w:bCs/>
                <w:sz w:val="26"/>
                <w:szCs w:val="26"/>
                <w:lang w:val="en-US" w:eastAsia="zh-CN"/>
              </w:rPr>
              <w:t>7</w:t>
            </w:r>
            <w:r>
              <w:rPr>
                <w:rFonts w:hint="eastAsia" w:cs="Times New Roman"/>
                <w:bCs/>
                <w:sz w:val="26"/>
                <w:szCs w:val="26"/>
              </w:rPr>
              <w:t>000</w:t>
            </w:r>
            <w:r>
              <w:rPr>
                <w:rFonts w:hint="eastAsia" w:cs="Times New Roman"/>
                <w:bCs/>
                <w:sz w:val="26"/>
                <w:szCs w:val="26"/>
                <w:lang w:val="en-US" w:eastAsia="zh-CN"/>
              </w:rPr>
              <w:t>2</w:t>
            </w:r>
            <w:r>
              <w:rPr>
                <w:rFonts w:hint="eastAsia" w:cs="Times New Roman"/>
                <w:bCs/>
                <w:sz w:val="26"/>
                <w:szCs w:val="26"/>
                <w:lang w:eastAsia="zh-CN"/>
              </w:rPr>
              <w:t>”</w:t>
            </w:r>
            <w:r>
              <w:rPr>
                <w:rFonts w:hint="eastAsia" w:cs="Times New Roman"/>
                <w:bCs/>
                <w:sz w:val="26"/>
                <w:szCs w:val="26"/>
                <w:lang w:val="en-US" w:eastAsia="zh-CN"/>
              </w:rPr>
              <w:t>和“</w:t>
            </w:r>
            <w:r>
              <w:rPr>
                <w:rFonts w:cs="Times New Roman"/>
                <w:bCs/>
                <w:sz w:val="26"/>
                <w:szCs w:val="26"/>
              </w:rPr>
              <w:t>50010</w:t>
            </w:r>
            <w:r>
              <w:rPr>
                <w:rFonts w:hint="eastAsia" w:cs="Times New Roman"/>
                <w:bCs/>
                <w:sz w:val="26"/>
                <w:szCs w:val="26"/>
                <w:lang w:val="en-US" w:eastAsia="zh-CN"/>
              </w:rPr>
              <w:t>7</w:t>
            </w:r>
            <w:r>
              <w:rPr>
                <w:rFonts w:cs="Times New Roman"/>
                <w:bCs/>
                <w:sz w:val="26"/>
                <w:szCs w:val="26"/>
              </w:rPr>
              <w:t>-202</w:t>
            </w:r>
            <w:r>
              <w:rPr>
                <w:rFonts w:hint="eastAsia" w:cs="Times New Roman"/>
                <w:bCs/>
                <w:sz w:val="26"/>
                <w:szCs w:val="26"/>
                <w:lang w:val="en-US" w:eastAsia="zh-CN"/>
              </w:rPr>
              <w:t>5</w:t>
            </w:r>
            <w:r>
              <w:rPr>
                <w:rFonts w:cs="Times New Roman"/>
                <w:bCs/>
                <w:sz w:val="26"/>
                <w:szCs w:val="26"/>
              </w:rPr>
              <w:t>-0</w:t>
            </w:r>
            <w:r>
              <w:rPr>
                <w:rFonts w:hint="eastAsia" w:cs="Times New Roman"/>
                <w:bCs/>
                <w:sz w:val="26"/>
                <w:szCs w:val="26"/>
                <w:lang w:val="en-US" w:eastAsia="zh-CN"/>
              </w:rPr>
              <w:t>26</w:t>
            </w:r>
            <w:r>
              <w:rPr>
                <w:rFonts w:cs="Times New Roman"/>
                <w:bCs/>
                <w:sz w:val="26"/>
                <w:szCs w:val="26"/>
              </w:rPr>
              <w:t>-L</w:t>
            </w:r>
            <w:r>
              <w:rPr>
                <w:rFonts w:hint="eastAsia" w:cs="Times New Roman"/>
                <w:bCs/>
                <w:sz w:val="26"/>
                <w:szCs w:val="26"/>
                <w:lang w:val="en-US" w:eastAsia="zh-CN"/>
              </w:rPr>
              <w:t>”</w:t>
            </w:r>
            <w:r>
              <w:rPr>
                <w:rFonts w:hint="eastAsia" w:cs="Times New Roman"/>
                <w:bCs/>
                <w:sz w:val="26"/>
                <w:szCs w:val="26"/>
              </w:rPr>
              <w:t>。现有工程投运至今，每月开展应急演练并形成影音、文字等台账记录备查。</w:t>
            </w:r>
          </w:p>
          <w:p w14:paraId="4A643863">
            <w:pPr>
              <w:adjustRightInd w:val="0"/>
              <w:snapToGrid w:val="0"/>
              <w:spacing w:line="460" w:lineRule="exact"/>
              <w:rPr>
                <w:b/>
                <w:bCs/>
                <w:sz w:val="26"/>
                <w:szCs w:val="26"/>
              </w:rPr>
            </w:pPr>
            <w:r>
              <w:rPr>
                <w:b/>
                <w:bCs/>
                <w:sz w:val="26"/>
                <w:szCs w:val="26"/>
              </w:rPr>
              <w:t>2.</w:t>
            </w:r>
            <w:r>
              <w:rPr>
                <w:rFonts w:hint="eastAsia"/>
                <w:b/>
                <w:bCs/>
                <w:sz w:val="26"/>
                <w:szCs w:val="26"/>
                <w:lang w:val="en-US" w:eastAsia="zh-CN"/>
              </w:rPr>
              <w:t>12.</w:t>
            </w:r>
            <w:r>
              <w:rPr>
                <w:b/>
                <w:bCs/>
                <w:sz w:val="26"/>
                <w:szCs w:val="26"/>
              </w:rPr>
              <w:t>2</w:t>
            </w:r>
            <w:r>
              <w:rPr>
                <w:rFonts w:hint="eastAsia"/>
                <w:b/>
                <w:bCs/>
                <w:sz w:val="26"/>
                <w:szCs w:val="26"/>
              </w:rPr>
              <w:t>现有工程主要污染防治设施及污染物排放情况</w:t>
            </w:r>
          </w:p>
          <w:p w14:paraId="01D40782">
            <w:pPr>
              <w:adjustRightInd w:val="0"/>
              <w:snapToGrid w:val="0"/>
              <w:spacing w:line="460" w:lineRule="exact"/>
              <w:ind w:firstLine="520" w:firstLineChars="200"/>
              <w:rPr>
                <w:bCs/>
                <w:sz w:val="26"/>
                <w:szCs w:val="26"/>
              </w:rPr>
            </w:pPr>
            <w:r>
              <w:rPr>
                <w:rFonts w:hint="eastAsia"/>
                <w:bCs/>
                <w:sz w:val="26"/>
                <w:szCs w:val="26"/>
              </w:rPr>
              <w:t>（1）废气</w:t>
            </w:r>
          </w:p>
          <w:p w14:paraId="3E30BC07">
            <w:pPr>
              <w:adjustRightInd w:val="0"/>
              <w:snapToGrid w:val="0"/>
              <w:spacing w:line="460" w:lineRule="exact"/>
              <w:ind w:firstLine="520" w:firstLineChars="200"/>
              <w:rPr>
                <w:bCs/>
                <w:sz w:val="26"/>
                <w:szCs w:val="26"/>
              </w:rPr>
            </w:pPr>
            <w:r>
              <w:rPr>
                <w:rFonts w:hint="eastAsia"/>
                <w:bCs/>
                <w:sz w:val="26"/>
                <w:szCs w:val="26"/>
              </w:rPr>
              <w:t>根据企业2024年</w:t>
            </w:r>
            <w:r>
              <w:rPr>
                <w:rFonts w:hint="eastAsia"/>
                <w:bCs/>
                <w:sz w:val="26"/>
                <w:szCs w:val="26"/>
                <w:lang w:val="en-US" w:eastAsia="zh-CN"/>
              </w:rPr>
              <w:t>4</w:t>
            </w:r>
            <w:r>
              <w:rPr>
                <w:rFonts w:hint="eastAsia"/>
                <w:bCs/>
                <w:sz w:val="26"/>
                <w:szCs w:val="26"/>
              </w:rPr>
              <w:t>月</w:t>
            </w:r>
            <w:r>
              <w:rPr>
                <w:rFonts w:hint="eastAsia"/>
                <w:bCs/>
                <w:sz w:val="26"/>
                <w:szCs w:val="26"/>
                <w:lang w:val="en-US" w:eastAsia="zh-CN"/>
              </w:rPr>
              <w:t>1</w:t>
            </w:r>
            <w:r>
              <w:rPr>
                <w:rFonts w:hint="eastAsia"/>
                <w:bCs/>
                <w:sz w:val="26"/>
                <w:szCs w:val="26"/>
              </w:rPr>
              <w:t>5日委托重庆市计量质量检测研究院开展的加油站油气回收系统检测的报告“No.2024</w:t>
            </w:r>
            <w:r>
              <w:rPr>
                <w:rFonts w:hint="eastAsia"/>
                <w:bCs/>
                <w:sz w:val="26"/>
                <w:szCs w:val="26"/>
                <w:lang w:val="en-US" w:eastAsia="zh-CN"/>
              </w:rPr>
              <w:t>042001257</w:t>
            </w:r>
            <w:r>
              <w:rPr>
                <w:rFonts w:hint="eastAsia"/>
                <w:bCs/>
                <w:sz w:val="26"/>
                <w:szCs w:val="26"/>
              </w:rPr>
              <w:t>”结果（详见附件），企业加油油气回收管线液阻检测值、油气回收系统密闭性压力检测值、加油油气回收系统的气液比、在线系统流量传感器检测、油气回收系统密闭点位油气泄漏检测、企业油气浓度无组织排放检测结果均满足《加油站大气污染物排放标准》（GB20952-2020）限值要求。</w:t>
            </w:r>
          </w:p>
          <w:p w14:paraId="6EAA1C0E">
            <w:pPr>
              <w:adjustRightInd w:val="0"/>
              <w:snapToGrid w:val="0"/>
              <w:spacing w:line="460" w:lineRule="exact"/>
              <w:ind w:firstLine="520" w:firstLineChars="200"/>
              <w:rPr>
                <w:bCs/>
                <w:sz w:val="26"/>
                <w:szCs w:val="26"/>
              </w:rPr>
            </w:pPr>
            <w:r>
              <w:rPr>
                <w:rFonts w:hint="eastAsia"/>
                <w:bCs/>
                <w:sz w:val="26"/>
                <w:szCs w:val="26"/>
              </w:rPr>
              <w:t>（2）废水</w:t>
            </w:r>
          </w:p>
          <w:p w14:paraId="7A624DD0">
            <w:pPr>
              <w:adjustRightInd w:val="0"/>
              <w:snapToGrid w:val="0"/>
              <w:spacing w:line="460" w:lineRule="exact"/>
              <w:ind w:firstLine="520" w:firstLineChars="200"/>
              <w:rPr>
                <w:bCs/>
                <w:sz w:val="26"/>
                <w:szCs w:val="26"/>
              </w:rPr>
            </w:pPr>
            <w:r>
              <w:rPr>
                <w:rFonts w:hint="eastAsia"/>
                <w:bCs/>
                <w:sz w:val="26"/>
                <w:szCs w:val="26"/>
              </w:rPr>
              <w:t>根据企业近期开展的自行监测其报告“</w:t>
            </w:r>
            <w:r>
              <w:rPr>
                <w:rFonts w:hint="eastAsia"/>
                <w:bCs/>
                <w:sz w:val="26"/>
                <w:szCs w:val="26"/>
                <w:lang w:val="en-US" w:eastAsia="zh-CN"/>
              </w:rPr>
              <w:t>重庆隆宇</w:t>
            </w:r>
            <w:r>
              <w:rPr>
                <w:rFonts w:hint="default" w:ascii="Times New Roman" w:hAnsi="Times New Roman" w:eastAsia="微软雅黑" w:cs="Times New Roman"/>
                <w:bCs/>
                <w:sz w:val="26"/>
                <w:szCs w:val="26"/>
                <w:lang w:val="en-US" w:eastAsia="zh-CN"/>
              </w:rPr>
              <w:t>〔20</w:t>
            </w:r>
            <w:r>
              <w:rPr>
                <w:rFonts w:hint="eastAsia" w:ascii="Times New Roman" w:hAnsi="Times New Roman" w:eastAsia="微软雅黑" w:cs="Times New Roman"/>
                <w:bCs/>
                <w:sz w:val="26"/>
                <w:szCs w:val="26"/>
                <w:lang w:val="en-US" w:eastAsia="zh-CN"/>
              </w:rPr>
              <w:t>24</w:t>
            </w:r>
            <w:r>
              <w:rPr>
                <w:rFonts w:hint="default" w:ascii="Times New Roman" w:hAnsi="Times New Roman" w:eastAsia="微软雅黑" w:cs="Times New Roman"/>
                <w:bCs/>
                <w:sz w:val="26"/>
                <w:szCs w:val="26"/>
                <w:lang w:val="en-US" w:eastAsia="zh-CN"/>
              </w:rPr>
              <w:t>〕</w:t>
            </w:r>
            <w:r>
              <w:rPr>
                <w:rFonts w:hint="eastAsia"/>
                <w:bCs/>
                <w:sz w:val="26"/>
                <w:szCs w:val="26"/>
              </w:rPr>
              <w:t>第 WT</w:t>
            </w:r>
            <w:r>
              <w:rPr>
                <w:rFonts w:hint="eastAsia"/>
                <w:bCs/>
                <w:sz w:val="26"/>
                <w:szCs w:val="26"/>
                <w:lang w:val="en-US" w:eastAsia="zh-CN"/>
              </w:rPr>
              <w:t>09173</w:t>
            </w:r>
            <w:r>
              <w:rPr>
                <w:rFonts w:hint="eastAsia"/>
                <w:bCs/>
                <w:sz w:val="26"/>
                <w:szCs w:val="26"/>
              </w:rPr>
              <w:t>号”结果（详见附件），污水排放口的COD、氨氮、悬浮物、pH、石油类均能满足</w:t>
            </w:r>
            <w:r>
              <w:rPr>
                <w:sz w:val="26"/>
                <w:szCs w:val="26"/>
              </w:rPr>
              <w:t>《污水综合排放标准》（GB8978-</w:t>
            </w:r>
            <w:r>
              <w:rPr>
                <w:rFonts w:hint="eastAsia"/>
                <w:sz w:val="26"/>
                <w:szCs w:val="26"/>
              </w:rPr>
              <w:t>19</w:t>
            </w:r>
            <w:r>
              <w:rPr>
                <w:sz w:val="26"/>
                <w:szCs w:val="26"/>
              </w:rPr>
              <w:t>96）</w:t>
            </w:r>
            <w:r>
              <w:rPr>
                <w:rFonts w:hint="eastAsia"/>
                <w:sz w:val="26"/>
                <w:szCs w:val="26"/>
              </w:rPr>
              <w:t>三</w:t>
            </w:r>
            <w:r>
              <w:rPr>
                <w:sz w:val="26"/>
                <w:szCs w:val="26"/>
              </w:rPr>
              <w:t>级</w:t>
            </w:r>
            <w:r>
              <w:rPr>
                <w:rFonts w:hint="eastAsia"/>
                <w:sz w:val="26"/>
                <w:szCs w:val="26"/>
              </w:rPr>
              <w:t>标准。</w:t>
            </w:r>
          </w:p>
          <w:p w14:paraId="1B69D94F">
            <w:pPr>
              <w:adjustRightInd w:val="0"/>
              <w:snapToGrid w:val="0"/>
              <w:spacing w:line="460" w:lineRule="exact"/>
              <w:ind w:firstLine="520" w:firstLineChars="200"/>
              <w:rPr>
                <w:bCs/>
                <w:sz w:val="26"/>
                <w:szCs w:val="26"/>
              </w:rPr>
            </w:pPr>
            <w:r>
              <w:rPr>
                <w:rFonts w:hint="eastAsia"/>
                <w:bCs/>
                <w:sz w:val="26"/>
                <w:szCs w:val="26"/>
              </w:rPr>
              <w:t>（3）噪声</w:t>
            </w:r>
          </w:p>
          <w:p w14:paraId="15E82AC7">
            <w:pPr>
              <w:adjustRightInd w:val="0"/>
              <w:snapToGrid w:val="0"/>
              <w:spacing w:line="460" w:lineRule="exact"/>
              <w:ind w:firstLine="520" w:firstLineChars="200"/>
              <w:rPr>
                <w:bCs/>
                <w:sz w:val="26"/>
                <w:szCs w:val="26"/>
              </w:rPr>
            </w:pPr>
            <w:r>
              <w:rPr>
                <w:rFonts w:hint="eastAsia"/>
                <w:bCs/>
                <w:sz w:val="26"/>
                <w:szCs w:val="26"/>
              </w:rPr>
              <w:t>根据企业近期开展的自行监测其报告“</w:t>
            </w:r>
            <w:r>
              <w:rPr>
                <w:rFonts w:hint="eastAsia"/>
                <w:bCs/>
                <w:sz w:val="26"/>
                <w:szCs w:val="26"/>
                <w:lang w:val="en-US" w:eastAsia="zh-CN"/>
              </w:rPr>
              <w:t>重庆隆宇</w:t>
            </w:r>
            <w:r>
              <w:rPr>
                <w:rFonts w:hint="default" w:ascii="Times New Roman" w:hAnsi="Times New Roman" w:eastAsia="微软雅黑" w:cs="Times New Roman"/>
                <w:bCs/>
                <w:sz w:val="26"/>
                <w:szCs w:val="26"/>
                <w:lang w:val="en-US" w:eastAsia="zh-CN"/>
              </w:rPr>
              <w:t>〔20</w:t>
            </w:r>
            <w:r>
              <w:rPr>
                <w:rFonts w:hint="eastAsia" w:ascii="Times New Roman" w:hAnsi="Times New Roman" w:eastAsia="微软雅黑" w:cs="Times New Roman"/>
                <w:bCs/>
                <w:sz w:val="26"/>
                <w:szCs w:val="26"/>
                <w:lang w:val="en-US" w:eastAsia="zh-CN"/>
              </w:rPr>
              <w:t>24</w:t>
            </w:r>
            <w:r>
              <w:rPr>
                <w:rFonts w:hint="default" w:ascii="Times New Roman" w:hAnsi="Times New Roman" w:eastAsia="微软雅黑" w:cs="Times New Roman"/>
                <w:bCs/>
                <w:sz w:val="26"/>
                <w:szCs w:val="26"/>
                <w:lang w:val="en-US" w:eastAsia="zh-CN"/>
              </w:rPr>
              <w:t>〕</w:t>
            </w:r>
            <w:r>
              <w:rPr>
                <w:rFonts w:hint="eastAsia"/>
                <w:bCs/>
                <w:sz w:val="26"/>
                <w:szCs w:val="26"/>
              </w:rPr>
              <w:t>第 WT</w:t>
            </w:r>
            <w:r>
              <w:rPr>
                <w:rFonts w:hint="eastAsia"/>
                <w:bCs/>
                <w:sz w:val="26"/>
                <w:szCs w:val="26"/>
                <w:lang w:val="en-US" w:eastAsia="zh-CN"/>
              </w:rPr>
              <w:t>09173</w:t>
            </w:r>
            <w:r>
              <w:rPr>
                <w:rFonts w:hint="eastAsia"/>
                <w:bCs/>
                <w:sz w:val="26"/>
                <w:szCs w:val="26"/>
              </w:rPr>
              <w:t>号”结果（详见附件），现有工程</w:t>
            </w:r>
            <w:r>
              <w:rPr>
                <w:rFonts w:hint="eastAsia"/>
                <w:bCs/>
                <w:sz w:val="26"/>
                <w:szCs w:val="26"/>
                <w:lang w:val="en-US" w:eastAsia="zh-CN"/>
              </w:rPr>
              <w:t>东北</w:t>
            </w:r>
            <w:r>
              <w:rPr>
                <w:rFonts w:hint="eastAsia"/>
                <w:bCs/>
                <w:sz w:val="26"/>
                <w:szCs w:val="26"/>
              </w:rPr>
              <w:t>侧厂界噪声满足《工业企业厂界环境噪声排放标准》（GB12348-2008）</w:t>
            </w:r>
            <w:r>
              <w:rPr>
                <w:rFonts w:hint="eastAsia"/>
                <w:bCs/>
                <w:sz w:val="26"/>
                <w:szCs w:val="26"/>
                <w:lang w:val="en-US" w:eastAsia="zh-CN"/>
              </w:rPr>
              <w:t>2</w:t>
            </w:r>
            <w:r>
              <w:rPr>
                <w:rFonts w:hint="eastAsia"/>
                <w:bCs/>
                <w:sz w:val="26"/>
                <w:szCs w:val="26"/>
              </w:rPr>
              <w:t>类标准限值</w:t>
            </w:r>
            <w:r>
              <w:rPr>
                <w:rFonts w:hint="eastAsia"/>
                <w:sz w:val="26"/>
                <w:szCs w:val="26"/>
              </w:rPr>
              <w:t>。</w:t>
            </w:r>
          </w:p>
          <w:p w14:paraId="29B3140E">
            <w:pPr>
              <w:adjustRightInd w:val="0"/>
              <w:snapToGrid w:val="0"/>
              <w:spacing w:line="460" w:lineRule="exact"/>
              <w:ind w:firstLine="520" w:firstLineChars="200"/>
              <w:rPr>
                <w:bCs/>
                <w:sz w:val="26"/>
                <w:szCs w:val="26"/>
              </w:rPr>
            </w:pPr>
            <w:r>
              <w:rPr>
                <w:rFonts w:hint="eastAsia"/>
                <w:bCs/>
                <w:sz w:val="26"/>
                <w:szCs w:val="26"/>
              </w:rPr>
              <w:t>（4）固体废物</w:t>
            </w:r>
          </w:p>
          <w:p w14:paraId="56153114">
            <w:pPr>
              <w:adjustRightInd w:val="0"/>
              <w:snapToGrid w:val="0"/>
              <w:spacing w:line="460" w:lineRule="exact"/>
              <w:ind w:firstLine="520" w:firstLineChars="200"/>
              <w:rPr>
                <w:bCs/>
                <w:sz w:val="26"/>
                <w:szCs w:val="26"/>
              </w:rPr>
            </w:pPr>
            <w:r>
              <w:rPr>
                <w:rFonts w:hint="eastAsia"/>
                <w:bCs/>
                <w:sz w:val="26"/>
                <w:szCs w:val="26"/>
              </w:rPr>
              <w:t>现有工程产生的固体废物主要为拆除的废油罐、清罐检修废物、含油污泥、废棉纱手套及员工、外来人员产生的生活垃圾。另根据建设单位原有项目固体废物处置情况资料，2024年分别处置了含油废物0.1t、含油沾染物0.0352t，均由专业单位运输</w:t>
            </w:r>
            <w:r>
              <w:rPr>
                <w:sz w:val="26"/>
                <w:szCs w:val="26"/>
              </w:rPr>
              <w:t>交</w:t>
            </w:r>
            <w:r>
              <w:rPr>
                <w:rFonts w:hint="eastAsia"/>
                <w:sz w:val="26"/>
                <w:szCs w:val="26"/>
              </w:rPr>
              <w:t>重庆信维环保有限公司清运后</w:t>
            </w:r>
            <w:r>
              <w:rPr>
                <w:sz w:val="26"/>
                <w:szCs w:val="26"/>
              </w:rPr>
              <w:t>处置</w:t>
            </w:r>
            <w:r>
              <w:rPr>
                <w:rFonts w:hint="eastAsia"/>
                <w:bCs/>
                <w:sz w:val="26"/>
                <w:szCs w:val="26"/>
              </w:rPr>
              <w:t>，不在厂内贮存，2025年新签处置单位为</w:t>
            </w:r>
            <w:r>
              <w:rPr>
                <w:rFonts w:hint="eastAsia"/>
                <w:kern w:val="44"/>
                <w:sz w:val="26"/>
                <w:szCs w:val="26"/>
                <w:lang w:bidi="ar"/>
              </w:rPr>
              <w:t>重庆国玖环保科技有限公司。</w:t>
            </w:r>
            <w:r>
              <w:rPr>
                <w:rFonts w:hint="eastAsia"/>
                <w:bCs/>
                <w:sz w:val="26"/>
                <w:szCs w:val="26"/>
              </w:rPr>
              <w:t>原有工程油罐委托专业单位进行拆除，拆除油罐及含油废物在拆除过程完成后立即由</w:t>
            </w:r>
            <w:r>
              <w:rPr>
                <w:rFonts w:hint="eastAsia"/>
                <w:kern w:val="44"/>
                <w:sz w:val="26"/>
                <w:szCs w:val="26"/>
                <w:lang w:bidi="ar"/>
              </w:rPr>
              <w:t>有对应的危险废物处理资质的单位清运处置</w:t>
            </w:r>
            <w:r>
              <w:rPr>
                <w:rFonts w:hint="eastAsia"/>
                <w:bCs/>
                <w:sz w:val="26"/>
                <w:szCs w:val="26"/>
              </w:rPr>
              <w:t>；生活垃圾收集后定期交由环卫部门统一清运处置。</w:t>
            </w:r>
          </w:p>
          <w:p w14:paraId="40C53064">
            <w:pPr>
              <w:adjustRightInd w:val="0"/>
              <w:snapToGrid w:val="0"/>
              <w:spacing w:line="460" w:lineRule="exact"/>
              <w:ind w:firstLine="520" w:firstLineChars="200"/>
              <w:rPr>
                <w:bCs/>
                <w:sz w:val="26"/>
                <w:szCs w:val="26"/>
              </w:rPr>
            </w:pPr>
            <w:r>
              <w:rPr>
                <w:rFonts w:hint="eastAsia"/>
                <w:kern w:val="0"/>
                <w:sz w:val="26"/>
                <w:szCs w:val="26"/>
              </w:rPr>
              <w:t>现有工程在站区西侧设置1处占地面积约</w:t>
            </w:r>
            <w:r>
              <w:rPr>
                <w:rFonts w:hint="eastAsia"/>
                <w:kern w:val="0"/>
                <w:sz w:val="26"/>
                <w:szCs w:val="26"/>
                <w:lang w:val="en-US" w:eastAsia="zh-CN"/>
              </w:rPr>
              <w:t>2</w:t>
            </w:r>
            <w:r>
              <w:rPr>
                <w:rFonts w:hint="eastAsia"/>
                <w:kern w:val="0"/>
                <w:sz w:val="26"/>
                <w:szCs w:val="26"/>
              </w:rPr>
              <w:t>m</w:t>
            </w:r>
            <w:r>
              <w:rPr>
                <w:rFonts w:hint="eastAsia"/>
                <w:kern w:val="0"/>
                <w:sz w:val="26"/>
                <w:szCs w:val="26"/>
                <w:vertAlign w:val="superscript"/>
              </w:rPr>
              <w:t>2</w:t>
            </w:r>
            <w:r>
              <w:rPr>
                <w:rFonts w:hint="eastAsia"/>
                <w:kern w:val="0"/>
                <w:sz w:val="26"/>
                <w:szCs w:val="26"/>
              </w:rPr>
              <w:t>的危险废物贮存点，为2023年改造，采用不锈钢一体式结构，无焊缝，点位外区域底部硬化，危废贮存不与地面直接</w:t>
            </w:r>
            <w:r>
              <w:rPr>
                <w:rFonts w:hint="eastAsia"/>
                <w:kern w:val="0"/>
                <w:sz w:val="26"/>
                <w:szCs w:val="26"/>
                <w:lang w:val="en-US" w:eastAsia="zh-CN"/>
              </w:rPr>
              <w:t>接触</w:t>
            </w:r>
            <w:r>
              <w:rPr>
                <w:rFonts w:hint="eastAsia"/>
                <w:kern w:val="0"/>
                <w:sz w:val="26"/>
                <w:szCs w:val="26"/>
              </w:rPr>
              <w:t>，点位外正面设有危险废物标识牌，用于临时暂存</w:t>
            </w:r>
            <w:r>
              <w:rPr>
                <w:rFonts w:hint="eastAsia"/>
                <w:kern w:val="0"/>
                <w:sz w:val="26"/>
                <w:szCs w:val="26"/>
                <w:lang w:val="en-US" w:eastAsia="zh-CN"/>
              </w:rPr>
              <w:t>设备维修废物</w:t>
            </w:r>
            <w:r>
              <w:rPr>
                <w:rFonts w:hint="eastAsia"/>
                <w:kern w:val="0"/>
                <w:sz w:val="26"/>
                <w:szCs w:val="26"/>
              </w:rPr>
              <w:t>等危险废物</w:t>
            </w:r>
            <w:r>
              <w:rPr>
                <w:rFonts w:hint="eastAsia"/>
                <w:kern w:val="0"/>
                <w:sz w:val="26"/>
                <w:szCs w:val="26"/>
                <w:lang w:eastAsia="zh-CN"/>
              </w:rPr>
              <w:t>，</w:t>
            </w:r>
            <w:r>
              <w:rPr>
                <w:rFonts w:hint="eastAsia"/>
                <w:kern w:val="0"/>
                <w:sz w:val="26"/>
                <w:szCs w:val="26"/>
                <w:lang w:val="en-US" w:eastAsia="zh-CN"/>
              </w:rPr>
              <w:t>危废贮存点设计及建设</w:t>
            </w:r>
            <w:r>
              <w:rPr>
                <w:rFonts w:hint="eastAsia"/>
                <w:kern w:val="0"/>
                <w:sz w:val="26"/>
                <w:szCs w:val="26"/>
              </w:rPr>
              <w:t>满足《危险废物贮存污染控制标准》（</w:t>
            </w:r>
            <w:r>
              <w:rPr>
                <w:kern w:val="0"/>
                <w:sz w:val="26"/>
                <w:szCs w:val="26"/>
              </w:rPr>
              <w:t>GB 18597</w:t>
            </w:r>
            <w:r>
              <w:rPr>
                <w:rFonts w:hint="eastAsia"/>
                <w:kern w:val="0"/>
                <w:sz w:val="26"/>
                <w:szCs w:val="26"/>
                <w:lang w:val="en-US" w:eastAsia="zh-CN"/>
              </w:rPr>
              <w:t>-2</w:t>
            </w:r>
            <w:r>
              <w:rPr>
                <w:kern w:val="0"/>
                <w:sz w:val="26"/>
                <w:szCs w:val="26"/>
              </w:rPr>
              <w:t>023</w:t>
            </w:r>
            <w:r>
              <w:rPr>
                <w:rFonts w:hint="eastAsia"/>
                <w:kern w:val="0"/>
                <w:sz w:val="26"/>
                <w:szCs w:val="26"/>
              </w:rPr>
              <w:t>）要求。</w:t>
            </w:r>
          </w:p>
          <w:p w14:paraId="42E116D3">
            <w:pPr>
              <w:adjustRightInd w:val="0"/>
              <w:snapToGrid w:val="0"/>
              <w:spacing w:line="460" w:lineRule="exact"/>
              <w:ind w:firstLine="520" w:firstLineChars="200"/>
              <w:rPr>
                <w:rFonts w:hint="default" w:eastAsia="宋体"/>
                <w:bCs/>
                <w:color w:val="FF0000"/>
                <w:sz w:val="26"/>
                <w:szCs w:val="26"/>
                <w:lang w:val="en-US" w:eastAsia="zh-CN"/>
              </w:rPr>
            </w:pPr>
            <w:r>
              <w:rPr>
                <w:rFonts w:hint="eastAsia"/>
                <w:bCs/>
                <w:color w:val="FF0000"/>
                <w:sz w:val="26"/>
                <w:szCs w:val="26"/>
                <w:lang w:eastAsia="zh-CN"/>
              </w:rPr>
              <w:t>（</w:t>
            </w:r>
            <w:r>
              <w:rPr>
                <w:rFonts w:hint="eastAsia"/>
                <w:bCs/>
                <w:color w:val="FF0000"/>
                <w:sz w:val="26"/>
                <w:szCs w:val="26"/>
                <w:lang w:val="en-US" w:eastAsia="zh-CN"/>
              </w:rPr>
              <w:t>5</w:t>
            </w:r>
            <w:r>
              <w:rPr>
                <w:rFonts w:hint="eastAsia"/>
                <w:bCs/>
                <w:color w:val="FF0000"/>
                <w:sz w:val="26"/>
                <w:szCs w:val="26"/>
                <w:lang w:eastAsia="zh-CN"/>
              </w:rPr>
              <w:t>）</w:t>
            </w:r>
            <w:r>
              <w:rPr>
                <w:rFonts w:hint="eastAsia"/>
                <w:bCs/>
                <w:color w:val="FF0000"/>
                <w:sz w:val="26"/>
                <w:szCs w:val="26"/>
                <w:lang w:val="en-US" w:eastAsia="zh-CN"/>
              </w:rPr>
              <w:t>地下水防治措施</w:t>
            </w:r>
          </w:p>
          <w:p w14:paraId="740C0353">
            <w:pPr>
              <w:adjustRightInd w:val="0"/>
              <w:snapToGrid w:val="0"/>
              <w:spacing w:line="460" w:lineRule="exact"/>
              <w:ind w:firstLine="520" w:firstLineChars="200"/>
              <w:rPr>
                <w:rFonts w:hint="eastAsia"/>
                <w:bCs/>
                <w:color w:val="FF0000"/>
                <w:sz w:val="26"/>
                <w:szCs w:val="26"/>
              </w:rPr>
            </w:pPr>
            <w:r>
              <w:rPr>
                <w:rFonts w:hint="eastAsia"/>
                <w:bCs/>
                <w:color w:val="FF0000"/>
                <w:sz w:val="26"/>
                <w:szCs w:val="26"/>
                <w:lang w:val="en-US" w:eastAsia="zh-CN"/>
              </w:rPr>
              <w:t>现有工程</w:t>
            </w:r>
            <w:r>
              <w:rPr>
                <w:rFonts w:hint="eastAsia"/>
                <w:bCs/>
                <w:color w:val="FF0000"/>
                <w:sz w:val="26"/>
                <w:szCs w:val="26"/>
              </w:rPr>
              <w:t>油罐</w:t>
            </w:r>
            <w:r>
              <w:rPr>
                <w:rFonts w:hint="eastAsia"/>
                <w:bCs/>
                <w:color w:val="FF0000"/>
                <w:sz w:val="26"/>
                <w:szCs w:val="26"/>
                <w:lang w:val="en-US" w:eastAsia="zh-CN"/>
              </w:rPr>
              <w:t>设置形式为单层油罐+防渗罐池</w:t>
            </w:r>
            <w:r>
              <w:rPr>
                <w:rFonts w:hint="eastAsia"/>
                <w:bCs/>
                <w:color w:val="FF0000"/>
                <w:sz w:val="26"/>
                <w:szCs w:val="26"/>
              </w:rPr>
              <w:t>。采取分区防渗措施</w:t>
            </w:r>
            <w:r>
              <w:rPr>
                <w:rFonts w:hint="eastAsia"/>
                <w:bCs/>
                <w:color w:val="FF0000"/>
                <w:sz w:val="26"/>
                <w:szCs w:val="26"/>
                <w:lang w:eastAsia="zh-CN"/>
              </w:rPr>
              <w:t>，</w:t>
            </w:r>
            <w:r>
              <w:rPr>
                <w:rFonts w:hint="eastAsia"/>
                <w:bCs/>
                <w:color w:val="FF0000"/>
                <w:sz w:val="26"/>
                <w:szCs w:val="26"/>
              </w:rPr>
              <w:t>防渗池、工艺管线、危废贮存点、加油区、卸油区、柴油发电机房采取重点防渗措施；站内道路、隔油池、生化池、隔油沉淀池采取一般防渗措施；站房等其他区域采取简单防渗措施。</w:t>
            </w:r>
          </w:p>
          <w:p w14:paraId="6EB763C1">
            <w:pPr>
              <w:adjustRightInd w:val="0"/>
              <w:snapToGrid w:val="0"/>
              <w:spacing w:line="460" w:lineRule="exact"/>
              <w:ind w:firstLine="520" w:firstLineChars="200"/>
              <w:rPr>
                <w:rFonts w:hint="default" w:eastAsia="宋体"/>
                <w:bCs/>
                <w:color w:val="FF0000"/>
                <w:sz w:val="26"/>
                <w:szCs w:val="26"/>
                <w:lang w:val="en-US" w:eastAsia="zh-CN"/>
              </w:rPr>
            </w:pPr>
            <w:r>
              <w:rPr>
                <w:rFonts w:hint="eastAsia"/>
                <w:bCs/>
                <w:color w:val="FF0000"/>
                <w:sz w:val="26"/>
                <w:szCs w:val="26"/>
                <w:lang w:eastAsia="zh-CN"/>
              </w:rPr>
              <w:t>（</w:t>
            </w:r>
            <w:r>
              <w:rPr>
                <w:rFonts w:hint="eastAsia"/>
                <w:bCs/>
                <w:color w:val="FF0000"/>
                <w:sz w:val="26"/>
                <w:szCs w:val="26"/>
                <w:lang w:val="en-US" w:eastAsia="zh-CN"/>
              </w:rPr>
              <w:t>6</w:t>
            </w:r>
            <w:r>
              <w:rPr>
                <w:rFonts w:hint="eastAsia"/>
                <w:bCs/>
                <w:color w:val="FF0000"/>
                <w:sz w:val="26"/>
                <w:szCs w:val="26"/>
                <w:lang w:eastAsia="zh-CN"/>
              </w:rPr>
              <w:t>）</w:t>
            </w:r>
            <w:r>
              <w:rPr>
                <w:rFonts w:hint="eastAsia"/>
                <w:bCs/>
                <w:color w:val="FF0000"/>
                <w:sz w:val="26"/>
                <w:szCs w:val="26"/>
                <w:lang w:val="en-US" w:eastAsia="zh-CN"/>
              </w:rPr>
              <w:t>环境风险防范措施</w:t>
            </w:r>
          </w:p>
          <w:p w14:paraId="5F6F5B43">
            <w:pPr>
              <w:adjustRightInd w:val="0"/>
              <w:snapToGrid w:val="0"/>
              <w:spacing w:line="460" w:lineRule="exact"/>
              <w:ind w:firstLine="520" w:firstLineChars="200"/>
              <w:rPr>
                <w:rFonts w:hint="eastAsia"/>
                <w:bCs/>
                <w:sz w:val="26"/>
                <w:szCs w:val="26"/>
              </w:rPr>
            </w:pPr>
            <w:r>
              <w:rPr>
                <w:rFonts w:hint="eastAsia"/>
                <w:bCs/>
                <w:color w:val="FF0000"/>
                <w:sz w:val="26"/>
                <w:szCs w:val="26"/>
                <w:lang w:val="en-US" w:eastAsia="zh-CN"/>
              </w:rPr>
              <w:t>现有工程储油罐设带有高液位报警功能的液位计，避免卸油时计量失误使罐内液位过高造成冒油，设置了可燃气体报警仪；建立、完善了安全管理制度；做好了防雷工作；加强了设备管理，消除静电危害；加强了作业现场的安全管理；设立了安全标识、规范安全操作；配备了灭火毯、消防沙、手提式干粉灭火器、消防砂池、吸油毡等；加强了日常防火巡查；加大了培训力度，提高了员工素质，增强了安全意识。</w:t>
            </w:r>
          </w:p>
          <w:p w14:paraId="2C5B05F2">
            <w:pPr>
              <w:adjustRightInd w:val="0"/>
              <w:snapToGrid w:val="0"/>
              <w:spacing w:line="460" w:lineRule="exact"/>
              <w:ind w:firstLine="520" w:firstLineChars="200"/>
              <w:rPr>
                <w:bCs/>
                <w:sz w:val="26"/>
                <w:szCs w:val="26"/>
              </w:rPr>
            </w:pPr>
            <w:r>
              <w:rPr>
                <w:rFonts w:hint="eastAsia"/>
                <w:bCs/>
                <w:sz w:val="26"/>
                <w:szCs w:val="26"/>
              </w:rPr>
              <w:t>（</w:t>
            </w:r>
            <w:r>
              <w:rPr>
                <w:rFonts w:hint="eastAsia"/>
                <w:bCs/>
                <w:sz w:val="26"/>
                <w:szCs w:val="26"/>
                <w:lang w:val="en-US" w:eastAsia="zh-CN"/>
              </w:rPr>
              <w:t>7</w:t>
            </w:r>
            <w:r>
              <w:rPr>
                <w:rFonts w:hint="eastAsia"/>
                <w:bCs/>
                <w:sz w:val="26"/>
                <w:szCs w:val="26"/>
              </w:rPr>
              <w:t>）平面布置</w:t>
            </w:r>
          </w:p>
          <w:p w14:paraId="127511E0">
            <w:pPr>
              <w:autoSpaceDE w:val="0"/>
              <w:autoSpaceDN w:val="0"/>
              <w:adjustRightInd w:val="0"/>
              <w:snapToGrid w:val="0"/>
              <w:spacing w:line="460" w:lineRule="exact"/>
              <w:ind w:firstLine="520" w:firstLineChars="200"/>
              <w:rPr>
                <w:kern w:val="0"/>
                <w:sz w:val="26"/>
                <w:szCs w:val="26"/>
              </w:rPr>
            </w:pPr>
            <w:r>
              <w:rPr>
                <w:kern w:val="0"/>
                <w:sz w:val="26"/>
                <w:szCs w:val="26"/>
              </w:rPr>
              <w:t>引用已通过评审的《</w:t>
            </w:r>
            <w:r>
              <w:rPr>
                <w:rFonts w:hint="eastAsia"/>
                <w:kern w:val="0"/>
                <w:sz w:val="26"/>
                <w:szCs w:val="26"/>
              </w:rPr>
              <w:t>中国石化销售股份有限公司重庆石油公公司华福路</w:t>
            </w:r>
            <w:r>
              <w:rPr>
                <w:rFonts w:hint="eastAsia"/>
                <w:kern w:val="0"/>
                <w:sz w:val="26"/>
                <w:szCs w:val="26"/>
                <w:lang w:val="en-US" w:eastAsia="zh-CN"/>
              </w:rPr>
              <w:t>L-</w:t>
            </w:r>
            <w:r>
              <w:rPr>
                <w:rFonts w:hint="eastAsia"/>
                <w:kern w:val="0"/>
                <w:sz w:val="26"/>
                <w:szCs w:val="26"/>
              </w:rPr>
              <w:t>CNG加油加气站</w:t>
            </w:r>
            <w:r>
              <w:rPr>
                <w:rFonts w:hint="eastAsia"/>
                <w:kern w:val="0"/>
                <w:sz w:val="26"/>
                <w:szCs w:val="26"/>
                <w:lang w:eastAsia="zh-CN"/>
              </w:rPr>
              <w:t>（</w:t>
            </w:r>
            <w:r>
              <w:rPr>
                <w:rFonts w:hint="eastAsia"/>
                <w:kern w:val="0"/>
                <w:sz w:val="26"/>
                <w:szCs w:val="26"/>
              </w:rPr>
              <w:t>加油部分</w:t>
            </w:r>
            <w:r>
              <w:rPr>
                <w:rFonts w:hint="eastAsia"/>
                <w:kern w:val="0"/>
                <w:sz w:val="26"/>
                <w:szCs w:val="26"/>
                <w:lang w:eastAsia="zh-CN"/>
              </w:rPr>
              <w:t>）</w:t>
            </w:r>
            <w:r>
              <w:rPr>
                <w:rFonts w:hint="eastAsia"/>
                <w:kern w:val="0"/>
                <w:sz w:val="26"/>
                <w:szCs w:val="26"/>
              </w:rPr>
              <w:t>安全现状评价</w:t>
            </w:r>
            <w:r>
              <w:rPr>
                <w:kern w:val="0"/>
                <w:sz w:val="26"/>
                <w:szCs w:val="26"/>
              </w:rPr>
              <w:t>报告》</w:t>
            </w:r>
            <w:r>
              <w:rPr>
                <w:rFonts w:hint="eastAsia"/>
                <w:kern w:val="0"/>
                <w:sz w:val="26"/>
                <w:szCs w:val="26"/>
              </w:rPr>
              <w:t>，现有工程总平面布置满足《汽车加油加气站设计与施工规范》（GB50156-2021）要求。站内设备设施及站外建构筑物的安全间距见表2.</w:t>
            </w:r>
            <w:r>
              <w:rPr>
                <w:rFonts w:hint="eastAsia"/>
                <w:kern w:val="0"/>
                <w:sz w:val="26"/>
                <w:szCs w:val="26"/>
                <w:lang w:val="en-US" w:eastAsia="zh-CN"/>
              </w:rPr>
              <w:t>12</w:t>
            </w:r>
            <w:r>
              <w:rPr>
                <w:rFonts w:hint="eastAsia"/>
                <w:kern w:val="0"/>
                <w:sz w:val="26"/>
                <w:szCs w:val="26"/>
              </w:rPr>
              <w:t>-1~2.</w:t>
            </w:r>
            <w:r>
              <w:rPr>
                <w:rFonts w:hint="eastAsia"/>
                <w:kern w:val="0"/>
                <w:sz w:val="26"/>
                <w:szCs w:val="26"/>
                <w:lang w:val="en-US" w:eastAsia="zh-CN"/>
              </w:rPr>
              <w:t>12</w:t>
            </w:r>
            <w:r>
              <w:rPr>
                <w:rFonts w:hint="eastAsia"/>
                <w:kern w:val="0"/>
                <w:sz w:val="26"/>
                <w:szCs w:val="26"/>
              </w:rPr>
              <w:t>-2。</w:t>
            </w:r>
          </w:p>
          <w:p w14:paraId="76E9E3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kern w:val="0"/>
                <w:sz w:val="22"/>
                <w:szCs w:val="22"/>
              </w:rPr>
            </w:pPr>
            <w:r>
              <w:rPr>
                <w:kern w:val="0"/>
                <w:sz w:val="22"/>
                <w:szCs w:val="22"/>
              </w:rPr>
              <w:t>表</w:t>
            </w:r>
            <w:r>
              <w:rPr>
                <w:rFonts w:hint="eastAsia"/>
                <w:kern w:val="0"/>
                <w:sz w:val="22"/>
                <w:szCs w:val="22"/>
              </w:rPr>
              <w:t>2.</w:t>
            </w:r>
            <w:r>
              <w:rPr>
                <w:rFonts w:hint="eastAsia"/>
                <w:kern w:val="0"/>
                <w:sz w:val="22"/>
                <w:szCs w:val="22"/>
                <w:lang w:val="en-US" w:eastAsia="zh-CN"/>
              </w:rPr>
              <w:t>12</w:t>
            </w:r>
            <w:r>
              <w:rPr>
                <w:kern w:val="0"/>
                <w:sz w:val="22"/>
                <w:szCs w:val="22"/>
              </w:rPr>
              <w:t>-1</w:t>
            </w:r>
            <w:r>
              <w:rPr>
                <w:rFonts w:hint="eastAsia"/>
                <w:kern w:val="0"/>
                <w:sz w:val="22"/>
                <w:szCs w:val="22"/>
                <w:lang w:val="en-US" w:eastAsia="zh-CN"/>
              </w:rPr>
              <w:t xml:space="preserve">  </w:t>
            </w:r>
            <w:r>
              <w:rPr>
                <w:rFonts w:hint="eastAsia"/>
                <w:kern w:val="0"/>
                <w:sz w:val="22"/>
                <w:szCs w:val="22"/>
              </w:rPr>
              <w:t>现有加油站</w:t>
            </w:r>
            <w:r>
              <w:rPr>
                <w:rFonts w:hint="eastAsia"/>
                <w:kern w:val="0"/>
                <w:sz w:val="22"/>
                <w:szCs w:val="22"/>
                <w:lang w:val="en-US" w:eastAsia="zh-CN"/>
              </w:rPr>
              <w:t>站内</w:t>
            </w:r>
            <w:r>
              <w:rPr>
                <w:rFonts w:hint="eastAsia"/>
                <w:kern w:val="0"/>
                <w:sz w:val="22"/>
                <w:szCs w:val="22"/>
              </w:rPr>
              <w:t>设施安全间距</w:t>
            </w:r>
            <w:r>
              <w:rPr>
                <w:rFonts w:hint="eastAsia"/>
                <w:kern w:val="0"/>
                <w:sz w:val="22"/>
                <w:szCs w:val="22"/>
                <w:lang w:val="en-US" w:eastAsia="zh-CN"/>
              </w:rPr>
              <w:t xml:space="preserve">一览表  </w:t>
            </w:r>
            <w:r>
              <w:rPr>
                <w:kern w:val="0"/>
                <w:sz w:val="22"/>
                <w:szCs w:val="22"/>
              </w:rPr>
              <w:t>（m）</w:t>
            </w:r>
          </w:p>
          <w:tbl>
            <w:tblPr>
              <w:tblStyle w:val="18"/>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919"/>
              <w:gridCol w:w="1078"/>
              <w:gridCol w:w="1135"/>
              <w:gridCol w:w="1135"/>
              <w:gridCol w:w="1135"/>
              <w:gridCol w:w="1135"/>
            </w:tblGrid>
            <w:tr w14:paraId="1498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1BC8F5E7">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设施名称</w:t>
                  </w:r>
                </w:p>
              </w:tc>
              <w:tc>
                <w:tcPr>
                  <w:tcW w:w="919" w:type="dxa"/>
                  <w:vAlign w:val="center"/>
                </w:tcPr>
                <w:p w14:paraId="2E330716">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汽油罐</w:t>
                  </w:r>
                </w:p>
              </w:tc>
              <w:tc>
                <w:tcPr>
                  <w:tcW w:w="1078" w:type="dxa"/>
                  <w:vAlign w:val="center"/>
                </w:tcPr>
                <w:p w14:paraId="4B04B181">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柴油罐</w:t>
                  </w:r>
                </w:p>
              </w:tc>
              <w:tc>
                <w:tcPr>
                  <w:tcW w:w="1135" w:type="dxa"/>
                  <w:vAlign w:val="center"/>
                </w:tcPr>
                <w:p w14:paraId="06670CB9">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汽油罐通气管口</w:t>
                  </w:r>
                </w:p>
              </w:tc>
              <w:tc>
                <w:tcPr>
                  <w:tcW w:w="1135" w:type="dxa"/>
                  <w:vAlign w:val="center"/>
                </w:tcPr>
                <w:p w14:paraId="7D8967E4">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柴油罐通气管口</w:t>
                  </w:r>
                </w:p>
              </w:tc>
              <w:tc>
                <w:tcPr>
                  <w:tcW w:w="1135" w:type="dxa"/>
                  <w:vAlign w:val="center"/>
                </w:tcPr>
                <w:p w14:paraId="3D045AB8">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加油机</w:t>
                  </w:r>
                </w:p>
              </w:tc>
              <w:tc>
                <w:tcPr>
                  <w:tcW w:w="1135" w:type="dxa"/>
                  <w:vAlign w:val="center"/>
                </w:tcPr>
                <w:p w14:paraId="37D66D8F">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油品卸车点</w:t>
                  </w:r>
                </w:p>
              </w:tc>
            </w:tr>
            <w:tr w14:paraId="1768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7B11122E">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汽油罐</w:t>
                  </w:r>
                </w:p>
              </w:tc>
              <w:tc>
                <w:tcPr>
                  <w:tcW w:w="919" w:type="dxa"/>
                  <w:vAlign w:val="center"/>
                </w:tcPr>
                <w:p w14:paraId="7F1B3B3F">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0.5/0.5</w:t>
                  </w:r>
                </w:p>
              </w:tc>
              <w:tc>
                <w:tcPr>
                  <w:tcW w:w="1078" w:type="dxa"/>
                  <w:vAlign w:val="center"/>
                </w:tcPr>
                <w:p w14:paraId="07D8D1CD">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0.5/1</w:t>
                  </w:r>
                </w:p>
              </w:tc>
              <w:tc>
                <w:tcPr>
                  <w:tcW w:w="1135" w:type="dxa"/>
                  <w:vAlign w:val="center"/>
                </w:tcPr>
                <w:p w14:paraId="0AD5140D">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256F93D0">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22882147">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517084DF">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r>
            <w:tr w14:paraId="618B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2D4F0DC2">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柴油罐</w:t>
                  </w:r>
                </w:p>
              </w:tc>
              <w:tc>
                <w:tcPr>
                  <w:tcW w:w="919" w:type="dxa"/>
                  <w:vAlign w:val="center"/>
                </w:tcPr>
                <w:p w14:paraId="3E4040CB">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0.5/1</w:t>
                  </w:r>
                </w:p>
              </w:tc>
              <w:tc>
                <w:tcPr>
                  <w:tcW w:w="1078" w:type="dxa"/>
                  <w:vAlign w:val="center"/>
                </w:tcPr>
                <w:p w14:paraId="541A3D64">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0.5/0.5</w:t>
                  </w:r>
                </w:p>
              </w:tc>
              <w:tc>
                <w:tcPr>
                  <w:tcW w:w="1135" w:type="dxa"/>
                  <w:vAlign w:val="center"/>
                </w:tcPr>
                <w:p w14:paraId="7DF24E41">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22454CF7">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081FCD6C">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226A2AC5">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r>
            <w:tr w14:paraId="72C8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41A4CFA2">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汽油通气管口</w:t>
                  </w:r>
                </w:p>
              </w:tc>
              <w:tc>
                <w:tcPr>
                  <w:tcW w:w="919" w:type="dxa"/>
                  <w:vAlign w:val="center"/>
                </w:tcPr>
                <w:p w14:paraId="4CE2D747">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078" w:type="dxa"/>
                  <w:vAlign w:val="center"/>
                </w:tcPr>
                <w:p w14:paraId="711D8BD2">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4E2AF635">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7B2EE3F5">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574A3690">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152A166A">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3/45</w:t>
                  </w:r>
                </w:p>
              </w:tc>
            </w:tr>
            <w:tr w14:paraId="4535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6191C867">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柴油通气管口</w:t>
                  </w:r>
                </w:p>
              </w:tc>
              <w:tc>
                <w:tcPr>
                  <w:tcW w:w="919" w:type="dxa"/>
                  <w:vAlign w:val="center"/>
                </w:tcPr>
                <w:p w14:paraId="5C870AAC">
                  <w:pPr>
                    <w:spacing w:line="240" w:lineRule="auto"/>
                    <w:jc w:val="center"/>
                    <w:outlineLvl w:val="1"/>
                    <w:rPr>
                      <w:kern w:val="0"/>
                      <w:sz w:val="22"/>
                      <w:szCs w:val="22"/>
                      <w:vertAlign w:val="baseline"/>
                    </w:rPr>
                  </w:pPr>
                  <w:r>
                    <w:rPr>
                      <w:rFonts w:hint="eastAsia"/>
                      <w:kern w:val="0"/>
                      <w:sz w:val="22"/>
                      <w:szCs w:val="22"/>
                      <w:vertAlign w:val="baseline"/>
                      <w:lang w:val="en-US" w:eastAsia="zh-CN"/>
                    </w:rPr>
                    <w:t>-</w:t>
                  </w:r>
                </w:p>
              </w:tc>
              <w:tc>
                <w:tcPr>
                  <w:tcW w:w="1078" w:type="dxa"/>
                  <w:vAlign w:val="center"/>
                </w:tcPr>
                <w:p w14:paraId="7A1CDEB2">
                  <w:pPr>
                    <w:spacing w:line="240" w:lineRule="auto"/>
                    <w:jc w:val="center"/>
                    <w:outlineLvl w:val="1"/>
                    <w:rPr>
                      <w:kern w:val="0"/>
                      <w:sz w:val="22"/>
                      <w:szCs w:val="22"/>
                      <w:vertAlign w:val="baseline"/>
                    </w:rPr>
                  </w:pPr>
                  <w:r>
                    <w:rPr>
                      <w:rFonts w:hint="eastAsia"/>
                      <w:kern w:val="0"/>
                      <w:sz w:val="22"/>
                      <w:szCs w:val="22"/>
                      <w:vertAlign w:val="baseline"/>
                      <w:lang w:val="en-US" w:eastAsia="zh-CN"/>
                    </w:rPr>
                    <w:t>-</w:t>
                  </w:r>
                </w:p>
              </w:tc>
              <w:tc>
                <w:tcPr>
                  <w:tcW w:w="1135" w:type="dxa"/>
                  <w:vAlign w:val="center"/>
                </w:tcPr>
                <w:p w14:paraId="2F401B69">
                  <w:pPr>
                    <w:spacing w:line="240" w:lineRule="auto"/>
                    <w:jc w:val="center"/>
                    <w:outlineLvl w:val="1"/>
                    <w:rPr>
                      <w:kern w:val="0"/>
                      <w:sz w:val="22"/>
                      <w:szCs w:val="22"/>
                      <w:vertAlign w:val="baseline"/>
                    </w:rPr>
                  </w:pPr>
                  <w:r>
                    <w:rPr>
                      <w:rFonts w:hint="eastAsia"/>
                      <w:kern w:val="0"/>
                      <w:sz w:val="22"/>
                      <w:szCs w:val="22"/>
                      <w:vertAlign w:val="baseline"/>
                      <w:lang w:val="en-US" w:eastAsia="zh-CN"/>
                    </w:rPr>
                    <w:t>-</w:t>
                  </w:r>
                </w:p>
              </w:tc>
              <w:tc>
                <w:tcPr>
                  <w:tcW w:w="1135" w:type="dxa"/>
                  <w:vAlign w:val="center"/>
                </w:tcPr>
                <w:p w14:paraId="343AA1CA">
                  <w:pPr>
                    <w:spacing w:line="240" w:lineRule="auto"/>
                    <w:jc w:val="center"/>
                    <w:outlineLvl w:val="1"/>
                    <w:rPr>
                      <w:kern w:val="0"/>
                      <w:sz w:val="22"/>
                      <w:szCs w:val="22"/>
                      <w:vertAlign w:val="baseline"/>
                    </w:rPr>
                  </w:pPr>
                  <w:r>
                    <w:rPr>
                      <w:rFonts w:hint="eastAsia"/>
                      <w:kern w:val="0"/>
                      <w:sz w:val="22"/>
                      <w:szCs w:val="22"/>
                      <w:vertAlign w:val="baseline"/>
                      <w:lang w:val="en-US" w:eastAsia="zh-CN"/>
                    </w:rPr>
                    <w:t>-</w:t>
                  </w:r>
                </w:p>
              </w:tc>
              <w:tc>
                <w:tcPr>
                  <w:tcW w:w="1135" w:type="dxa"/>
                  <w:vAlign w:val="center"/>
                </w:tcPr>
                <w:p w14:paraId="70EBAE48">
                  <w:pPr>
                    <w:spacing w:line="240" w:lineRule="auto"/>
                    <w:jc w:val="center"/>
                    <w:outlineLvl w:val="1"/>
                    <w:rPr>
                      <w:kern w:val="0"/>
                      <w:sz w:val="22"/>
                      <w:szCs w:val="22"/>
                      <w:vertAlign w:val="baseline"/>
                    </w:rPr>
                  </w:pPr>
                  <w:r>
                    <w:rPr>
                      <w:rFonts w:hint="eastAsia"/>
                      <w:kern w:val="0"/>
                      <w:sz w:val="22"/>
                      <w:szCs w:val="22"/>
                      <w:vertAlign w:val="baseline"/>
                      <w:lang w:val="en-US" w:eastAsia="zh-CN"/>
                    </w:rPr>
                    <w:t>-</w:t>
                  </w:r>
                </w:p>
              </w:tc>
              <w:tc>
                <w:tcPr>
                  <w:tcW w:w="1135" w:type="dxa"/>
                  <w:vAlign w:val="center"/>
                </w:tcPr>
                <w:p w14:paraId="6A939EB7">
                  <w:pPr>
                    <w:spacing w:line="240" w:lineRule="auto"/>
                    <w:jc w:val="center"/>
                    <w:outlineLvl w:val="1"/>
                    <w:rPr>
                      <w:kern w:val="0"/>
                      <w:sz w:val="22"/>
                      <w:szCs w:val="22"/>
                      <w:vertAlign w:val="baseline"/>
                    </w:rPr>
                  </w:pPr>
                  <w:r>
                    <w:rPr>
                      <w:rFonts w:hint="eastAsia"/>
                      <w:kern w:val="0"/>
                      <w:sz w:val="22"/>
                      <w:szCs w:val="22"/>
                      <w:vertAlign w:val="baseline"/>
                      <w:lang w:val="en-US" w:eastAsia="zh-CN"/>
                    </w:rPr>
                    <w:t>2/45</w:t>
                  </w:r>
                </w:p>
              </w:tc>
            </w:tr>
            <w:tr w14:paraId="010E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2ABD12C2">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加油机</w:t>
                  </w:r>
                </w:p>
              </w:tc>
              <w:tc>
                <w:tcPr>
                  <w:tcW w:w="919" w:type="dxa"/>
                  <w:vAlign w:val="center"/>
                </w:tcPr>
                <w:p w14:paraId="584E7E07">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078" w:type="dxa"/>
                  <w:vAlign w:val="center"/>
                </w:tcPr>
                <w:p w14:paraId="617C686C">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369F7A44">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080418AB">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4633811A">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4FC6B381">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r>
            <w:tr w14:paraId="166B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402C8728">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油品卸车点</w:t>
                  </w:r>
                </w:p>
              </w:tc>
              <w:tc>
                <w:tcPr>
                  <w:tcW w:w="919" w:type="dxa"/>
                  <w:vAlign w:val="center"/>
                </w:tcPr>
                <w:p w14:paraId="5AF0C1F3">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078" w:type="dxa"/>
                  <w:vAlign w:val="center"/>
                </w:tcPr>
                <w:p w14:paraId="705C34A5">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71283E90">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3/45</w:t>
                  </w:r>
                </w:p>
              </w:tc>
              <w:tc>
                <w:tcPr>
                  <w:tcW w:w="1135" w:type="dxa"/>
                  <w:vAlign w:val="center"/>
                </w:tcPr>
                <w:p w14:paraId="3B3AFD8C">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2/45</w:t>
                  </w:r>
                </w:p>
              </w:tc>
              <w:tc>
                <w:tcPr>
                  <w:tcW w:w="1135" w:type="dxa"/>
                  <w:vAlign w:val="center"/>
                </w:tcPr>
                <w:p w14:paraId="37D3723B">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33B348DF">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r>
            <w:tr w14:paraId="3D2A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1E718D08">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站房</w:t>
                  </w:r>
                </w:p>
              </w:tc>
              <w:tc>
                <w:tcPr>
                  <w:tcW w:w="919" w:type="dxa"/>
                  <w:vAlign w:val="center"/>
                </w:tcPr>
                <w:p w14:paraId="17363648">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4/9</w:t>
                  </w:r>
                </w:p>
              </w:tc>
              <w:tc>
                <w:tcPr>
                  <w:tcW w:w="1078" w:type="dxa"/>
                  <w:vAlign w:val="center"/>
                </w:tcPr>
                <w:p w14:paraId="2362ED0C">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3/8</w:t>
                  </w:r>
                </w:p>
              </w:tc>
              <w:tc>
                <w:tcPr>
                  <w:tcW w:w="1135" w:type="dxa"/>
                  <w:vAlign w:val="center"/>
                </w:tcPr>
                <w:p w14:paraId="2D5B953E">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4/8</w:t>
                  </w:r>
                </w:p>
              </w:tc>
              <w:tc>
                <w:tcPr>
                  <w:tcW w:w="1135" w:type="dxa"/>
                  <w:vAlign w:val="center"/>
                </w:tcPr>
                <w:p w14:paraId="5A01307A">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3.5/8</w:t>
                  </w:r>
                </w:p>
              </w:tc>
              <w:tc>
                <w:tcPr>
                  <w:tcW w:w="1135" w:type="dxa"/>
                  <w:vAlign w:val="center"/>
                </w:tcPr>
                <w:p w14:paraId="3A7CB732">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5/12</w:t>
                  </w:r>
                </w:p>
              </w:tc>
              <w:tc>
                <w:tcPr>
                  <w:tcW w:w="1135" w:type="dxa"/>
                  <w:vAlign w:val="center"/>
                </w:tcPr>
                <w:p w14:paraId="0351DA0A">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5/10</w:t>
                  </w:r>
                </w:p>
              </w:tc>
            </w:tr>
            <w:tr w14:paraId="4798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1C9A6CFE">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发电机房</w:t>
                  </w:r>
                </w:p>
              </w:tc>
              <w:tc>
                <w:tcPr>
                  <w:tcW w:w="919" w:type="dxa"/>
                  <w:vAlign w:val="center"/>
                </w:tcPr>
                <w:p w14:paraId="692457EA">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8/15</w:t>
                  </w:r>
                </w:p>
              </w:tc>
              <w:tc>
                <w:tcPr>
                  <w:tcW w:w="1078" w:type="dxa"/>
                  <w:vAlign w:val="center"/>
                </w:tcPr>
                <w:p w14:paraId="6EA051DC">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6/18</w:t>
                  </w:r>
                </w:p>
              </w:tc>
              <w:tc>
                <w:tcPr>
                  <w:tcW w:w="1135" w:type="dxa"/>
                  <w:vAlign w:val="center"/>
                </w:tcPr>
                <w:p w14:paraId="34C5F606">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8/8</w:t>
                  </w:r>
                </w:p>
              </w:tc>
              <w:tc>
                <w:tcPr>
                  <w:tcW w:w="1135" w:type="dxa"/>
                  <w:vAlign w:val="center"/>
                </w:tcPr>
                <w:p w14:paraId="034EA922">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6/8</w:t>
                  </w:r>
                </w:p>
              </w:tc>
              <w:tc>
                <w:tcPr>
                  <w:tcW w:w="1135" w:type="dxa"/>
                  <w:vAlign w:val="center"/>
                </w:tcPr>
                <w:p w14:paraId="0A0C818C">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8/20</w:t>
                  </w:r>
                </w:p>
              </w:tc>
              <w:tc>
                <w:tcPr>
                  <w:tcW w:w="1135" w:type="dxa"/>
                  <w:vAlign w:val="center"/>
                </w:tcPr>
                <w:p w14:paraId="48982AB1">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8/38</w:t>
                  </w:r>
                </w:p>
              </w:tc>
            </w:tr>
            <w:tr w14:paraId="7D26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vAlign w:val="center"/>
                </w:tcPr>
                <w:p w14:paraId="3B001854">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站区围墙</w:t>
                  </w:r>
                </w:p>
              </w:tc>
              <w:tc>
                <w:tcPr>
                  <w:tcW w:w="919" w:type="dxa"/>
                  <w:vAlign w:val="center"/>
                </w:tcPr>
                <w:p w14:paraId="152E96BE">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2/21</w:t>
                  </w:r>
                </w:p>
              </w:tc>
              <w:tc>
                <w:tcPr>
                  <w:tcW w:w="1078" w:type="dxa"/>
                  <w:vAlign w:val="center"/>
                </w:tcPr>
                <w:p w14:paraId="358FFDFD">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2/21</w:t>
                  </w:r>
                </w:p>
              </w:tc>
              <w:tc>
                <w:tcPr>
                  <w:tcW w:w="1135" w:type="dxa"/>
                  <w:vAlign w:val="center"/>
                </w:tcPr>
                <w:p w14:paraId="0F72B4E9">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2/5</w:t>
                  </w:r>
                </w:p>
              </w:tc>
              <w:tc>
                <w:tcPr>
                  <w:tcW w:w="1135" w:type="dxa"/>
                  <w:vAlign w:val="center"/>
                </w:tcPr>
                <w:p w14:paraId="4657CE93">
                  <w:pPr>
                    <w:spacing w:line="240" w:lineRule="auto"/>
                    <w:jc w:val="center"/>
                    <w:outlineLvl w:val="1"/>
                    <w:rPr>
                      <w:rFonts w:hint="default" w:eastAsia="宋体"/>
                      <w:kern w:val="0"/>
                      <w:sz w:val="22"/>
                      <w:szCs w:val="22"/>
                      <w:vertAlign w:val="baseline"/>
                      <w:lang w:val="en-US" w:eastAsia="zh-CN"/>
                    </w:rPr>
                  </w:pPr>
                  <w:r>
                    <w:rPr>
                      <w:rFonts w:hint="eastAsia"/>
                      <w:kern w:val="0"/>
                      <w:sz w:val="22"/>
                      <w:szCs w:val="22"/>
                      <w:vertAlign w:val="baseline"/>
                      <w:lang w:val="en-US" w:eastAsia="zh-CN"/>
                    </w:rPr>
                    <w:t>2/5</w:t>
                  </w:r>
                </w:p>
              </w:tc>
              <w:tc>
                <w:tcPr>
                  <w:tcW w:w="1135" w:type="dxa"/>
                  <w:vAlign w:val="center"/>
                </w:tcPr>
                <w:p w14:paraId="0D08664D">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c>
                <w:tcPr>
                  <w:tcW w:w="1135" w:type="dxa"/>
                  <w:vAlign w:val="center"/>
                </w:tcPr>
                <w:p w14:paraId="24B7161C">
                  <w:pPr>
                    <w:spacing w:line="240" w:lineRule="auto"/>
                    <w:jc w:val="center"/>
                    <w:outlineLvl w:val="1"/>
                    <w:rPr>
                      <w:rFonts w:hint="eastAsia" w:eastAsia="宋体"/>
                      <w:kern w:val="0"/>
                      <w:sz w:val="22"/>
                      <w:szCs w:val="22"/>
                      <w:vertAlign w:val="baseline"/>
                      <w:lang w:val="en-US" w:eastAsia="zh-CN"/>
                    </w:rPr>
                  </w:pPr>
                  <w:r>
                    <w:rPr>
                      <w:rFonts w:hint="eastAsia"/>
                      <w:kern w:val="0"/>
                      <w:sz w:val="22"/>
                      <w:szCs w:val="22"/>
                      <w:vertAlign w:val="baseline"/>
                      <w:lang w:val="en-US" w:eastAsia="zh-CN"/>
                    </w:rPr>
                    <w:t>-</w:t>
                  </w:r>
                </w:p>
              </w:tc>
            </w:tr>
          </w:tbl>
          <w:p w14:paraId="08EBDA8E">
            <w:pPr>
              <w:spacing w:line="240" w:lineRule="auto"/>
              <w:jc w:val="center"/>
              <w:outlineLvl w:val="1"/>
              <w:rPr>
                <w:kern w:val="0"/>
                <w:sz w:val="22"/>
                <w:szCs w:val="22"/>
              </w:rPr>
            </w:pPr>
            <w:r>
              <w:rPr>
                <w:kern w:val="0"/>
                <w:sz w:val="22"/>
                <w:szCs w:val="22"/>
              </w:rPr>
              <w:t>表</w:t>
            </w:r>
            <w:r>
              <w:rPr>
                <w:rFonts w:hint="eastAsia"/>
                <w:kern w:val="0"/>
                <w:sz w:val="22"/>
                <w:szCs w:val="22"/>
              </w:rPr>
              <w:t>2.</w:t>
            </w:r>
            <w:r>
              <w:rPr>
                <w:rFonts w:hint="eastAsia"/>
                <w:kern w:val="0"/>
                <w:sz w:val="22"/>
                <w:szCs w:val="22"/>
                <w:lang w:val="en-US" w:eastAsia="zh-CN"/>
              </w:rPr>
              <w:t>12</w:t>
            </w:r>
            <w:r>
              <w:rPr>
                <w:kern w:val="0"/>
                <w:sz w:val="22"/>
                <w:szCs w:val="22"/>
              </w:rPr>
              <w:t>-</w:t>
            </w:r>
            <w:r>
              <w:rPr>
                <w:rFonts w:hint="eastAsia"/>
                <w:kern w:val="0"/>
                <w:sz w:val="22"/>
                <w:szCs w:val="22"/>
              </w:rPr>
              <w:t>2</w:t>
            </w:r>
            <w:r>
              <w:rPr>
                <w:rFonts w:hint="eastAsia"/>
                <w:kern w:val="0"/>
                <w:sz w:val="22"/>
                <w:szCs w:val="22"/>
                <w:lang w:val="en-US" w:eastAsia="zh-CN"/>
              </w:rPr>
              <w:t xml:space="preserve">  </w:t>
            </w:r>
            <w:r>
              <w:rPr>
                <w:rFonts w:hint="eastAsia"/>
                <w:kern w:val="0"/>
                <w:sz w:val="22"/>
                <w:szCs w:val="22"/>
              </w:rPr>
              <w:t>现有加油站</w:t>
            </w:r>
            <w:r>
              <w:rPr>
                <w:rFonts w:hint="eastAsia"/>
                <w:kern w:val="0"/>
                <w:sz w:val="22"/>
                <w:szCs w:val="22"/>
                <w:lang w:val="en-US" w:eastAsia="zh-CN"/>
              </w:rPr>
              <w:t>工艺设备与站外建（构）筑物的</w:t>
            </w:r>
            <w:r>
              <w:rPr>
                <w:rFonts w:hint="eastAsia"/>
                <w:kern w:val="0"/>
                <w:sz w:val="22"/>
                <w:szCs w:val="22"/>
              </w:rPr>
              <w:t>安全间距</w:t>
            </w:r>
            <w:r>
              <w:rPr>
                <w:rFonts w:hint="eastAsia"/>
                <w:kern w:val="0"/>
                <w:sz w:val="22"/>
                <w:szCs w:val="22"/>
                <w:lang w:val="en-US" w:eastAsia="zh-CN"/>
              </w:rPr>
              <w:t xml:space="preserve">  </w:t>
            </w:r>
            <w:r>
              <w:rPr>
                <w:kern w:val="0"/>
                <w:sz w:val="22"/>
                <w:szCs w:val="22"/>
              </w:rPr>
              <w:t>（m）</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266"/>
              <w:gridCol w:w="994"/>
              <w:gridCol w:w="994"/>
              <w:gridCol w:w="994"/>
              <w:gridCol w:w="1043"/>
              <w:gridCol w:w="994"/>
              <w:gridCol w:w="994"/>
            </w:tblGrid>
            <w:tr w14:paraId="4BAF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5" w:type="dxa"/>
                  <w:gridSpan w:val="8"/>
                  <w:vAlign w:val="center"/>
                </w:tcPr>
                <w:p w14:paraId="5B2C4064">
                  <w:pPr>
                    <w:jc w:val="center"/>
                    <w:outlineLvl w:val="1"/>
                    <w:rPr>
                      <w:kern w:val="0"/>
                      <w:sz w:val="22"/>
                      <w:szCs w:val="22"/>
                    </w:rPr>
                  </w:pPr>
                  <w:r>
                    <w:rPr>
                      <w:rFonts w:hint="eastAsia"/>
                      <w:kern w:val="0"/>
                      <w:sz w:val="22"/>
                      <w:szCs w:val="22"/>
                      <w:lang w:val="en-US" w:eastAsia="zh-CN"/>
                    </w:rPr>
                    <w:t>华福路</w:t>
                  </w:r>
                  <w:r>
                    <w:rPr>
                      <w:rFonts w:hint="eastAsia"/>
                      <w:kern w:val="0"/>
                      <w:sz w:val="22"/>
                      <w:szCs w:val="22"/>
                    </w:rPr>
                    <w:t>加油站</w:t>
                  </w:r>
                </w:p>
              </w:tc>
            </w:tr>
            <w:tr w14:paraId="3444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14:paraId="1AAF763B">
                  <w:pPr>
                    <w:jc w:val="center"/>
                    <w:outlineLvl w:val="1"/>
                    <w:rPr>
                      <w:kern w:val="0"/>
                      <w:sz w:val="22"/>
                      <w:szCs w:val="22"/>
                    </w:rPr>
                  </w:pPr>
                  <w:r>
                    <w:rPr>
                      <w:rFonts w:hint="eastAsia"/>
                      <w:kern w:val="0"/>
                      <w:sz w:val="22"/>
                      <w:szCs w:val="22"/>
                    </w:rPr>
                    <w:t>方位</w:t>
                  </w:r>
                </w:p>
              </w:tc>
              <w:tc>
                <w:tcPr>
                  <w:tcW w:w="1263" w:type="dxa"/>
                  <w:vMerge w:val="restart"/>
                  <w:vAlign w:val="center"/>
                </w:tcPr>
                <w:p w14:paraId="5857713A">
                  <w:pPr>
                    <w:jc w:val="center"/>
                    <w:outlineLvl w:val="1"/>
                    <w:rPr>
                      <w:kern w:val="0"/>
                      <w:sz w:val="22"/>
                      <w:szCs w:val="22"/>
                    </w:rPr>
                  </w:pPr>
                  <w:r>
                    <w:rPr>
                      <w:rFonts w:hint="eastAsia"/>
                      <w:kern w:val="0"/>
                      <w:sz w:val="22"/>
                      <w:szCs w:val="22"/>
                    </w:rPr>
                    <w:t>项目</w:t>
                  </w:r>
                </w:p>
              </w:tc>
              <w:tc>
                <w:tcPr>
                  <w:tcW w:w="1984" w:type="dxa"/>
                  <w:gridSpan w:val="2"/>
                  <w:vAlign w:val="center"/>
                </w:tcPr>
                <w:p w14:paraId="2D9F95F6">
                  <w:pPr>
                    <w:jc w:val="center"/>
                    <w:outlineLvl w:val="1"/>
                    <w:rPr>
                      <w:kern w:val="0"/>
                      <w:sz w:val="22"/>
                      <w:szCs w:val="22"/>
                    </w:rPr>
                  </w:pPr>
                  <w:r>
                    <w:rPr>
                      <w:rFonts w:hint="eastAsia"/>
                      <w:kern w:val="0"/>
                      <w:sz w:val="22"/>
                      <w:szCs w:val="22"/>
                    </w:rPr>
                    <w:t>埋地油罐</w:t>
                  </w:r>
                </w:p>
              </w:tc>
              <w:tc>
                <w:tcPr>
                  <w:tcW w:w="1984" w:type="dxa"/>
                  <w:gridSpan w:val="2"/>
                  <w:vAlign w:val="center"/>
                </w:tcPr>
                <w:p w14:paraId="5E48DAAD">
                  <w:pPr>
                    <w:jc w:val="center"/>
                    <w:outlineLvl w:val="1"/>
                    <w:rPr>
                      <w:kern w:val="0"/>
                      <w:sz w:val="22"/>
                      <w:szCs w:val="22"/>
                    </w:rPr>
                  </w:pPr>
                  <w:r>
                    <w:rPr>
                      <w:rFonts w:hint="eastAsia"/>
                      <w:kern w:val="0"/>
                      <w:sz w:val="22"/>
                      <w:szCs w:val="22"/>
                    </w:rPr>
                    <w:t>通气管管口</w:t>
                  </w:r>
                </w:p>
              </w:tc>
              <w:tc>
                <w:tcPr>
                  <w:tcW w:w="1984" w:type="dxa"/>
                  <w:gridSpan w:val="2"/>
                  <w:vAlign w:val="center"/>
                </w:tcPr>
                <w:p w14:paraId="2BFA16A9">
                  <w:pPr>
                    <w:jc w:val="center"/>
                    <w:outlineLvl w:val="1"/>
                    <w:rPr>
                      <w:kern w:val="0"/>
                      <w:sz w:val="22"/>
                      <w:szCs w:val="22"/>
                    </w:rPr>
                  </w:pPr>
                  <w:r>
                    <w:rPr>
                      <w:rFonts w:hint="eastAsia"/>
                      <w:kern w:val="0"/>
                      <w:sz w:val="22"/>
                      <w:szCs w:val="22"/>
                    </w:rPr>
                    <w:t>加油机</w:t>
                  </w:r>
                </w:p>
              </w:tc>
            </w:tr>
            <w:tr w14:paraId="6940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14:paraId="33083354">
                  <w:pPr>
                    <w:jc w:val="center"/>
                    <w:outlineLvl w:val="1"/>
                    <w:rPr>
                      <w:kern w:val="0"/>
                      <w:sz w:val="22"/>
                      <w:szCs w:val="22"/>
                    </w:rPr>
                  </w:pPr>
                </w:p>
              </w:tc>
              <w:tc>
                <w:tcPr>
                  <w:tcW w:w="1263" w:type="dxa"/>
                  <w:vMerge w:val="continue"/>
                  <w:vAlign w:val="center"/>
                </w:tcPr>
                <w:p w14:paraId="5CA5E825">
                  <w:pPr>
                    <w:jc w:val="center"/>
                    <w:outlineLvl w:val="1"/>
                    <w:rPr>
                      <w:kern w:val="0"/>
                      <w:sz w:val="22"/>
                      <w:szCs w:val="22"/>
                    </w:rPr>
                  </w:pPr>
                </w:p>
              </w:tc>
              <w:tc>
                <w:tcPr>
                  <w:tcW w:w="992" w:type="dxa"/>
                  <w:vAlign w:val="center"/>
                </w:tcPr>
                <w:p w14:paraId="63C7A9FB">
                  <w:pPr>
                    <w:jc w:val="center"/>
                    <w:outlineLvl w:val="1"/>
                    <w:rPr>
                      <w:kern w:val="0"/>
                      <w:sz w:val="22"/>
                      <w:szCs w:val="22"/>
                    </w:rPr>
                  </w:pPr>
                  <w:r>
                    <w:rPr>
                      <w:rFonts w:hint="eastAsia"/>
                      <w:kern w:val="0"/>
                      <w:sz w:val="22"/>
                      <w:szCs w:val="22"/>
                    </w:rPr>
                    <w:t>规范距离</w:t>
                  </w:r>
                </w:p>
              </w:tc>
              <w:tc>
                <w:tcPr>
                  <w:tcW w:w="992" w:type="dxa"/>
                  <w:vAlign w:val="center"/>
                </w:tcPr>
                <w:p w14:paraId="7DD0FA84">
                  <w:pPr>
                    <w:jc w:val="center"/>
                    <w:outlineLvl w:val="1"/>
                    <w:rPr>
                      <w:kern w:val="0"/>
                      <w:sz w:val="22"/>
                      <w:szCs w:val="22"/>
                    </w:rPr>
                  </w:pPr>
                  <w:r>
                    <w:rPr>
                      <w:rFonts w:hint="eastAsia"/>
                      <w:kern w:val="0"/>
                      <w:sz w:val="22"/>
                      <w:szCs w:val="22"/>
                    </w:rPr>
                    <w:t>实际距离</w:t>
                  </w:r>
                </w:p>
              </w:tc>
              <w:tc>
                <w:tcPr>
                  <w:tcW w:w="992" w:type="dxa"/>
                  <w:vAlign w:val="center"/>
                </w:tcPr>
                <w:p w14:paraId="55278F37">
                  <w:pPr>
                    <w:jc w:val="center"/>
                    <w:outlineLvl w:val="1"/>
                    <w:rPr>
                      <w:kern w:val="0"/>
                      <w:sz w:val="22"/>
                      <w:szCs w:val="22"/>
                    </w:rPr>
                  </w:pPr>
                  <w:r>
                    <w:rPr>
                      <w:rFonts w:hint="eastAsia"/>
                      <w:kern w:val="0"/>
                      <w:sz w:val="22"/>
                      <w:szCs w:val="22"/>
                    </w:rPr>
                    <w:t>规范距离</w:t>
                  </w:r>
                </w:p>
              </w:tc>
              <w:tc>
                <w:tcPr>
                  <w:tcW w:w="992" w:type="dxa"/>
                  <w:vAlign w:val="center"/>
                </w:tcPr>
                <w:p w14:paraId="69AE1528">
                  <w:pPr>
                    <w:jc w:val="center"/>
                    <w:outlineLvl w:val="1"/>
                    <w:rPr>
                      <w:kern w:val="0"/>
                      <w:sz w:val="22"/>
                      <w:szCs w:val="22"/>
                    </w:rPr>
                  </w:pPr>
                  <w:r>
                    <w:rPr>
                      <w:rFonts w:hint="eastAsia"/>
                      <w:kern w:val="0"/>
                      <w:sz w:val="22"/>
                      <w:szCs w:val="22"/>
                    </w:rPr>
                    <w:t>实际距离</w:t>
                  </w:r>
                </w:p>
              </w:tc>
              <w:tc>
                <w:tcPr>
                  <w:tcW w:w="992" w:type="dxa"/>
                  <w:vAlign w:val="center"/>
                </w:tcPr>
                <w:p w14:paraId="566E9A1D">
                  <w:pPr>
                    <w:jc w:val="center"/>
                    <w:outlineLvl w:val="1"/>
                    <w:rPr>
                      <w:kern w:val="0"/>
                      <w:sz w:val="22"/>
                      <w:szCs w:val="22"/>
                    </w:rPr>
                  </w:pPr>
                  <w:r>
                    <w:rPr>
                      <w:rFonts w:hint="eastAsia"/>
                      <w:kern w:val="0"/>
                      <w:sz w:val="22"/>
                      <w:szCs w:val="22"/>
                    </w:rPr>
                    <w:t>规范距离</w:t>
                  </w:r>
                </w:p>
              </w:tc>
              <w:tc>
                <w:tcPr>
                  <w:tcW w:w="992" w:type="dxa"/>
                  <w:vAlign w:val="center"/>
                </w:tcPr>
                <w:p w14:paraId="6C1B2AAA">
                  <w:pPr>
                    <w:jc w:val="center"/>
                    <w:outlineLvl w:val="1"/>
                    <w:rPr>
                      <w:kern w:val="0"/>
                      <w:sz w:val="22"/>
                      <w:szCs w:val="22"/>
                    </w:rPr>
                  </w:pPr>
                  <w:r>
                    <w:rPr>
                      <w:rFonts w:hint="eastAsia"/>
                      <w:kern w:val="0"/>
                      <w:sz w:val="22"/>
                      <w:szCs w:val="22"/>
                    </w:rPr>
                    <w:t>实际距离</w:t>
                  </w:r>
                </w:p>
              </w:tc>
            </w:tr>
            <w:tr w14:paraId="3408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0" w:type="dxa"/>
                  <w:vAlign w:val="center"/>
                </w:tcPr>
                <w:p w14:paraId="73B9BB36">
                  <w:pPr>
                    <w:jc w:val="center"/>
                    <w:outlineLvl w:val="1"/>
                    <w:rPr>
                      <w:kern w:val="0"/>
                      <w:sz w:val="22"/>
                      <w:szCs w:val="22"/>
                    </w:rPr>
                  </w:pPr>
                  <w:r>
                    <w:rPr>
                      <w:rFonts w:hint="eastAsia"/>
                      <w:kern w:val="0"/>
                      <w:sz w:val="22"/>
                      <w:szCs w:val="22"/>
                    </w:rPr>
                    <w:t>北面</w:t>
                  </w:r>
                </w:p>
              </w:tc>
              <w:tc>
                <w:tcPr>
                  <w:tcW w:w="1263" w:type="dxa"/>
                  <w:vAlign w:val="center"/>
                </w:tcPr>
                <w:p w14:paraId="37500240">
                  <w:pPr>
                    <w:jc w:val="center"/>
                    <w:outlineLvl w:val="1"/>
                    <w:rPr>
                      <w:rFonts w:hint="default" w:eastAsia="宋体"/>
                      <w:kern w:val="0"/>
                      <w:sz w:val="22"/>
                      <w:szCs w:val="22"/>
                      <w:lang w:val="en-US" w:eastAsia="zh-CN"/>
                    </w:rPr>
                  </w:pPr>
                  <w:r>
                    <w:rPr>
                      <w:rFonts w:hint="eastAsia"/>
                      <w:kern w:val="0"/>
                      <w:sz w:val="22"/>
                      <w:szCs w:val="22"/>
                      <w:lang w:val="en-US" w:eastAsia="zh-CN"/>
                    </w:rPr>
                    <w:t>商业配送中心</w:t>
                  </w:r>
                </w:p>
              </w:tc>
              <w:tc>
                <w:tcPr>
                  <w:tcW w:w="992" w:type="dxa"/>
                  <w:vAlign w:val="center"/>
                </w:tcPr>
                <w:p w14:paraId="13732001">
                  <w:pPr>
                    <w:jc w:val="center"/>
                    <w:outlineLvl w:val="1"/>
                    <w:rPr>
                      <w:rFonts w:hint="eastAsia" w:eastAsia="宋体"/>
                      <w:kern w:val="0"/>
                      <w:sz w:val="22"/>
                      <w:szCs w:val="22"/>
                      <w:lang w:val="en-US" w:eastAsia="zh-CN"/>
                    </w:rPr>
                  </w:pPr>
                  <w:r>
                    <w:rPr>
                      <w:rFonts w:hint="eastAsia"/>
                      <w:kern w:val="0"/>
                      <w:sz w:val="22"/>
                      <w:szCs w:val="22"/>
                      <w:lang w:val="en-US" w:eastAsia="zh-CN"/>
                    </w:rPr>
                    <w:t>7（6）</w:t>
                  </w:r>
                </w:p>
              </w:tc>
              <w:tc>
                <w:tcPr>
                  <w:tcW w:w="992" w:type="dxa"/>
                  <w:vAlign w:val="center"/>
                </w:tcPr>
                <w:p w14:paraId="429F762B">
                  <w:pPr>
                    <w:jc w:val="center"/>
                    <w:outlineLvl w:val="1"/>
                    <w:rPr>
                      <w:rFonts w:hint="default" w:eastAsia="宋体"/>
                      <w:kern w:val="0"/>
                      <w:sz w:val="22"/>
                      <w:szCs w:val="22"/>
                      <w:lang w:val="en-US" w:eastAsia="zh-CN"/>
                    </w:rPr>
                  </w:pPr>
                  <w:r>
                    <w:rPr>
                      <w:rFonts w:hint="eastAsia"/>
                      <w:kern w:val="0"/>
                      <w:sz w:val="22"/>
                      <w:szCs w:val="22"/>
                      <w:lang w:val="en-US" w:eastAsia="zh-CN"/>
                    </w:rPr>
                    <w:t>49（45）</w:t>
                  </w:r>
                </w:p>
              </w:tc>
              <w:tc>
                <w:tcPr>
                  <w:tcW w:w="992" w:type="dxa"/>
                  <w:vAlign w:val="center"/>
                </w:tcPr>
                <w:p w14:paraId="7A85251C">
                  <w:pPr>
                    <w:jc w:val="center"/>
                    <w:outlineLvl w:val="1"/>
                    <w:rPr>
                      <w:kern w:val="0"/>
                      <w:sz w:val="22"/>
                      <w:szCs w:val="22"/>
                    </w:rPr>
                  </w:pPr>
                  <w:r>
                    <w:rPr>
                      <w:rFonts w:hint="eastAsia"/>
                      <w:kern w:val="0"/>
                      <w:sz w:val="22"/>
                      <w:szCs w:val="22"/>
                      <w:lang w:val="en-US" w:eastAsia="zh-CN"/>
                    </w:rPr>
                    <w:t>7（6）</w:t>
                  </w:r>
                </w:p>
              </w:tc>
              <w:tc>
                <w:tcPr>
                  <w:tcW w:w="992" w:type="dxa"/>
                  <w:vAlign w:val="center"/>
                </w:tcPr>
                <w:p w14:paraId="60EDAD0A">
                  <w:pPr>
                    <w:jc w:val="center"/>
                    <w:outlineLvl w:val="1"/>
                    <w:rPr>
                      <w:kern w:val="0"/>
                      <w:sz w:val="22"/>
                      <w:szCs w:val="22"/>
                    </w:rPr>
                  </w:pPr>
                  <w:r>
                    <w:rPr>
                      <w:rFonts w:hint="eastAsia"/>
                      <w:kern w:val="0"/>
                      <w:sz w:val="22"/>
                      <w:szCs w:val="22"/>
                      <w:lang w:val="en-US" w:eastAsia="zh-CN"/>
                    </w:rPr>
                    <w:t>81（81）</w:t>
                  </w:r>
                </w:p>
              </w:tc>
              <w:tc>
                <w:tcPr>
                  <w:tcW w:w="992" w:type="dxa"/>
                  <w:vAlign w:val="center"/>
                </w:tcPr>
                <w:p w14:paraId="19143ADE">
                  <w:pPr>
                    <w:jc w:val="center"/>
                    <w:outlineLvl w:val="1"/>
                    <w:rPr>
                      <w:kern w:val="0"/>
                      <w:sz w:val="22"/>
                      <w:szCs w:val="22"/>
                    </w:rPr>
                  </w:pPr>
                  <w:r>
                    <w:rPr>
                      <w:rFonts w:hint="eastAsia"/>
                      <w:kern w:val="0"/>
                      <w:sz w:val="22"/>
                      <w:szCs w:val="22"/>
                      <w:lang w:val="en-US" w:eastAsia="zh-CN"/>
                    </w:rPr>
                    <w:t>7（6）</w:t>
                  </w:r>
                </w:p>
              </w:tc>
              <w:tc>
                <w:tcPr>
                  <w:tcW w:w="992" w:type="dxa"/>
                  <w:vAlign w:val="center"/>
                </w:tcPr>
                <w:p w14:paraId="38230F25">
                  <w:pPr>
                    <w:jc w:val="center"/>
                    <w:outlineLvl w:val="1"/>
                    <w:rPr>
                      <w:kern w:val="0"/>
                      <w:sz w:val="22"/>
                      <w:szCs w:val="22"/>
                    </w:rPr>
                  </w:pPr>
                  <w:r>
                    <w:rPr>
                      <w:rFonts w:hint="eastAsia"/>
                      <w:kern w:val="0"/>
                      <w:sz w:val="22"/>
                      <w:szCs w:val="22"/>
                      <w:lang w:val="en-US" w:eastAsia="zh-CN"/>
                    </w:rPr>
                    <w:t>46（46）</w:t>
                  </w:r>
                </w:p>
              </w:tc>
            </w:tr>
            <w:tr w14:paraId="1A45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1DE6B23C">
                  <w:pPr>
                    <w:jc w:val="center"/>
                    <w:outlineLvl w:val="1"/>
                    <w:rPr>
                      <w:kern w:val="0"/>
                      <w:sz w:val="22"/>
                      <w:szCs w:val="22"/>
                    </w:rPr>
                  </w:pPr>
                  <w:r>
                    <w:rPr>
                      <w:rFonts w:hint="eastAsia"/>
                      <w:kern w:val="0"/>
                      <w:sz w:val="22"/>
                      <w:szCs w:val="22"/>
                    </w:rPr>
                    <w:t>南面</w:t>
                  </w:r>
                </w:p>
              </w:tc>
              <w:tc>
                <w:tcPr>
                  <w:tcW w:w="1263" w:type="dxa"/>
                  <w:vAlign w:val="center"/>
                </w:tcPr>
                <w:p w14:paraId="365070C7">
                  <w:pPr>
                    <w:jc w:val="center"/>
                    <w:outlineLvl w:val="1"/>
                    <w:rPr>
                      <w:rFonts w:hint="eastAsia" w:eastAsia="宋体"/>
                      <w:kern w:val="0"/>
                      <w:sz w:val="22"/>
                      <w:szCs w:val="22"/>
                      <w:lang w:val="en-US" w:eastAsia="zh-CN"/>
                    </w:rPr>
                  </w:pPr>
                  <w:r>
                    <w:rPr>
                      <w:rFonts w:hint="eastAsia"/>
                      <w:kern w:val="0"/>
                      <w:sz w:val="22"/>
                      <w:szCs w:val="22"/>
                      <w:lang w:val="en-US" w:eastAsia="zh-CN"/>
                    </w:rPr>
                    <w:t>支路</w:t>
                  </w:r>
                </w:p>
              </w:tc>
              <w:tc>
                <w:tcPr>
                  <w:tcW w:w="992" w:type="dxa"/>
                  <w:vAlign w:val="center"/>
                </w:tcPr>
                <w:p w14:paraId="470358FC">
                  <w:pPr>
                    <w:jc w:val="center"/>
                    <w:outlineLvl w:val="1"/>
                    <w:rPr>
                      <w:kern w:val="0"/>
                      <w:sz w:val="22"/>
                      <w:szCs w:val="22"/>
                    </w:rPr>
                  </w:pPr>
                  <w:r>
                    <w:rPr>
                      <w:rFonts w:hint="eastAsia"/>
                      <w:kern w:val="0"/>
                      <w:sz w:val="22"/>
                      <w:szCs w:val="22"/>
                      <w:lang w:val="en-US" w:eastAsia="zh-CN"/>
                    </w:rPr>
                    <w:t>5（3）</w:t>
                  </w:r>
                </w:p>
              </w:tc>
              <w:tc>
                <w:tcPr>
                  <w:tcW w:w="992" w:type="dxa"/>
                  <w:vAlign w:val="center"/>
                </w:tcPr>
                <w:p w14:paraId="66799B74">
                  <w:pPr>
                    <w:jc w:val="center"/>
                    <w:outlineLvl w:val="1"/>
                    <w:rPr>
                      <w:kern w:val="0"/>
                      <w:sz w:val="22"/>
                      <w:szCs w:val="22"/>
                    </w:rPr>
                  </w:pPr>
                  <w:r>
                    <w:rPr>
                      <w:rFonts w:hint="eastAsia"/>
                      <w:kern w:val="0"/>
                      <w:sz w:val="22"/>
                      <w:szCs w:val="22"/>
                      <w:lang w:val="en-US" w:eastAsia="zh-CN"/>
                    </w:rPr>
                    <w:t>30（36）</w:t>
                  </w:r>
                </w:p>
              </w:tc>
              <w:tc>
                <w:tcPr>
                  <w:tcW w:w="992" w:type="dxa"/>
                  <w:vAlign w:val="center"/>
                </w:tcPr>
                <w:p w14:paraId="624D9E29">
                  <w:pPr>
                    <w:jc w:val="center"/>
                    <w:outlineLvl w:val="1"/>
                    <w:rPr>
                      <w:kern w:val="0"/>
                      <w:sz w:val="22"/>
                      <w:szCs w:val="22"/>
                    </w:rPr>
                  </w:pPr>
                  <w:r>
                    <w:rPr>
                      <w:rFonts w:hint="eastAsia"/>
                      <w:kern w:val="0"/>
                      <w:sz w:val="22"/>
                      <w:szCs w:val="22"/>
                      <w:lang w:val="en-US" w:eastAsia="zh-CN"/>
                    </w:rPr>
                    <w:t>5（3）</w:t>
                  </w:r>
                </w:p>
              </w:tc>
              <w:tc>
                <w:tcPr>
                  <w:tcW w:w="992" w:type="dxa"/>
                  <w:vAlign w:val="center"/>
                </w:tcPr>
                <w:p w14:paraId="56B96FBF">
                  <w:pPr>
                    <w:jc w:val="center"/>
                    <w:outlineLvl w:val="1"/>
                    <w:rPr>
                      <w:kern w:val="0"/>
                      <w:sz w:val="22"/>
                      <w:szCs w:val="22"/>
                    </w:rPr>
                  </w:pPr>
                  <w:r>
                    <w:rPr>
                      <w:rFonts w:hint="eastAsia"/>
                      <w:kern w:val="0"/>
                      <w:sz w:val="22"/>
                      <w:szCs w:val="22"/>
                      <w:lang w:val="en-US" w:eastAsia="zh-CN"/>
                    </w:rPr>
                    <w:t>25（25）</w:t>
                  </w:r>
                </w:p>
              </w:tc>
              <w:tc>
                <w:tcPr>
                  <w:tcW w:w="992" w:type="dxa"/>
                  <w:vAlign w:val="center"/>
                </w:tcPr>
                <w:p w14:paraId="2300DEF6">
                  <w:pPr>
                    <w:jc w:val="center"/>
                    <w:outlineLvl w:val="1"/>
                    <w:rPr>
                      <w:kern w:val="0"/>
                      <w:sz w:val="22"/>
                      <w:szCs w:val="22"/>
                    </w:rPr>
                  </w:pPr>
                  <w:r>
                    <w:rPr>
                      <w:rFonts w:hint="eastAsia"/>
                      <w:kern w:val="0"/>
                      <w:sz w:val="22"/>
                      <w:szCs w:val="22"/>
                      <w:lang w:val="en-US" w:eastAsia="zh-CN"/>
                    </w:rPr>
                    <w:t>5（3）</w:t>
                  </w:r>
                </w:p>
              </w:tc>
              <w:tc>
                <w:tcPr>
                  <w:tcW w:w="992" w:type="dxa"/>
                  <w:vAlign w:val="center"/>
                </w:tcPr>
                <w:p w14:paraId="73763E68">
                  <w:pPr>
                    <w:jc w:val="center"/>
                    <w:outlineLvl w:val="1"/>
                    <w:rPr>
                      <w:kern w:val="0"/>
                      <w:sz w:val="22"/>
                      <w:szCs w:val="22"/>
                    </w:rPr>
                  </w:pPr>
                  <w:r>
                    <w:rPr>
                      <w:rFonts w:hint="eastAsia"/>
                      <w:kern w:val="0"/>
                      <w:sz w:val="22"/>
                      <w:szCs w:val="22"/>
                      <w:lang w:val="en-US" w:eastAsia="zh-CN"/>
                    </w:rPr>
                    <w:t>31（31）</w:t>
                  </w:r>
                </w:p>
              </w:tc>
            </w:tr>
            <w:tr w14:paraId="115D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79A1A670">
                  <w:pPr>
                    <w:jc w:val="center"/>
                    <w:outlineLvl w:val="1"/>
                    <w:rPr>
                      <w:rFonts w:hint="eastAsia" w:eastAsia="宋体"/>
                      <w:kern w:val="0"/>
                      <w:sz w:val="22"/>
                      <w:szCs w:val="22"/>
                      <w:lang w:val="en-US" w:eastAsia="zh-CN"/>
                    </w:rPr>
                  </w:pPr>
                  <w:r>
                    <w:rPr>
                      <w:rFonts w:hint="eastAsia"/>
                      <w:kern w:val="0"/>
                      <w:sz w:val="22"/>
                      <w:szCs w:val="22"/>
                      <w:lang w:val="en-US" w:eastAsia="zh-CN"/>
                    </w:rPr>
                    <w:t>西面</w:t>
                  </w:r>
                </w:p>
              </w:tc>
              <w:tc>
                <w:tcPr>
                  <w:tcW w:w="1263" w:type="dxa"/>
                  <w:vAlign w:val="center"/>
                </w:tcPr>
                <w:p w14:paraId="5AF337FE">
                  <w:pPr>
                    <w:jc w:val="center"/>
                    <w:outlineLvl w:val="1"/>
                    <w:rPr>
                      <w:rFonts w:hint="eastAsia" w:eastAsia="宋体"/>
                      <w:kern w:val="0"/>
                      <w:sz w:val="22"/>
                      <w:szCs w:val="22"/>
                      <w:lang w:val="en-US" w:eastAsia="zh-CN"/>
                    </w:rPr>
                  </w:pPr>
                  <w:r>
                    <w:rPr>
                      <w:rFonts w:hint="eastAsia"/>
                      <w:kern w:val="0"/>
                      <w:sz w:val="22"/>
                      <w:szCs w:val="22"/>
                      <w:lang w:val="en-US" w:eastAsia="zh-CN"/>
                    </w:rPr>
                    <w:t>物流仓库</w:t>
                  </w:r>
                </w:p>
              </w:tc>
              <w:tc>
                <w:tcPr>
                  <w:tcW w:w="992" w:type="dxa"/>
                  <w:vAlign w:val="center"/>
                </w:tcPr>
                <w:p w14:paraId="7B9BF086">
                  <w:pPr>
                    <w:jc w:val="center"/>
                    <w:outlineLvl w:val="1"/>
                    <w:rPr>
                      <w:rFonts w:hint="eastAsia"/>
                      <w:kern w:val="0"/>
                      <w:sz w:val="22"/>
                      <w:szCs w:val="22"/>
                    </w:rPr>
                  </w:pPr>
                  <w:r>
                    <w:rPr>
                      <w:rFonts w:hint="eastAsia"/>
                      <w:kern w:val="0"/>
                      <w:sz w:val="22"/>
                      <w:szCs w:val="22"/>
                      <w:lang w:val="en-US" w:eastAsia="zh-CN"/>
                    </w:rPr>
                    <w:t>10.5（9）</w:t>
                  </w:r>
                </w:p>
              </w:tc>
              <w:tc>
                <w:tcPr>
                  <w:tcW w:w="992" w:type="dxa"/>
                  <w:vAlign w:val="center"/>
                </w:tcPr>
                <w:p w14:paraId="4CF2995F">
                  <w:pPr>
                    <w:jc w:val="center"/>
                    <w:outlineLvl w:val="1"/>
                    <w:rPr>
                      <w:rFonts w:hint="eastAsia"/>
                      <w:kern w:val="0"/>
                      <w:sz w:val="22"/>
                      <w:szCs w:val="22"/>
                    </w:rPr>
                  </w:pPr>
                  <w:r>
                    <w:rPr>
                      <w:rFonts w:hint="eastAsia"/>
                      <w:kern w:val="0"/>
                      <w:sz w:val="22"/>
                      <w:szCs w:val="22"/>
                      <w:lang w:val="en-US" w:eastAsia="zh-CN"/>
                    </w:rPr>
                    <w:t>30（30）</w:t>
                  </w:r>
                </w:p>
              </w:tc>
              <w:tc>
                <w:tcPr>
                  <w:tcW w:w="992" w:type="dxa"/>
                  <w:vAlign w:val="center"/>
                </w:tcPr>
                <w:p w14:paraId="6846F663">
                  <w:pPr>
                    <w:jc w:val="center"/>
                    <w:outlineLvl w:val="1"/>
                    <w:rPr>
                      <w:rFonts w:hint="eastAsia"/>
                      <w:kern w:val="0"/>
                      <w:sz w:val="22"/>
                      <w:szCs w:val="22"/>
                    </w:rPr>
                  </w:pPr>
                  <w:r>
                    <w:rPr>
                      <w:rFonts w:hint="eastAsia"/>
                      <w:kern w:val="0"/>
                      <w:sz w:val="22"/>
                      <w:szCs w:val="22"/>
                      <w:lang w:val="en-US" w:eastAsia="zh-CN"/>
                    </w:rPr>
                    <w:t>10.5（9）</w:t>
                  </w:r>
                </w:p>
              </w:tc>
              <w:tc>
                <w:tcPr>
                  <w:tcW w:w="992" w:type="dxa"/>
                  <w:vAlign w:val="center"/>
                </w:tcPr>
                <w:p w14:paraId="065194B7">
                  <w:pPr>
                    <w:jc w:val="center"/>
                    <w:outlineLvl w:val="1"/>
                    <w:rPr>
                      <w:rFonts w:hint="eastAsia"/>
                      <w:kern w:val="0"/>
                      <w:sz w:val="22"/>
                      <w:szCs w:val="22"/>
                    </w:rPr>
                  </w:pPr>
                  <w:r>
                    <w:rPr>
                      <w:rFonts w:hint="eastAsia"/>
                      <w:kern w:val="0"/>
                      <w:sz w:val="22"/>
                      <w:szCs w:val="22"/>
                      <w:lang w:val="en-US" w:eastAsia="zh-CN"/>
                    </w:rPr>
                    <w:t>10.6（10.6）</w:t>
                  </w:r>
                </w:p>
              </w:tc>
              <w:tc>
                <w:tcPr>
                  <w:tcW w:w="992" w:type="dxa"/>
                  <w:vAlign w:val="center"/>
                </w:tcPr>
                <w:p w14:paraId="0E4573BC">
                  <w:pPr>
                    <w:jc w:val="center"/>
                    <w:outlineLvl w:val="1"/>
                    <w:rPr>
                      <w:rFonts w:hint="eastAsia"/>
                      <w:kern w:val="0"/>
                      <w:sz w:val="22"/>
                      <w:szCs w:val="22"/>
                    </w:rPr>
                  </w:pPr>
                  <w:r>
                    <w:rPr>
                      <w:rFonts w:hint="eastAsia"/>
                      <w:kern w:val="0"/>
                      <w:sz w:val="22"/>
                      <w:szCs w:val="22"/>
                      <w:lang w:val="en-US" w:eastAsia="zh-CN"/>
                    </w:rPr>
                    <w:t>10.5（9）</w:t>
                  </w:r>
                </w:p>
              </w:tc>
              <w:tc>
                <w:tcPr>
                  <w:tcW w:w="992" w:type="dxa"/>
                  <w:vAlign w:val="center"/>
                </w:tcPr>
                <w:p w14:paraId="3BA122D4">
                  <w:pPr>
                    <w:jc w:val="center"/>
                    <w:outlineLvl w:val="1"/>
                    <w:rPr>
                      <w:rFonts w:hint="eastAsia"/>
                      <w:kern w:val="0"/>
                      <w:sz w:val="22"/>
                      <w:szCs w:val="22"/>
                    </w:rPr>
                  </w:pPr>
                  <w:r>
                    <w:rPr>
                      <w:rFonts w:hint="eastAsia"/>
                      <w:kern w:val="0"/>
                      <w:sz w:val="22"/>
                      <w:szCs w:val="22"/>
                      <w:lang w:val="en-US" w:eastAsia="zh-CN"/>
                    </w:rPr>
                    <w:t>36（36）</w:t>
                  </w:r>
                </w:p>
              </w:tc>
            </w:tr>
            <w:tr w14:paraId="3CE5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14:paraId="3FCDD186">
                  <w:pPr>
                    <w:jc w:val="center"/>
                    <w:outlineLvl w:val="1"/>
                    <w:rPr>
                      <w:kern w:val="0"/>
                      <w:sz w:val="22"/>
                      <w:szCs w:val="22"/>
                    </w:rPr>
                  </w:pPr>
                  <w:r>
                    <w:rPr>
                      <w:rFonts w:hint="eastAsia"/>
                      <w:kern w:val="0"/>
                      <w:sz w:val="22"/>
                      <w:szCs w:val="22"/>
                    </w:rPr>
                    <w:t>东面</w:t>
                  </w:r>
                </w:p>
              </w:tc>
              <w:tc>
                <w:tcPr>
                  <w:tcW w:w="1263" w:type="dxa"/>
                  <w:vAlign w:val="center"/>
                </w:tcPr>
                <w:p w14:paraId="55EBE34F">
                  <w:pPr>
                    <w:jc w:val="center"/>
                    <w:outlineLvl w:val="1"/>
                    <w:rPr>
                      <w:rFonts w:hint="eastAsia" w:eastAsia="宋体"/>
                      <w:kern w:val="0"/>
                      <w:sz w:val="22"/>
                      <w:szCs w:val="22"/>
                      <w:lang w:val="en-US" w:eastAsia="zh-CN"/>
                    </w:rPr>
                  </w:pPr>
                  <w:r>
                    <w:rPr>
                      <w:rFonts w:hint="eastAsia"/>
                      <w:kern w:val="0"/>
                      <w:sz w:val="22"/>
                      <w:szCs w:val="22"/>
                      <w:lang w:val="en-US" w:eastAsia="zh-CN"/>
                    </w:rPr>
                    <w:t>华福路</w:t>
                  </w:r>
                </w:p>
              </w:tc>
              <w:tc>
                <w:tcPr>
                  <w:tcW w:w="992" w:type="dxa"/>
                  <w:vAlign w:val="center"/>
                </w:tcPr>
                <w:p w14:paraId="557C418A">
                  <w:pPr>
                    <w:jc w:val="center"/>
                    <w:outlineLvl w:val="1"/>
                    <w:rPr>
                      <w:kern w:val="0"/>
                      <w:sz w:val="22"/>
                      <w:szCs w:val="22"/>
                    </w:rPr>
                  </w:pPr>
                  <w:r>
                    <w:rPr>
                      <w:rFonts w:hint="eastAsia"/>
                      <w:kern w:val="0"/>
                      <w:sz w:val="22"/>
                      <w:szCs w:val="22"/>
                      <w:lang w:val="en-US" w:eastAsia="zh-CN"/>
                    </w:rPr>
                    <w:t>5.5（3）</w:t>
                  </w:r>
                </w:p>
              </w:tc>
              <w:tc>
                <w:tcPr>
                  <w:tcW w:w="992" w:type="dxa"/>
                  <w:vAlign w:val="center"/>
                </w:tcPr>
                <w:p w14:paraId="1AEB1DEE">
                  <w:pPr>
                    <w:jc w:val="center"/>
                    <w:outlineLvl w:val="1"/>
                    <w:rPr>
                      <w:kern w:val="0"/>
                      <w:sz w:val="22"/>
                      <w:szCs w:val="22"/>
                    </w:rPr>
                  </w:pPr>
                  <w:r>
                    <w:rPr>
                      <w:rFonts w:hint="eastAsia"/>
                      <w:kern w:val="0"/>
                      <w:sz w:val="22"/>
                      <w:szCs w:val="22"/>
                      <w:lang w:val="en-US" w:eastAsia="zh-CN"/>
                    </w:rPr>
                    <w:t>10（10）</w:t>
                  </w:r>
                </w:p>
              </w:tc>
              <w:tc>
                <w:tcPr>
                  <w:tcW w:w="992" w:type="dxa"/>
                  <w:vAlign w:val="center"/>
                </w:tcPr>
                <w:p w14:paraId="48E80249">
                  <w:pPr>
                    <w:jc w:val="center"/>
                    <w:outlineLvl w:val="1"/>
                    <w:rPr>
                      <w:kern w:val="0"/>
                      <w:sz w:val="22"/>
                      <w:szCs w:val="22"/>
                    </w:rPr>
                  </w:pPr>
                  <w:r>
                    <w:rPr>
                      <w:rFonts w:hint="eastAsia"/>
                      <w:kern w:val="0"/>
                      <w:sz w:val="22"/>
                      <w:szCs w:val="22"/>
                      <w:lang w:val="en-US" w:eastAsia="zh-CN"/>
                    </w:rPr>
                    <w:t>5（3）</w:t>
                  </w:r>
                </w:p>
              </w:tc>
              <w:tc>
                <w:tcPr>
                  <w:tcW w:w="992" w:type="dxa"/>
                  <w:vAlign w:val="center"/>
                </w:tcPr>
                <w:p w14:paraId="07AC87A9">
                  <w:pPr>
                    <w:jc w:val="center"/>
                    <w:outlineLvl w:val="1"/>
                    <w:rPr>
                      <w:kern w:val="0"/>
                      <w:sz w:val="22"/>
                      <w:szCs w:val="22"/>
                    </w:rPr>
                  </w:pPr>
                  <w:r>
                    <w:rPr>
                      <w:rFonts w:hint="eastAsia"/>
                      <w:kern w:val="0"/>
                      <w:sz w:val="22"/>
                      <w:szCs w:val="22"/>
                      <w:lang w:val="en-US" w:eastAsia="zh-CN"/>
                    </w:rPr>
                    <w:t>35（35）</w:t>
                  </w:r>
                </w:p>
              </w:tc>
              <w:tc>
                <w:tcPr>
                  <w:tcW w:w="992" w:type="dxa"/>
                  <w:vAlign w:val="center"/>
                </w:tcPr>
                <w:p w14:paraId="00DD0968">
                  <w:pPr>
                    <w:jc w:val="center"/>
                    <w:outlineLvl w:val="1"/>
                    <w:rPr>
                      <w:kern w:val="0"/>
                      <w:sz w:val="22"/>
                      <w:szCs w:val="22"/>
                    </w:rPr>
                  </w:pPr>
                  <w:r>
                    <w:rPr>
                      <w:rFonts w:hint="eastAsia"/>
                      <w:kern w:val="0"/>
                      <w:sz w:val="22"/>
                      <w:szCs w:val="22"/>
                      <w:lang w:val="en-US" w:eastAsia="zh-CN"/>
                    </w:rPr>
                    <w:t>5（3）</w:t>
                  </w:r>
                </w:p>
              </w:tc>
              <w:tc>
                <w:tcPr>
                  <w:tcW w:w="992" w:type="dxa"/>
                  <w:vAlign w:val="center"/>
                </w:tcPr>
                <w:p w14:paraId="3ABE984C">
                  <w:pPr>
                    <w:jc w:val="center"/>
                    <w:outlineLvl w:val="1"/>
                    <w:rPr>
                      <w:kern w:val="0"/>
                      <w:sz w:val="22"/>
                      <w:szCs w:val="22"/>
                    </w:rPr>
                  </w:pPr>
                  <w:r>
                    <w:rPr>
                      <w:rFonts w:hint="eastAsia"/>
                      <w:kern w:val="0"/>
                      <w:sz w:val="22"/>
                      <w:szCs w:val="22"/>
                      <w:lang w:val="en-US" w:eastAsia="zh-CN"/>
                    </w:rPr>
                    <w:t>11（11）</w:t>
                  </w:r>
                </w:p>
              </w:tc>
            </w:tr>
            <w:tr w14:paraId="5AC8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14:paraId="51667C17">
                  <w:pPr>
                    <w:jc w:val="center"/>
                    <w:outlineLvl w:val="1"/>
                    <w:rPr>
                      <w:rFonts w:hint="eastAsia"/>
                      <w:kern w:val="0"/>
                      <w:sz w:val="22"/>
                      <w:szCs w:val="22"/>
                    </w:rPr>
                  </w:pPr>
                </w:p>
              </w:tc>
              <w:tc>
                <w:tcPr>
                  <w:tcW w:w="1263" w:type="dxa"/>
                  <w:vAlign w:val="center"/>
                </w:tcPr>
                <w:p w14:paraId="7A3E4683">
                  <w:pPr>
                    <w:jc w:val="center"/>
                    <w:outlineLvl w:val="1"/>
                    <w:rPr>
                      <w:rFonts w:hint="default" w:eastAsia="宋体"/>
                      <w:kern w:val="0"/>
                      <w:sz w:val="22"/>
                      <w:szCs w:val="22"/>
                      <w:lang w:val="en-US" w:eastAsia="zh-CN"/>
                    </w:rPr>
                  </w:pPr>
                  <w:r>
                    <w:rPr>
                      <w:rFonts w:hint="eastAsia"/>
                      <w:kern w:val="0"/>
                      <w:sz w:val="22"/>
                      <w:szCs w:val="22"/>
                      <w:lang w:val="en-US" w:eastAsia="zh-CN"/>
                    </w:rPr>
                    <w:t>地铁5号线</w:t>
                  </w:r>
                </w:p>
              </w:tc>
              <w:tc>
                <w:tcPr>
                  <w:tcW w:w="992" w:type="dxa"/>
                  <w:vAlign w:val="center"/>
                </w:tcPr>
                <w:p w14:paraId="78243542">
                  <w:pPr>
                    <w:jc w:val="center"/>
                    <w:outlineLvl w:val="1"/>
                    <w:rPr>
                      <w:rFonts w:hint="eastAsia"/>
                      <w:kern w:val="0"/>
                      <w:sz w:val="22"/>
                      <w:szCs w:val="22"/>
                    </w:rPr>
                  </w:pPr>
                  <w:r>
                    <w:rPr>
                      <w:rFonts w:hint="eastAsia"/>
                      <w:kern w:val="0"/>
                      <w:sz w:val="22"/>
                      <w:szCs w:val="22"/>
                      <w:lang w:val="en-US" w:eastAsia="zh-CN"/>
                    </w:rPr>
                    <w:t>15.5（15）</w:t>
                  </w:r>
                </w:p>
              </w:tc>
              <w:tc>
                <w:tcPr>
                  <w:tcW w:w="992" w:type="dxa"/>
                  <w:vAlign w:val="center"/>
                </w:tcPr>
                <w:p w14:paraId="52AC3FA5">
                  <w:pPr>
                    <w:jc w:val="center"/>
                    <w:outlineLvl w:val="1"/>
                    <w:rPr>
                      <w:rFonts w:hint="eastAsia"/>
                      <w:kern w:val="0"/>
                      <w:sz w:val="22"/>
                      <w:szCs w:val="22"/>
                    </w:rPr>
                  </w:pPr>
                  <w:r>
                    <w:rPr>
                      <w:rFonts w:hint="eastAsia"/>
                      <w:kern w:val="0"/>
                      <w:sz w:val="22"/>
                      <w:szCs w:val="22"/>
                      <w:lang w:val="en-US" w:eastAsia="zh-CN"/>
                    </w:rPr>
                    <w:t>18（18）</w:t>
                  </w:r>
                </w:p>
              </w:tc>
              <w:tc>
                <w:tcPr>
                  <w:tcW w:w="992" w:type="dxa"/>
                  <w:vAlign w:val="center"/>
                </w:tcPr>
                <w:p w14:paraId="4BD5DC37">
                  <w:pPr>
                    <w:jc w:val="center"/>
                    <w:outlineLvl w:val="1"/>
                    <w:rPr>
                      <w:rFonts w:hint="eastAsia"/>
                      <w:kern w:val="0"/>
                      <w:sz w:val="22"/>
                      <w:szCs w:val="22"/>
                    </w:rPr>
                  </w:pPr>
                  <w:r>
                    <w:rPr>
                      <w:rFonts w:hint="eastAsia"/>
                      <w:kern w:val="0"/>
                      <w:sz w:val="22"/>
                      <w:szCs w:val="22"/>
                      <w:lang w:val="en-US" w:eastAsia="zh-CN"/>
                    </w:rPr>
                    <w:t>15.5（15）</w:t>
                  </w:r>
                </w:p>
              </w:tc>
              <w:tc>
                <w:tcPr>
                  <w:tcW w:w="992" w:type="dxa"/>
                  <w:vAlign w:val="center"/>
                </w:tcPr>
                <w:p w14:paraId="661E371A">
                  <w:pPr>
                    <w:jc w:val="center"/>
                    <w:outlineLvl w:val="1"/>
                    <w:rPr>
                      <w:rFonts w:hint="eastAsia"/>
                      <w:kern w:val="0"/>
                      <w:sz w:val="22"/>
                      <w:szCs w:val="22"/>
                    </w:rPr>
                  </w:pPr>
                  <w:r>
                    <w:rPr>
                      <w:rFonts w:hint="eastAsia"/>
                      <w:kern w:val="0"/>
                      <w:sz w:val="22"/>
                      <w:szCs w:val="22"/>
                      <w:lang w:val="en-US" w:eastAsia="zh-CN"/>
                    </w:rPr>
                    <w:t>43（43）</w:t>
                  </w:r>
                </w:p>
              </w:tc>
              <w:tc>
                <w:tcPr>
                  <w:tcW w:w="992" w:type="dxa"/>
                  <w:vAlign w:val="center"/>
                </w:tcPr>
                <w:p w14:paraId="0EFD91EE">
                  <w:pPr>
                    <w:jc w:val="center"/>
                    <w:outlineLvl w:val="1"/>
                    <w:rPr>
                      <w:rFonts w:hint="eastAsia"/>
                      <w:kern w:val="0"/>
                      <w:sz w:val="22"/>
                      <w:szCs w:val="22"/>
                    </w:rPr>
                  </w:pPr>
                  <w:r>
                    <w:rPr>
                      <w:rFonts w:hint="eastAsia"/>
                      <w:kern w:val="0"/>
                      <w:sz w:val="22"/>
                      <w:szCs w:val="22"/>
                      <w:lang w:val="en-US" w:eastAsia="zh-CN"/>
                    </w:rPr>
                    <w:t>15.5（15）</w:t>
                  </w:r>
                </w:p>
              </w:tc>
              <w:tc>
                <w:tcPr>
                  <w:tcW w:w="992" w:type="dxa"/>
                  <w:vAlign w:val="center"/>
                </w:tcPr>
                <w:p w14:paraId="0389542D">
                  <w:pPr>
                    <w:jc w:val="center"/>
                    <w:outlineLvl w:val="1"/>
                    <w:rPr>
                      <w:rFonts w:hint="eastAsia"/>
                      <w:kern w:val="0"/>
                      <w:sz w:val="22"/>
                      <w:szCs w:val="22"/>
                    </w:rPr>
                  </w:pPr>
                  <w:r>
                    <w:rPr>
                      <w:rFonts w:hint="eastAsia"/>
                      <w:kern w:val="0"/>
                      <w:sz w:val="22"/>
                      <w:szCs w:val="22"/>
                      <w:lang w:val="en-US" w:eastAsia="zh-CN"/>
                    </w:rPr>
                    <w:t>19（19）</w:t>
                  </w:r>
                </w:p>
              </w:tc>
            </w:tr>
            <w:tr w14:paraId="3F6F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14:paraId="03A5D2DE">
                  <w:pPr>
                    <w:jc w:val="center"/>
                    <w:outlineLvl w:val="1"/>
                    <w:rPr>
                      <w:kern w:val="0"/>
                      <w:sz w:val="22"/>
                      <w:szCs w:val="22"/>
                    </w:rPr>
                  </w:pPr>
                </w:p>
              </w:tc>
              <w:tc>
                <w:tcPr>
                  <w:tcW w:w="1263" w:type="dxa"/>
                  <w:vAlign w:val="center"/>
                </w:tcPr>
                <w:p w14:paraId="6F195A45">
                  <w:pPr>
                    <w:jc w:val="center"/>
                    <w:outlineLvl w:val="1"/>
                    <w:rPr>
                      <w:rFonts w:hint="default" w:eastAsia="宋体"/>
                      <w:kern w:val="0"/>
                      <w:sz w:val="22"/>
                      <w:szCs w:val="22"/>
                      <w:lang w:val="en-US" w:eastAsia="zh-CN"/>
                    </w:rPr>
                  </w:pPr>
                  <w:r>
                    <w:rPr>
                      <w:rFonts w:hint="eastAsia"/>
                      <w:kern w:val="0"/>
                      <w:sz w:val="22"/>
                      <w:szCs w:val="22"/>
                      <w:lang w:val="en-US" w:eastAsia="zh-CN"/>
                    </w:rPr>
                    <w:t>架空电力线路</w:t>
                  </w:r>
                </w:p>
              </w:tc>
              <w:tc>
                <w:tcPr>
                  <w:tcW w:w="992" w:type="dxa"/>
                  <w:vAlign w:val="center"/>
                </w:tcPr>
                <w:p w14:paraId="3AA9054C">
                  <w:pPr>
                    <w:jc w:val="center"/>
                    <w:outlineLvl w:val="1"/>
                    <w:rPr>
                      <w:kern w:val="0"/>
                      <w:sz w:val="22"/>
                      <w:szCs w:val="22"/>
                    </w:rPr>
                  </w:pPr>
                  <w:r>
                    <w:rPr>
                      <w:rFonts w:hint="eastAsia"/>
                      <w:kern w:val="0"/>
                      <w:sz w:val="22"/>
                      <w:szCs w:val="22"/>
                      <w:lang w:val="en-US" w:eastAsia="zh-CN"/>
                    </w:rPr>
                    <w:t>6.5（6.5）</w:t>
                  </w:r>
                </w:p>
              </w:tc>
              <w:tc>
                <w:tcPr>
                  <w:tcW w:w="992" w:type="dxa"/>
                  <w:vAlign w:val="center"/>
                </w:tcPr>
                <w:p w14:paraId="013D14BF">
                  <w:pPr>
                    <w:jc w:val="center"/>
                    <w:outlineLvl w:val="1"/>
                    <w:rPr>
                      <w:kern w:val="0"/>
                      <w:sz w:val="22"/>
                      <w:szCs w:val="22"/>
                    </w:rPr>
                  </w:pPr>
                  <w:r>
                    <w:rPr>
                      <w:rFonts w:hint="eastAsia"/>
                      <w:kern w:val="0"/>
                      <w:sz w:val="22"/>
                      <w:szCs w:val="22"/>
                      <w:lang w:val="en-US" w:eastAsia="zh-CN"/>
                    </w:rPr>
                    <w:t>8（8）</w:t>
                  </w:r>
                </w:p>
              </w:tc>
              <w:tc>
                <w:tcPr>
                  <w:tcW w:w="992" w:type="dxa"/>
                  <w:vAlign w:val="center"/>
                </w:tcPr>
                <w:p w14:paraId="1F519897">
                  <w:pPr>
                    <w:jc w:val="center"/>
                    <w:outlineLvl w:val="1"/>
                    <w:rPr>
                      <w:kern w:val="0"/>
                      <w:sz w:val="22"/>
                      <w:szCs w:val="22"/>
                    </w:rPr>
                  </w:pPr>
                  <w:r>
                    <w:rPr>
                      <w:rFonts w:hint="eastAsia"/>
                      <w:kern w:val="0"/>
                      <w:sz w:val="22"/>
                      <w:szCs w:val="22"/>
                      <w:lang w:val="en-US" w:eastAsia="zh-CN"/>
                    </w:rPr>
                    <w:t>6.5（6.5）</w:t>
                  </w:r>
                </w:p>
              </w:tc>
              <w:tc>
                <w:tcPr>
                  <w:tcW w:w="992" w:type="dxa"/>
                  <w:vAlign w:val="center"/>
                </w:tcPr>
                <w:p w14:paraId="18578AFD">
                  <w:pPr>
                    <w:jc w:val="center"/>
                    <w:outlineLvl w:val="1"/>
                    <w:rPr>
                      <w:kern w:val="0"/>
                      <w:sz w:val="22"/>
                      <w:szCs w:val="22"/>
                    </w:rPr>
                  </w:pPr>
                  <w:r>
                    <w:rPr>
                      <w:rFonts w:hint="eastAsia"/>
                      <w:kern w:val="0"/>
                      <w:sz w:val="22"/>
                      <w:szCs w:val="22"/>
                      <w:lang w:val="en-US" w:eastAsia="zh-CN"/>
                    </w:rPr>
                    <w:t>33（33）</w:t>
                  </w:r>
                </w:p>
              </w:tc>
              <w:tc>
                <w:tcPr>
                  <w:tcW w:w="992" w:type="dxa"/>
                  <w:vAlign w:val="center"/>
                </w:tcPr>
                <w:p w14:paraId="717BB861">
                  <w:pPr>
                    <w:jc w:val="center"/>
                    <w:outlineLvl w:val="1"/>
                    <w:rPr>
                      <w:kern w:val="0"/>
                      <w:sz w:val="22"/>
                      <w:szCs w:val="22"/>
                    </w:rPr>
                  </w:pPr>
                  <w:r>
                    <w:rPr>
                      <w:rFonts w:hint="eastAsia"/>
                      <w:kern w:val="0"/>
                      <w:sz w:val="22"/>
                      <w:szCs w:val="22"/>
                      <w:lang w:val="en-US" w:eastAsia="zh-CN"/>
                    </w:rPr>
                    <w:t>6.5（6.5）</w:t>
                  </w:r>
                </w:p>
              </w:tc>
              <w:tc>
                <w:tcPr>
                  <w:tcW w:w="992" w:type="dxa"/>
                  <w:vAlign w:val="center"/>
                </w:tcPr>
                <w:p w14:paraId="325D46BB">
                  <w:pPr>
                    <w:jc w:val="center"/>
                    <w:outlineLvl w:val="1"/>
                    <w:rPr>
                      <w:kern w:val="0"/>
                      <w:sz w:val="22"/>
                      <w:szCs w:val="22"/>
                    </w:rPr>
                  </w:pPr>
                  <w:r>
                    <w:rPr>
                      <w:rFonts w:hint="eastAsia"/>
                      <w:kern w:val="0"/>
                      <w:sz w:val="22"/>
                      <w:szCs w:val="22"/>
                      <w:lang w:val="en-US" w:eastAsia="zh-CN"/>
                    </w:rPr>
                    <w:t>9（9）</w:t>
                  </w:r>
                </w:p>
              </w:tc>
            </w:tr>
          </w:tbl>
          <w:p w14:paraId="0608BDDC">
            <w:pPr>
              <w:adjustRightInd w:val="0"/>
              <w:snapToGrid w:val="0"/>
              <w:spacing w:line="460" w:lineRule="exact"/>
              <w:rPr>
                <w:sz w:val="26"/>
                <w:szCs w:val="26"/>
              </w:rPr>
            </w:pPr>
            <w:r>
              <w:rPr>
                <w:b/>
                <w:bCs/>
                <w:sz w:val="26"/>
                <w:szCs w:val="26"/>
              </w:rPr>
              <w:t>2.</w:t>
            </w:r>
            <w:r>
              <w:rPr>
                <w:rFonts w:hint="eastAsia"/>
                <w:b/>
                <w:bCs/>
                <w:sz w:val="26"/>
                <w:szCs w:val="26"/>
                <w:lang w:val="en-US" w:eastAsia="zh-CN"/>
              </w:rPr>
              <w:t>12</w:t>
            </w:r>
            <w:r>
              <w:rPr>
                <w:b/>
                <w:bCs/>
                <w:sz w:val="26"/>
                <w:szCs w:val="26"/>
              </w:rPr>
              <w:t>.3</w:t>
            </w:r>
            <w:r>
              <w:rPr>
                <w:rFonts w:hint="eastAsia"/>
                <w:b/>
                <w:bCs/>
                <w:sz w:val="26"/>
                <w:szCs w:val="26"/>
              </w:rPr>
              <w:t>主要环境问题及整改措施</w:t>
            </w:r>
          </w:p>
          <w:p w14:paraId="3AB52CD9">
            <w:pPr>
              <w:adjustRightInd w:val="0"/>
              <w:snapToGrid w:val="0"/>
              <w:spacing w:line="460" w:lineRule="exact"/>
              <w:ind w:firstLine="520" w:firstLineChars="200"/>
              <w:rPr>
                <w:bCs/>
                <w:sz w:val="26"/>
                <w:szCs w:val="26"/>
              </w:rPr>
            </w:pPr>
            <w:r>
              <w:rPr>
                <w:rFonts w:hint="eastAsia"/>
                <w:bCs/>
                <w:sz w:val="26"/>
                <w:szCs w:val="26"/>
              </w:rPr>
              <w:t>根据现场踏勘及走访调查，加油站运行至今，未发生环境污染事故，未接到环保投诉。</w:t>
            </w:r>
          </w:p>
          <w:p w14:paraId="30AC8210">
            <w:pPr>
              <w:adjustRightInd w:val="0"/>
              <w:snapToGrid w:val="0"/>
              <w:spacing w:line="460" w:lineRule="exact"/>
              <w:ind w:firstLine="520" w:firstLineChars="200"/>
              <w:rPr>
                <w:bCs/>
                <w:sz w:val="26"/>
                <w:szCs w:val="26"/>
              </w:rPr>
            </w:pPr>
            <w:r>
              <w:rPr>
                <w:rFonts w:hint="eastAsia"/>
                <w:bCs/>
                <w:sz w:val="26"/>
                <w:szCs w:val="26"/>
              </w:rPr>
              <w:t>现有工程投运至今，</w:t>
            </w:r>
            <w:r>
              <w:rPr>
                <w:rFonts w:hint="eastAsia"/>
                <w:bCs/>
                <w:sz w:val="26"/>
                <w:szCs w:val="26"/>
                <w:lang w:val="en-US" w:eastAsia="zh-CN"/>
              </w:rPr>
              <w:t>华福路</w:t>
            </w:r>
            <w:r>
              <w:rPr>
                <w:rFonts w:hint="eastAsia"/>
                <w:bCs/>
                <w:sz w:val="26"/>
                <w:szCs w:val="26"/>
              </w:rPr>
              <w:t>加油站经营时间已有</w:t>
            </w:r>
            <w:r>
              <w:rPr>
                <w:rFonts w:hint="eastAsia"/>
                <w:bCs/>
                <w:color w:val="auto"/>
                <w:sz w:val="26"/>
                <w:szCs w:val="26"/>
                <w:lang w:val="en-US" w:eastAsia="zh-CN"/>
              </w:rPr>
              <w:t>10</w:t>
            </w:r>
            <w:r>
              <w:rPr>
                <w:rFonts w:hint="eastAsia"/>
                <w:bCs/>
                <w:color w:val="auto"/>
                <w:sz w:val="26"/>
                <w:szCs w:val="26"/>
              </w:rPr>
              <w:t>余</w:t>
            </w:r>
            <w:r>
              <w:rPr>
                <w:rFonts w:hint="eastAsia"/>
                <w:bCs/>
                <w:sz w:val="26"/>
                <w:szCs w:val="26"/>
              </w:rPr>
              <w:t>年，</w:t>
            </w:r>
            <w:r>
              <w:rPr>
                <w:rFonts w:hint="eastAsia"/>
                <w:bCs/>
                <w:sz w:val="26"/>
                <w:szCs w:val="26"/>
                <w:lang w:val="en-US" w:eastAsia="zh-CN"/>
              </w:rPr>
              <w:t>由于</w:t>
            </w:r>
            <w:r>
              <w:rPr>
                <w:rFonts w:hint="eastAsia"/>
                <w:bCs/>
                <w:sz w:val="26"/>
                <w:szCs w:val="26"/>
              </w:rPr>
              <w:t>加油站</w:t>
            </w:r>
            <w:r>
              <w:rPr>
                <w:rFonts w:hint="eastAsia"/>
                <w:bCs/>
                <w:sz w:val="26"/>
                <w:szCs w:val="26"/>
                <w:lang w:val="en-US" w:eastAsia="zh-CN"/>
              </w:rPr>
              <w:t>各油品</w:t>
            </w:r>
            <w:r>
              <w:rPr>
                <w:rFonts w:hint="eastAsia"/>
                <w:bCs/>
                <w:sz w:val="26"/>
                <w:szCs w:val="26"/>
              </w:rPr>
              <w:t>加油能力不足，</w:t>
            </w:r>
            <w:r>
              <w:rPr>
                <w:rFonts w:hint="eastAsia"/>
                <w:bCs/>
                <w:sz w:val="26"/>
                <w:szCs w:val="26"/>
                <w:lang w:val="en-US" w:eastAsia="zh-CN"/>
              </w:rPr>
              <w:t>且</w:t>
            </w:r>
            <w:r>
              <w:rPr>
                <w:rFonts w:hint="eastAsia"/>
                <w:bCs/>
                <w:sz w:val="26"/>
                <w:szCs w:val="26"/>
              </w:rPr>
              <w:t>部分设备、设施已经开始</w:t>
            </w:r>
            <w:r>
              <w:rPr>
                <w:rFonts w:hint="eastAsia"/>
                <w:bCs/>
                <w:sz w:val="26"/>
                <w:szCs w:val="26"/>
                <w:lang w:val="en-US" w:eastAsia="zh-CN"/>
              </w:rPr>
              <w:t>显现</w:t>
            </w:r>
            <w:r>
              <w:rPr>
                <w:rFonts w:hint="eastAsia"/>
                <w:bCs/>
                <w:sz w:val="26"/>
                <w:szCs w:val="26"/>
              </w:rPr>
              <w:t>老化，存在诸多安全、环保隐患，因此中国石化销售股份有限公司重庆石油分公司计划投资2</w:t>
            </w:r>
            <w:r>
              <w:rPr>
                <w:rFonts w:hint="eastAsia"/>
                <w:bCs/>
                <w:sz w:val="26"/>
                <w:szCs w:val="26"/>
                <w:lang w:val="en-US" w:eastAsia="zh-CN"/>
              </w:rPr>
              <w:t>97.9</w:t>
            </w:r>
            <w:r>
              <w:rPr>
                <w:rFonts w:hint="eastAsia"/>
                <w:bCs/>
                <w:sz w:val="26"/>
                <w:szCs w:val="26"/>
              </w:rPr>
              <w:t>万元对</w:t>
            </w:r>
            <w:r>
              <w:rPr>
                <w:rFonts w:hint="eastAsia"/>
                <w:bCs/>
                <w:sz w:val="26"/>
                <w:szCs w:val="26"/>
                <w:lang w:val="en-US" w:eastAsia="zh-CN"/>
              </w:rPr>
              <w:t>华福路</w:t>
            </w:r>
            <w:r>
              <w:rPr>
                <w:rFonts w:hint="eastAsia"/>
                <w:bCs/>
                <w:sz w:val="26"/>
                <w:szCs w:val="26"/>
              </w:rPr>
              <w:t>加油站现有工程进行</w:t>
            </w:r>
            <w:r>
              <w:rPr>
                <w:rFonts w:hint="eastAsia"/>
                <w:bCs/>
                <w:sz w:val="26"/>
                <w:szCs w:val="26"/>
                <w:lang w:val="en-US" w:eastAsia="zh-CN"/>
              </w:rPr>
              <w:t>工艺</w:t>
            </w:r>
            <w:r>
              <w:rPr>
                <w:rFonts w:hint="eastAsia"/>
                <w:bCs/>
                <w:sz w:val="26"/>
                <w:szCs w:val="26"/>
              </w:rPr>
              <w:t>改造</w:t>
            </w:r>
            <w:r>
              <w:rPr>
                <w:rFonts w:hint="eastAsia"/>
                <w:sz w:val="26"/>
                <w:szCs w:val="26"/>
              </w:rPr>
              <w:t>，一方面提升加油站经营能力，其次对现有的部分安全、环保设施进行更替，减少风险隐患。</w:t>
            </w:r>
          </w:p>
          <w:p w14:paraId="479910DD">
            <w:pPr>
              <w:adjustRightInd w:val="0"/>
              <w:snapToGrid w:val="0"/>
              <w:spacing w:line="460" w:lineRule="exact"/>
              <w:ind w:firstLine="520" w:firstLineChars="200"/>
              <w:rPr>
                <w:bCs/>
                <w:sz w:val="26"/>
                <w:szCs w:val="26"/>
              </w:rPr>
            </w:pPr>
            <w:r>
              <w:rPr>
                <w:rFonts w:hint="eastAsia"/>
                <w:bCs/>
                <w:sz w:val="26"/>
                <w:szCs w:val="26"/>
              </w:rPr>
              <w:t>本次评价对罐区地下水、土壤进行了采样监测，根据本次评价现状监测结果，加油站区域内地下水、土壤能够满足相应的环境质量标准，说项目用地范围内无原有土壤、地下水污染问题。</w:t>
            </w:r>
          </w:p>
          <w:p w14:paraId="4DCA8A05">
            <w:pPr>
              <w:adjustRightInd w:val="0"/>
              <w:snapToGrid w:val="0"/>
              <w:spacing w:line="460" w:lineRule="exact"/>
              <w:ind w:firstLine="520" w:firstLineChars="200"/>
              <w:rPr>
                <w:rFonts w:hint="eastAsia"/>
                <w:bCs/>
                <w:sz w:val="26"/>
                <w:szCs w:val="26"/>
              </w:rPr>
            </w:pPr>
            <w:r>
              <w:rPr>
                <w:rFonts w:hint="eastAsia"/>
                <w:bCs/>
                <w:sz w:val="26"/>
                <w:szCs w:val="26"/>
              </w:rPr>
              <w:t>根据《排污单位自行监测技术指南储油库、加油站》（HJ1249-2022）以及《排污许可证申请与核发技术规范储油库、加油站》（HJ1118-2020）的相关要求，加油站现有工程设置了油气回收装置、隔油沉淀池、</w:t>
            </w:r>
            <w:r>
              <w:rPr>
                <w:rFonts w:hint="eastAsia"/>
                <w:bCs/>
                <w:sz w:val="26"/>
                <w:szCs w:val="26"/>
                <w:lang w:eastAsia="zh-CN"/>
              </w:rPr>
              <w:t>化粪池</w:t>
            </w:r>
            <w:r>
              <w:rPr>
                <w:rFonts w:hint="eastAsia"/>
                <w:bCs/>
                <w:sz w:val="26"/>
                <w:szCs w:val="26"/>
              </w:rPr>
              <w:t>等环保措施，环境管理落实较好，开展了废水、废气、噪声例行监测，根据前文所述，现有工程营运区间按计划开展了自行检测，检测结果表面项目各项污染物均能够满足相应排放标准，根据企业固危废专业台账记录，现有工程固体废物均妥善处置；现有工程环保手续、污染防治及环境管理等层面均得到较好的落实</w:t>
            </w:r>
            <w:r>
              <w:rPr>
                <w:rFonts w:hint="eastAsia"/>
                <w:bCs/>
                <w:sz w:val="26"/>
                <w:szCs w:val="26"/>
                <w:lang w:eastAsia="zh-CN"/>
              </w:rPr>
              <w:t>，</w:t>
            </w:r>
            <w:r>
              <w:rPr>
                <w:rFonts w:hint="eastAsia" w:ascii="宋体" w:hAnsi="宋体" w:eastAsia="宋体" w:cs="宋体"/>
                <w:color w:val="auto"/>
                <w:kern w:val="0"/>
                <w:sz w:val="26"/>
                <w:szCs w:val="26"/>
                <w:lang w:val="en-US" w:eastAsia="zh-CN" w:bidi="ar"/>
              </w:rPr>
              <w:t>现有项目运营期间产生的污染物均得到了有效处理，现有项目不涉及原有污染问题</w:t>
            </w:r>
            <w:r>
              <w:rPr>
                <w:rFonts w:hint="eastAsia"/>
                <w:bCs/>
                <w:sz w:val="26"/>
                <w:szCs w:val="26"/>
              </w:rPr>
              <w:t>。</w:t>
            </w:r>
          </w:p>
          <w:p w14:paraId="5A6EA6CA">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lang w:val="en-US" w:eastAsia="zh-CN"/>
              </w:rPr>
              <w:t>现有项目涉及的环保问题主要为已设置的危废贮存点标识牌设置不齐全不完善，本次改造拟对其进行“以新带老”措施。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2"/>
              <w:gridCol w:w="3973"/>
            </w:tblGrid>
            <w:tr w14:paraId="7CD2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72" w:type="dxa"/>
                </w:tcPr>
                <w:p w14:paraId="44A31EF1">
                  <w:pPr>
                    <w:pStyle w:val="7"/>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eastAsia="宋体"/>
                      <w:sz w:val="22"/>
                      <w:szCs w:val="24"/>
                      <w:vertAlign w:val="baseline"/>
                      <w:lang w:eastAsia="zh-CN"/>
                    </w:rPr>
                  </w:pPr>
                  <w:r>
                    <w:rPr>
                      <w:rFonts w:hint="eastAsia" w:eastAsia="宋体"/>
                      <w:sz w:val="22"/>
                      <w:szCs w:val="24"/>
                      <w:vertAlign w:val="baseline"/>
                      <w:lang w:eastAsia="zh-CN"/>
                    </w:rPr>
                    <w:drawing>
                      <wp:inline distT="0" distB="0" distL="114300" distR="114300">
                        <wp:extent cx="2362835" cy="1772285"/>
                        <wp:effectExtent l="0" t="0" r="18415" b="18415"/>
                        <wp:docPr id="15" name="图片 15" descr="IMG202509111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20250911105532"/>
                                <pic:cNvPicPr>
                                  <a:picLocks noChangeAspect="1"/>
                                </pic:cNvPicPr>
                              </pic:nvPicPr>
                              <pic:blipFill>
                                <a:blip r:embed="rId16"/>
                                <a:stretch>
                                  <a:fillRect/>
                                </a:stretch>
                              </pic:blipFill>
                              <pic:spPr>
                                <a:xfrm>
                                  <a:off x="0" y="0"/>
                                  <a:ext cx="2362835" cy="1772285"/>
                                </a:xfrm>
                                <a:prstGeom prst="rect">
                                  <a:avLst/>
                                </a:prstGeom>
                              </pic:spPr>
                            </pic:pic>
                          </a:graphicData>
                        </a:graphic>
                      </wp:inline>
                    </w:drawing>
                  </w:r>
                </w:p>
              </w:tc>
              <w:tc>
                <w:tcPr>
                  <w:tcW w:w="3973" w:type="dxa"/>
                </w:tcPr>
                <w:p w14:paraId="177FDFC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eastAsia="宋体"/>
                      <w:sz w:val="22"/>
                      <w:szCs w:val="24"/>
                      <w:vertAlign w:val="baseline"/>
                      <w:lang w:eastAsia="zh-CN"/>
                    </w:rPr>
                  </w:pPr>
                  <w:r>
                    <w:rPr>
                      <w:rFonts w:hint="eastAsia" w:eastAsia="宋体"/>
                      <w:sz w:val="22"/>
                      <w:szCs w:val="24"/>
                      <w:vertAlign w:val="baseline"/>
                      <w:lang w:eastAsia="zh-CN"/>
                    </w:rPr>
                    <w:drawing>
                      <wp:inline distT="0" distB="0" distL="114300" distR="114300">
                        <wp:extent cx="2379980" cy="1784985"/>
                        <wp:effectExtent l="0" t="0" r="1270" b="5715"/>
                        <wp:docPr id="16" name="图片 16" descr="IMG202509111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0250911110211"/>
                                <pic:cNvPicPr>
                                  <a:picLocks noChangeAspect="1"/>
                                </pic:cNvPicPr>
                              </pic:nvPicPr>
                              <pic:blipFill>
                                <a:blip r:embed="rId17"/>
                                <a:stretch>
                                  <a:fillRect/>
                                </a:stretch>
                              </pic:blipFill>
                              <pic:spPr>
                                <a:xfrm>
                                  <a:off x="0" y="0"/>
                                  <a:ext cx="2379980" cy="1784985"/>
                                </a:xfrm>
                                <a:prstGeom prst="rect">
                                  <a:avLst/>
                                </a:prstGeom>
                              </pic:spPr>
                            </pic:pic>
                          </a:graphicData>
                        </a:graphic>
                      </wp:inline>
                    </w:drawing>
                  </w:r>
                </w:p>
              </w:tc>
            </w:tr>
            <w:tr w14:paraId="0778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4211CD4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sz w:val="22"/>
                      <w:szCs w:val="24"/>
                      <w:vertAlign w:val="baseline"/>
                      <w:lang w:val="en-US" w:eastAsia="zh-CN"/>
                    </w:rPr>
                  </w:pPr>
                  <w:r>
                    <w:rPr>
                      <w:rFonts w:hint="eastAsia"/>
                      <w:sz w:val="22"/>
                      <w:szCs w:val="24"/>
                      <w:vertAlign w:val="baseline"/>
                      <w:lang w:val="en-US" w:eastAsia="zh-CN"/>
                    </w:rPr>
                    <w:t>现有工程罩棚（加油区）</w:t>
                  </w:r>
                </w:p>
              </w:tc>
              <w:tc>
                <w:tcPr>
                  <w:tcW w:w="3973" w:type="dxa"/>
                </w:tcPr>
                <w:p w14:paraId="07885AF0">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vertAlign w:val="baseline"/>
                      <w:lang w:val="en-US"/>
                    </w:rPr>
                  </w:pPr>
                  <w:r>
                    <w:rPr>
                      <w:rFonts w:hint="eastAsia" w:ascii="Times New Roman" w:hAnsi="Times New Roman" w:eastAsia="宋体" w:cs="Times New Roman"/>
                      <w:sz w:val="22"/>
                      <w:szCs w:val="24"/>
                      <w:vertAlign w:val="baseline"/>
                      <w:lang w:val="en-US" w:eastAsia="zh-CN"/>
                    </w:rPr>
                    <w:t>现有工程站房</w:t>
                  </w:r>
                </w:p>
              </w:tc>
            </w:tr>
            <w:tr w14:paraId="515F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338F7D35">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13" name="图片 13" descr="IMG2025091110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20250911105612"/>
                                <pic:cNvPicPr>
                                  <a:picLocks noChangeAspect="1"/>
                                </pic:cNvPicPr>
                              </pic:nvPicPr>
                              <pic:blipFill>
                                <a:blip r:embed="rId18"/>
                                <a:stretch>
                                  <a:fillRect/>
                                </a:stretch>
                              </pic:blipFill>
                              <pic:spPr>
                                <a:xfrm>
                                  <a:off x="0" y="0"/>
                                  <a:ext cx="2362835" cy="1772285"/>
                                </a:xfrm>
                                <a:prstGeom prst="rect">
                                  <a:avLst/>
                                </a:prstGeom>
                              </pic:spPr>
                            </pic:pic>
                          </a:graphicData>
                        </a:graphic>
                      </wp:inline>
                    </w:drawing>
                  </w:r>
                </w:p>
              </w:tc>
              <w:tc>
                <w:tcPr>
                  <w:tcW w:w="3973" w:type="dxa"/>
                </w:tcPr>
                <w:p w14:paraId="0CBCC8F7">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14" name="图片 14" descr="IMG2025091110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250911105619"/>
                                <pic:cNvPicPr>
                                  <a:picLocks noChangeAspect="1"/>
                                </pic:cNvPicPr>
                              </pic:nvPicPr>
                              <pic:blipFill>
                                <a:blip r:embed="rId19"/>
                                <a:stretch>
                                  <a:fillRect/>
                                </a:stretch>
                              </pic:blipFill>
                              <pic:spPr>
                                <a:xfrm>
                                  <a:off x="0" y="0"/>
                                  <a:ext cx="2362835" cy="1772285"/>
                                </a:xfrm>
                                <a:prstGeom prst="rect">
                                  <a:avLst/>
                                </a:prstGeom>
                              </pic:spPr>
                            </pic:pic>
                          </a:graphicData>
                        </a:graphic>
                      </wp:inline>
                    </w:drawing>
                  </w:r>
                </w:p>
              </w:tc>
            </w:tr>
            <w:tr w14:paraId="2546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04DED953">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现有工程隔油池</w:t>
                  </w:r>
                </w:p>
              </w:tc>
              <w:tc>
                <w:tcPr>
                  <w:tcW w:w="3973" w:type="dxa"/>
                </w:tcPr>
                <w:p w14:paraId="22F90BE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现有工程化粪池</w:t>
                  </w:r>
                </w:p>
              </w:tc>
            </w:tr>
            <w:tr w14:paraId="5105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04E4CAA7">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17" name="图片 17" descr="IMG2025091110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20250911105758"/>
                                <pic:cNvPicPr>
                                  <a:picLocks noChangeAspect="1"/>
                                </pic:cNvPicPr>
                              </pic:nvPicPr>
                              <pic:blipFill>
                                <a:blip r:embed="rId20"/>
                                <a:stretch>
                                  <a:fillRect/>
                                </a:stretch>
                              </pic:blipFill>
                              <pic:spPr>
                                <a:xfrm>
                                  <a:off x="0" y="0"/>
                                  <a:ext cx="2362835" cy="1772285"/>
                                </a:xfrm>
                                <a:prstGeom prst="rect">
                                  <a:avLst/>
                                </a:prstGeom>
                              </pic:spPr>
                            </pic:pic>
                          </a:graphicData>
                        </a:graphic>
                      </wp:inline>
                    </w:drawing>
                  </w:r>
                </w:p>
              </w:tc>
              <w:tc>
                <w:tcPr>
                  <w:tcW w:w="3973" w:type="dxa"/>
                </w:tcPr>
                <w:p w14:paraId="61E9ED3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18" name="图片 18" descr="IMG202509111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20250911110036"/>
                                <pic:cNvPicPr>
                                  <a:picLocks noChangeAspect="1"/>
                                </pic:cNvPicPr>
                              </pic:nvPicPr>
                              <pic:blipFill>
                                <a:blip r:embed="rId21"/>
                                <a:stretch>
                                  <a:fillRect/>
                                </a:stretch>
                              </pic:blipFill>
                              <pic:spPr>
                                <a:xfrm>
                                  <a:off x="0" y="0"/>
                                  <a:ext cx="2379980" cy="1784985"/>
                                </a:xfrm>
                                <a:prstGeom prst="rect">
                                  <a:avLst/>
                                </a:prstGeom>
                              </pic:spPr>
                            </pic:pic>
                          </a:graphicData>
                        </a:graphic>
                      </wp:inline>
                    </w:drawing>
                  </w:r>
                </w:p>
              </w:tc>
            </w:tr>
            <w:tr w14:paraId="6AE6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438035A8">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现有工程卸油口及卸油区</w:t>
                  </w:r>
                </w:p>
              </w:tc>
              <w:tc>
                <w:tcPr>
                  <w:tcW w:w="3973" w:type="dxa"/>
                </w:tcPr>
                <w:p w14:paraId="3A58C0E7">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现有工程消防五大件储存区域</w:t>
                  </w:r>
                </w:p>
              </w:tc>
            </w:tr>
            <w:tr w14:paraId="70BF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5EB6DDB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12" name="图片 12" descr="IMG2025092013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50920135319"/>
                                <pic:cNvPicPr>
                                  <a:picLocks noChangeAspect="1"/>
                                </pic:cNvPicPr>
                              </pic:nvPicPr>
                              <pic:blipFill>
                                <a:blip r:embed="rId22"/>
                                <a:stretch>
                                  <a:fillRect/>
                                </a:stretch>
                              </pic:blipFill>
                              <pic:spPr>
                                <a:xfrm>
                                  <a:off x="0" y="0"/>
                                  <a:ext cx="2379980" cy="1784985"/>
                                </a:xfrm>
                                <a:prstGeom prst="rect">
                                  <a:avLst/>
                                </a:prstGeom>
                              </pic:spPr>
                            </pic:pic>
                          </a:graphicData>
                        </a:graphic>
                      </wp:inline>
                    </w:drawing>
                  </w:r>
                </w:p>
              </w:tc>
              <w:tc>
                <w:tcPr>
                  <w:tcW w:w="3973" w:type="dxa"/>
                </w:tcPr>
                <w:p w14:paraId="3EA81B09">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21" name="图片 21" descr="IMG202509111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20250911110345"/>
                                <pic:cNvPicPr>
                                  <a:picLocks noChangeAspect="1"/>
                                </pic:cNvPicPr>
                              </pic:nvPicPr>
                              <pic:blipFill>
                                <a:blip r:embed="rId23"/>
                                <a:stretch>
                                  <a:fillRect/>
                                </a:stretch>
                              </pic:blipFill>
                              <pic:spPr>
                                <a:xfrm>
                                  <a:off x="0" y="0"/>
                                  <a:ext cx="2362835" cy="1772285"/>
                                </a:xfrm>
                                <a:prstGeom prst="rect">
                                  <a:avLst/>
                                </a:prstGeom>
                              </pic:spPr>
                            </pic:pic>
                          </a:graphicData>
                        </a:graphic>
                      </wp:inline>
                    </w:drawing>
                  </w:r>
                </w:p>
              </w:tc>
            </w:tr>
            <w:tr w14:paraId="1860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07BE378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现有工程柴油发电机</w:t>
                  </w:r>
                </w:p>
              </w:tc>
              <w:tc>
                <w:tcPr>
                  <w:tcW w:w="3973" w:type="dxa"/>
                </w:tcPr>
                <w:p w14:paraId="17BE8135">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现有工程加油区及加油枪</w:t>
                  </w:r>
                </w:p>
              </w:tc>
            </w:tr>
            <w:tr w14:paraId="2ED1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1D37D6BF">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20" name="图片 20" descr="IMG202509111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20250911110131"/>
                                <pic:cNvPicPr>
                                  <a:picLocks noChangeAspect="1"/>
                                </pic:cNvPicPr>
                              </pic:nvPicPr>
                              <pic:blipFill>
                                <a:blip r:embed="rId24"/>
                                <a:stretch>
                                  <a:fillRect/>
                                </a:stretch>
                              </pic:blipFill>
                              <pic:spPr>
                                <a:xfrm>
                                  <a:off x="0" y="0"/>
                                  <a:ext cx="2362835" cy="1772285"/>
                                </a:xfrm>
                                <a:prstGeom prst="rect">
                                  <a:avLst/>
                                </a:prstGeom>
                              </pic:spPr>
                            </pic:pic>
                          </a:graphicData>
                        </a:graphic>
                      </wp:inline>
                    </w:drawing>
                  </w:r>
                </w:p>
              </w:tc>
              <w:tc>
                <w:tcPr>
                  <w:tcW w:w="3973" w:type="dxa"/>
                </w:tcPr>
                <w:p w14:paraId="452CC24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25" name="图片 25" descr="IMG2025091111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20250911110502"/>
                                <pic:cNvPicPr>
                                  <a:picLocks noChangeAspect="1"/>
                                </pic:cNvPicPr>
                              </pic:nvPicPr>
                              <pic:blipFill>
                                <a:blip r:embed="rId25"/>
                                <a:stretch>
                                  <a:fillRect/>
                                </a:stretch>
                              </pic:blipFill>
                              <pic:spPr>
                                <a:xfrm>
                                  <a:off x="0" y="0"/>
                                  <a:ext cx="2379980" cy="1784985"/>
                                </a:xfrm>
                                <a:prstGeom prst="rect">
                                  <a:avLst/>
                                </a:prstGeom>
                              </pic:spPr>
                            </pic:pic>
                          </a:graphicData>
                        </a:graphic>
                      </wp:inline>
                    </w:drawing>
                  </w:r>
                </w:p>
              </w:tc>
            </w:tr>
            <w:tr w14:paraId="3B9C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628CCBD0">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现有工程储气罐池（停用）</w:t>
                  </w:r>
                </w:p>
              </w:tc>
              <w:tc>
                <w:tcPr>
                  <w:tcW w:w="3973" w:type="dxa"/>
                </w:tcPr>
                <w:p w14:paraId="16B20900">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现有工程通气立管</w:t>
                  </w:r>
                </w:p>
              </w:tc>
            </w:tr>
            <w:tr w14:paraId="405D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087757D3">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26" name="图片 26" descr="IMG202509111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20250911110335"/>
                                <pic:cNvPicPr>
                                  <a:picLocks noChangeAspect="1"/>
                                </pic:cNvPicPr>
                              </pic:nvPicPr>
                              <pic:blipFill>
                                <a:blip r:embed="rId26"/>
                                <a:stretch>
                                  <a:fillRect/>
                                </a:stretch>
                              </pic:blipFill>
                              <pic:spPr>
                                <a:xfrm>
                                  <a:off x="0" y="0"/>
                                  <a:ext cx="2362835" cy="1772285"/>
                                </a:xfrm>
                                <a:prstGeom prst="rect">
                                  <a:avLst/>
                                </a:prstGeom>
                              </pic:spPr>
                            </pic:pic>
                          </a:graphicData>
                        </a:graphic>
                      </wp:inline>
                    </w:drawing>
                  </w:r>
                </w:p>
              </w:tc>
              <w:tc>
                <w:tcPr>
                  <w:tcW w:w="3973" w:type="dxa"/>
                </w:tcPr>
                <w:p w14:paraId="47E306E9">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27" name="图片 27" descr="IMG2025091110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20250911105825"/>
                                <pic:cNvPicPr>
                                  <a:picLocks noChangeAspect="1"/>
                                </pic:cNvPicPr>
                              </pic:nvPicPr>
                              <pic:blipFill>
                                <a:blip r:embed="rId27"/>
                                <a:stretch>
                                  <a:fillRect/>
                                </a:stretch>
                              </pic:blipFill>
                              <pic:spPr>
                                <a:xfrm>
                                  <a:off x="0" y="0"/>
                                  <a:ext cx="2362835" cy="1772285"/>
                                </a:xfrm>
                                <a:prstGeom prst="rect">
                                  <a:avLst/>
                                </a:prstGeom>
                              </pic:spPr>
                            </pic:pic>
                          </a:graphicData>
                        </a:graphic>
                      </wp:inline>
                    </w:drawing>
                  </w:r>
                </w:p>
              </w:tc>
            </w:tr>
            <w:tr w14:paraId="5A30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40E0D76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现有工程集水沟</w:t>
                  </w:r>
                </w:p>
              </w:tc>
              <w:tc>
                <w:tcPr>
                  <w:tcW w:w="3973" w:type="dxa"/>
                </w:tcPr>
                <w:p w14:paraId="36E9B091">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现有工程危废贮存点</w:t>
                  </w:r>
                </w:p>
              </w:tc>
            </w:tr>
            <w:tr w14:paraId="0335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2E5D4E5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28" name="图片 28" descr="IMG2025091111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20250911110141"/>
                                <pic:cNvPicPr>
                                  <a:picLocks noChangeAspect="1"/>
                                </pic:cNvPicPr>
                              </pic:nvPicPr>
                              <pic:blipFill>
                                <a:blip r:embed="rId28"/>
                                <a:stretch>
                                  <a:fillRect/>
                                </a:stretch>
                              </pic:blipFill>
                              <pic:spPr>
                                <a:xfrm>
                                  <a:off x="0" y="0"/>
                                  <a:ext cx="2379980" cy="1784985"/>
                                </a:xfrm>
                                <a:prstGeom prst="rect">
                                  <a:avLst/>
                                </a:prstGeom>
                              </pic:spPr>
                            </pic:pic>
                          </a:graphicData>
                        </a:graphic>
                      </wp:inline>
                    </w:drawing>
                  </w:r>
                </w:p>
              </w:tc>
              <w:tc>
                <w:tcPr>
                  <w:tcW w:w="3973" w:type="dxa"/>
                </w:tcPr>
                <w:p w14:paraId="3D01F2B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29" name="图片 29" descr="IMG20250911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20250911105520"/>
                                <pic:cNvPicPr>
                                  <a:picLocks noChangeAspect="1"/>
                                </pic:cNvPicPr>
                              </pic:nvPicPr>
                              <pic:blipFill>
                                <a:blip r:embed="rId29"/>
                                <a:stretch>
                                  <a:fillRect/>
                                </a:stretch>
                              </pic:blipFill>
                              <pic:spPr>
                                <a:xfrm>
                                  <a:off x="0" y="0"/>
                                  <a:ext cx="2379980" cy="1784985"/>
                                </a:xfrm>
                                <a:prstGeom prst="rect">
                                  <a:avLst/>
                                </a:prstGeom>
                              </pic:spPr>
                            </pic:pic>
                          </a:graphicData>
                        </a:graphic>
                      </wp:inline>
                    </w:drawing>
                  </w:r>
                </w:p>
              </w:tc>
            </w:tr>
            <w:tr w14:paraId="6F01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26E542F2">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现有工程储气罐（停用）</w:t>
                  </w:r>
                </w:p>
              </w:tc>
              <w:tc>
                <w:tcPr>
                  <w:tcW w:w="3973" w:type="dxa"/>
                </w:tcPr>
                <w:p w14:paraId="0A7321A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现有工程已有的汽车充电区域</w:t>
                  </w:r>
                </w:p>
              </w:tc>
            </w:tr>
            <w:tr w14:paraId="567E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082BB6D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23" name="图片 23" descr="IMG2025091111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20250911111434"/>
                                <pic:cNvPicPr>
                                  <a:picLocks noChangeAspect="1"/>
                                </pic:cNvPicPr>
                              </pic:nvPicPr>
                              <pic:blipFill>
                                <a:blip r:embed="rId30"/>
                                <a:stretch>
                                  <a:fillRect/>
                                </a:stretch>
                              </pic:blipFill>
                              <pic:spPr>
                                <a:xfrm>
                                  <a:off x="0" y="0"/>
                                  <a:ext cx="2379980" cy="1784985"/>
                                </a:xfrm>
                                <a:prstGeom prst="rect">
                                  <a:avLst/>
                                </a:prstGeom>
                              </pic:spPr>
                            </pic:pic>
                          </a:graphicData>
                        </a:graphic>
                      </wp:inline>
                    </w:drawing>
                  </w:r>
                </w:p>
              </w:tc>
              <w:tc>
                <w:tcPr>
                  <w:tcW w:w="3973" w:type="dxa"/>
                </w:tcPr>
                <w:p w14:paraId="1C1327F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24" name="图片 24" descr="IMG2025091111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20250911111555"/>
                                <pic:cNvPicPr>
                                  <a:picLocks noChangeAspect="1"/>
                                </pic:cNvPicPr>
                              </pic:nvPicPr>
                              <pic:blipFill>
                                <a:blip r:embed="rId31"/>
                                <a:stretch>
                                  <a:fillRect/>
                                </a:stretch>
                              </pic:blipFill>
                              <pic:spPr>
                                <a:xfrm>
                                  <a:off x="0" y="0"/>
                                  <a:ext cx="2379980" cy="1784985"/>
                                </a:xfrm>
                                <a:prstGeom prst="rect">
                                  <a:avLst/>
                                </a:prstGeom>
                              </pic:spPr>
                            </pic:pic>
                          </a:graphicData>
                        </a:graphic>
                      </wp:inline>
                    </w:drawing>
                  </w:r>
                </w:p>
              </w:tc>
            </w:tr>
            <w:tr w14:paraId="61DB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5A3A865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现有工程东侧地铁5号线及华福大道</w:t>
                  </w:r>
                </w:p>
              </w:tc>
              <w:tc>
                <w:tcPr>
                  <w:tcW w:w="3973" w:type="dxa"/>
                </w:tcPr>
                <w:p w14:paraId="0BBD2C83">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t>现有工程北侧重庆双鹰仓储物流园</w:t>
                  </w:r>
                </w:p>
              </w:tc>
            </w:tr>
            <w:tr w14:paraId="441A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09A280A1">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79980" cy="1784985"/>
                        <wp:effectExtent l="0" t="0" r="1270" b="5715"/>
                        <wp:docPr id="30" name="图片 30" descr="IMG2025091111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20250911111603"/>
                                <pic:cNvPicPr>
                                  <a:picLocks noChangeAspect="1"/>
                                </pic:cNvPicPr>
                              </pic:nvPicPr>
                              <pic:blipFill>
                                <a:blip r:embed="rId32"/>
                                <a:stretch>
                                  <a:fillRect/>
                                </a:stretch>
                              </pic:blipFill>
                              <pic:spPr>
                                <a:xfrm>
                                  <a:off x="0" y="0"/>
                                  <a:ext cx="2379980" cy="1784985"/>
                                </a:xfrm>
                                <a:prstGeom prst="rect">
                                  <a:avLst/>
                                </a:prstGeom>
                              </pic:spPr>
                            </pic:pic>
                          </a:graphicData>
                        </a:graphic>
                      </wp:inline>
                    </w:drawing>
                  </w:r>
                </w:p>
              </w:tc>
              <w:tc>
                <w:tcPr>
                  <w:tcW w:w="3973" w:type="dxa"/>
                </w:tcPr>
                <w:p w14:paraId="0C8A67ED">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ascii="Times New Roman" w:hAnsi="Times New Roman" w:eastAsia="宋体" w:cs="Times New Roman"/>
                      <w:sz w:val="22"/>
                      <w:szCs w:val="24"/>
                      <w:vertAlign w:val="baseline"/>
                      <w:lang w:val="en-US" w:eastAsia="zh-CN"/>
                    </w:rPr>
                    <w:drawing>
                      <wp:inline distT="0" distB="0" distL="114300" distR="114300">
                        <wp:extent cx="2362835" cy="1772285"/>
                        <wp:effectExtent l="0" t="0" r="18415" b="18415"/>
                        <wp:docPr id="31" name="图片 31" descr="IMG2025091111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20250911111446"/>
                                <pic:cNvPicPr>
                                  <a:picLocks noChangeAspect="1"/>
                                </pic:cNvPicPr>
                              </pic:nvPicPr>
                              <pic:blipFill>
                                <a:blip r:embed="rId33"/>
                                <a:stretch>
                                  <a:fillRect/>
                                </a:stretch>
                              </pic:blipFill>
                              <pic:spPr>
                                <a:xfrm>
                                  <a:off x="0" y="0"/>
                                  <a:ext cx="2362835" cy="1772285"/>
                                </a:xfrm>
                                <a:prstGeom prst="rect">
                                  <a:avLst/>
                                </a:prstGeom>
                              </pic:spPr>
                            </pic:pic>
                          </a:graphicData>
                        </a:graphic>
                      </wp:inline>
                    </w:drawing>
                  </w:r>
                </w:p>
              </w:tc>
            </w:tr>
            <w:tr w14:paraId="03DD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65B9680E">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kern w:val="0"/>
                      <w:sz w:val="22"/>
                      <w:szCs w:val="22"/>
                      <w:lang w:val="en-US" w:eastAsia="zh-CN"/>
                    </w:rPr>
                    <w:t>重庆隆发（渝荣）货运代理有限公司</w:t>
                  </w:r>
                </w:p>
              </w:tc>
              <w:tc>
                <w:tcPr>
                  <w:tcW w:w="3973" w:type="dxa"/>
                </w:tcPr>
                <w:p w14:paraId="177C7D4D">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sz w:val="22"/>
                      <w:szCs w:val="24"/>
                      <w:vertAlign w:val="baseline"/>
                      <w:lang w:val="en-US" w:eastAsia="zh-CN"/>
                    </w:rPr>
                  </w:pPr>
                  <w:r>
                    <w:rPr>
                      <w:rFonts w:hint="eastAsia"/>
                      <w:kern w:val="0"/>
                      <w:sz w:val="22"/>
                      <w:szCs w:val="22"/>
                      <w:lang w:val="en-US" w:eastAsia="zh-CN"/>
                    </w:rPr>
                    <w:t>恒通国际汽摩城</w:t>
                  </w:r>
                </w:p>
              </w:tc>
            </w:tr>
            <w:tr w14:paraId="7C27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6014104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kern w:val="0"/>
                      <w:sz w:val="22"/>
                      <w:szCs w:val="22"/>
                      <w:lang w:val="en-US" w:eastAsia="zh-CN"/>
                    </w:rPr>
                  </w:pPr>
                  <w:r>
                    <w:rPr>
                      <w:rFonts w:hint="eastAsia"/>
                      <w:kern w:val="0"/>
                      <w:sz w:val="22"/>
                      <w:szCs w:val="22"/>
                      <w:lang w:val="en-US" w:eastAsia="zh-CN"/>
                    </w:rPr>
                    <w:drawing>
                      <wp:inline distT="0" distB="0" distL="114300" distR="114300">
                        <wp:extent cx="2379980" cy="1784985"/>
                        <wp:effectExtent l="0" t="0" r="1270" b="5715"/>
                        <wp:docPr id="33" name="图片 33" descr="IMG2025092013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20250920135321"/>
                                <pic:cNvPicPr>
                                  <a:picLocks noChangeAspect="1"/>
                                </pic:cNvPicPr>
                              </pic:nvPicPr>
                              <pic:blipFill>
                                <a:blip r:embed="rId34"/>
                                <a:stretch>
                                  <a:fillRect/>
                                </a:stretch>
                              </pic:blipFill>
                              <pic:spPr>
                                <a:xfrm>
                                  <a:off x="0" y="0"/>
                                  <a:ext cx="2379980" cy="1784985"/>
                                </a:xfrm>
                                <a:prstGeom prst="rect">
                                  <a:avLst/>
                                </a:prstGeom>
                              </pic:spPr>
                            </pic:pic>
                          </a:graphicData>
                        </a:graphic>
                      </wp:inline>
                    </w:drawing>
                  </w:r>
                </w:p>
              </w:tc>
              <w:tc>
                <w:tcPr>
                  <w:tcW w:w="3973" w:type="dxa"/>
                </w:tcPr>
                <w:p w14:paraId="42FA7E3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kern w:val="0"/>
                      <w:sz w:val="22"/>
                      <w:szCs w:val="22"/>
                      <w:lang w:val="en-US" w:eastAsia="zh-CN"/>
                    </w:rPr>
                  </w:pPr>
                  <w:r>
                    <w:rPr>
                      <w:rFonts w:hint="eastAsia"/>
                      <w:kern w:val="0"/>
                      <w:sz w:val="22"/>
                      <w:szCs w:val="22"/>
                      <w:lang w:val="en-US" w:eastAsia="zh-CN"/>
                    </w:rPr>
                    <w:drawing>
                      <wp:inline distT="0" distB="0" distL="114300" distR="114300">
                        <wp:extent cx="2379980" cy="1784985"/>
                        <wp:effectExtent l="0" t="0" r="1270" b="5715"/>
                        <wp:docPr id="34" name="图片 34" descr="IMG2025091111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20250911111054"/>
                                <pic:cNvPicPr>
                                  <a:picLocks noChangeAspect="1"/>
                                </pic:cNvPicPr>
                              </pic:nvPicPr>
                              <pic:blipFill>
                                <a:blip r:embed="rId35"/>
                                <a:stretch>
                                  <a:fillRect/>
                                </a:stretch>
                              </pic:blipFill>
                              <pic:spPr>
                                <a:xfrm>
                                  <a:off x="0" y="0"/>
                                  <a:ext cx="2379980" cy="1784985"/>
                                </a:xfrm>
                                <a:prstGeom prst="rect">
                                  <a:avLst/>
                                </a:prstGeom>
                              </pic:spPr>
                            </pic:pic>
                          </a:graphicData>
                        </a:graphic>
                      </wp:inline>
                    </w:drawing>
                  </w:r>
                </w:p>
              </w:tc>
            </w:tr>
            <w:tr w14:paraId="2AED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17E84044">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kern w:val="0"/>
                      <w:sz w:val="22"/>
                      <w:szCs w:val="22"/>
                      <w:lang w:val="en-US" w:eastAsia="zh-CN"/>
                    </w:rPr>
                  </w:pPr>
                  <w:r>
                    <w:rPr>
                      <w:rFonts w:hint="eastAsia"/>
                      <w:kern w:val="0"/>
                      <w:sz w:val="22"/>
                      <w:szCs w:val="22"/>
                      <w:lang w:val="en-US" w:eastAsia="zh-CN"/>
                    </w:rPr>
                    <w:t>现有工程柴油发电机专用管道</w:t>
                  </w:r>
                </w:p>
              </w:tc>
              <w:tc>
                <w:tcPr>
                  <w:tcW w:w="3973" w:type="dxa"/>
                </w:tcPr>
                <w:p w14:paraId="2687A10B">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kern w:val="0"/>
                      <w:sz w:val="22"/>
                      <w:szCs w:val="22"/>
                      <w:lang w:val="en-US" w:eastAsia="zh-CN"/>
                    </w:rPr>
                  </w:pPr>
                  <w:r>
                    <w:rPr>
                      <w:rFonts w:hint="eastAsia"/>
                      <w:kern w:val="0"/>
                      <w:sz w:val="22"/>
                      <w:szCs w:val="22"/>
                      <w:lang w:val="en-US" w:eastAsia="zh-CN"/>
                    </w:rPr>
                    <w:t>现有工程周边已有的污水管</w:t>
                  </w:r>
                </w:p>
              </w:tc>
            </w:tr>
          </w:tbl>
          <w:p w14:paraId="6D914B56">
            <w:pPr>
              <w:pStyle w:val="7"/>
              <w:rPr>
                <w:rFonts w:hint="eastAsia"/>
              </w:rPr>
            </w:pPr>
          </w:p>
          <w:p w14:paraId="68E48D17">
            <w:pPr>
              <w:pStyle w:val="23"/>
              <w:rPr>
                <w:color w:val="auto"/>
              </w:rPr>
            </w:pPr>
          </w:p>
        </w:tc>
      </w:tr>
    </w:tbl>
    <w:p w14:paraId="2A402DE2">
      <w:pPr>
        <w:jc w:val="center"/>
        <w:rPr>
          <w:rFonts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B2D040D">
      <w:pPr>
        <w:adjustRightInd w:val="0"/>
        <w:snapToGrid w:val="0"/>
        <w:spacing w:line="14" w:lineRule="auto"/>
        <w:jc w:val="center"/>
        <w:outlineLvl w:val="0"/>
        <w:rPr>
          <w:rFonts w:eastAsia="黑体"/>
          <w:snapToGrid w:val="0"/>
          <w:sz w:val="30"/>
          <w:szCs w:val="30"/>
        </w:rPr>
      </w:pPr>
    </w:p>
    <w:p w14:paraId="09015578">
      <w:pPr>
        <w:jc w:val="center"/>
        <w:outlineLvl w:val="0"/>
        <w:rPr>
          <w:rFonts w:eastAsia="黑体"/>
          <w:snapToGrid w:val="0"/>
          <w:sz w:val="30"/>
          <w:szCs w:val="30"/>
        </w:rPr>
      </w:pPr>
      <w:r>
        <w:rPr>
          <w:rFonts w:eastAsia="黑体"/>
          <w:snapToGrid w:val="0"/>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86A3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1" w:hRule="atLeast"/>
          <w:jc w:val="center"/>
        </w:trPr>
        <w:tc>
          <w:tcPr>
            <w:tcW w:w="800" w:type="dxa"/>
            <w:vAlign w:val="center"/>
          </w:tcPr>
          <w:p w14:paraId="1338A20E">
            <w:pPr>
              <w:adjustRightInd w:val="0"/>
              <w:snapToGrid w:val="0"/>
              <w:jc w:val="center"/>
              <w:rPr>
                <w:kern w:val="0"/>
                <w:sz w:val="26"/>
                <w:szCs w:val="26"/>
              </w:rPr>
            </w:pPr>
            <w:r>
              <w:rPr>
                <w:kern w:val="0"/>
                <w:sz w:val="26"/>
                <w:szCs w:val="26"/>
              </w:rPr>
              <w:t>区域</w:t>
            </w:r>
          </w:p>
          <w:p w14:paraId="7EADB52B">
            <w:pPr>
              <w:adjustRightInd w:val="0"/>
              <w:snapToGrid w:val="0"/>
              <w:jc w:val="center"/>
              <w:rPr>
                <w:kern w:val="0"/>
                <w:sz w:val="26"/>
                <w:szCs w:val="26"/>
              </w:rPr>
            </w:pPr>
            <w:r>
              <w:rPr>
                <w:kern w:val="0"/>
                <w:sz w:val="26"/>
                <w:szCs w:val="26"/>
              </w:rPr>
              <w:t>环境</w:t>
            </w:r>
          </w:p>
          <w:p w14:paraId="690C3AC3">
            <w:pPr>
              <w:adjustRightInd w:val="0"/>
              <w:snapToGrid w:val="0"/>
              <w:jc w:val="center"/>
              <w:rPr>
                <w:kern w:val="0"/>
                <w:sz w:val="26"/>
                <w:szCs w:val="26"/>
              </w:rPr>
            </w:pPr>
            <w:r>
              <w:rPr>
                <w:kern w:val="0"/>
                <w:sz w:val="26"/>
                <w:szCs w:val="26"/>
              </w:rPr>
              <w:t>质量</w:t>
            </w:r>
          </w:p>
          <w:p w14:paraId="15374CB2">
            <w:pPr>
              <w:adjustRightInd w:val="0"/>
              <w:snapToGrid w:val="0"/>
              <w:jc w:val="center"/>
              <w:rPr>
                <w:kern w:val="0"/>
                <w:szCs w:val="21"/>
              </w:rPr>
            </w:pPr>
            <w:r>
              <w:rPr>
                <w:kern w:val="0"/>
                <w:sz w:val="26"/>
                <w:szCs w:val="26"/>
              </w:rPr>
              <w:t>现状</w:t>
            </w:r>
          </w:p>
        </w:tc>
        <w:tc>
          <w:tcPr>
            <w:tcW w:w="8190" w:type="dxa"/>
            <w:vAlign w:val="center"/>
          </w:tcPr>
          <w:p w14:paraId="0585F3D4">
            <w:pPr>
              <w:adjustRightInd w:val="0"/>
              <w:snapToGrid w:val="0"/>
              <w:spacing w:line="460" w:lineRule="exact"/>
              <w:jc w:val="left"/>
              <w:rPr>
                <w:b/>
                <w:bCs/>
                <w:sz w:val="26"/>
                <w:szCs w:val="26"/>
              </w:rPr>
            </w:pPr>
            <w:r>
              <w:rPr>
                <w:b/>
                <w:bCs/>
                <w:sz w:val="26"/>
                <w:szCs w:val="26"/>
              </w:rPr>
              <w:t>3.1区域环境质量现状</w:t>
            </w:r>
          </w:p>
          <w:p w14:paraId="7EE7B11A">
            <w:pPr>
              <w:adjustRightInd w:val="0"/>
              <w:snapToGrid w:val="0"/>
              <w:spacing w:line="460" w:lineRule="exact"/>
              <w:jc w:val="left"/>
              <w:rPr>
                <w:b/>
                <w:sz w:val="26"/>
                <w:szCs w:val="26"/>
              </w:rPr>
            </w:pPr>
            <w:r>
              <w:rPr>
                <w:b/>
                <w:sz w:val="26"/>
                <w:szCs w:val="26"/>
              </w:rPr>
              <w:t>3.1.1大气环境</w:t>
            </w:r>
          </w:p>
          <w:p w14:paraId="11957EA0">
            <w:pPr>
              <w:adjustRightInd w:val="0"/>
              <w:snapToGrid w:val="0"/>
              <w:spacing w:line="460" w:lineRule="exact"/>
              <w:ind w:firstLine="520" w:firstLineChars="200"/>
              <w:rPr>
                <w:sz w:val="26"/>
                <w:szCs w:val="26"/>
              </w:rPr>
            </w:pPr>
            <w:r>
              <w:rPr>
                <w:rFonts w:hint="eastAsia"/>
                <w:sz w:val="26"/>
                <w:szCs w:val="26"/>
              </w:rPr>
              <w:t>（1）区域达标判断</w:t>
            </w:r>
          </w:p>
          <w:p w14:paraId="2F277088">
            <w:pPr>
              <w:adjustRightInd w:val="0"/>
              <w:snapToGrid w:val="0"/>
              <w:spacing w:line="460" w:lineRule="exact"/>
              <w:ind w:firstLine="520" w:firstLineChars="200"/>
              <w:rPr>
                <w:sz w:val="26"/>
                <w:szCs w:val="26"/>
              </w:rPr>
            </w:pPr>
            <w:r>
              <w:rPr>
                <w:rFonts w:hint="eastAsia"/>
                <w:sz w:val="26"/>
                <w:szCs w:val="26"/>
              </w:rPr>
              <w:t>本项目位于重庆市</w:t>
            </w:r>
            <w:r>
              <w:rPr>
                <w:rFonts w:hint="eastAsia"/>
                <w:sz w:val="26"/>
                <w:szCs w:val="26"/>
                <w:lang w:val="en-US" w:eastAsia="zh-CN"/>
              </w:rPr>
              <w:t>九龙坡</w:t>
            </w:r>
            <w:r>
              <w:rPr>
                <w:rFonts w:hint="eastAsia"/>
                <w:sz w:val="26"/>
                <w:szCs w:val="26"/>
              </w:rPr>
              <w:t>区，</w:t>
            </w:r>
            <w:r>
              <w:rPr>
                <w:sz w:val="26"/>
                <w:szCs w:val="26"/>
              </w:rPr>
              <w:t>根据《重庆市人民政府关于印发&lt;重庆市环境空气质量功能区划分规定&gt;的通知》（渝府发〔2016〕19号），项目所在区域属二类功能区</w:t>
            </w:r>
            <w:r>
              <w:rPr>
                <w:rFonts w:hint="eastAsia"/>
                <w:sz w:val="26"/>
                <w:szCs w:val="26"/>
              </w:rPr>
              <w:t>，</w:t>
            </w:r>
            <w:r>
              <w:rPr>
                <w:sz w:val="26"/>
                <w:szCs w:val="26"/>
              </w:rPr>
              <w:t>环境空气质量执行《环境空气质量标准》（GB3095-2012）中的二级标准。</w:t>
            </w:r>
          </w:p>
          <w:p w14:paraId="1714D1EC">
            <w:pPr>
              <w:spacing w:line="460" w:lineRule="exact"/>
              <w:ind w:firstLine="520"/>
              <w:rPr>
                <w:sz w:val="26"/>
                <w:szCs w:val="26"/>
              </w:rPr>
            </w:pPr>
            <w:r>
              <w:rPr>
                <w:sz w:val="26"/>
                <w:szCs w:val="26"/>
              </w:rPr>
              <w:t>本次评价基本污染物采用重庆市生态环境局公布的</w:t>
            </w:r>
            <w:r>
              <w:rPr>
                <w:rStyle w:val="29"/>
                <w:bCs/>
                <w:sz w:val="26"/>
                <w:szCs w:val="26"/>
              </w:rPr>
              <w:t>《202</w:t>
            </w:r>
            <w:r>
              <w:rPr>
                <w:rStyle w:val="29"/>
                <w:rFonts w:hint="eastAsia"/>
                <w:bCs/>
                <w:sz w:val="26"/>
                <w:szCs w:val="26"/>
              </w:rPr>
              <w:t>4</w:t>
            </w:r>
            <w:r>
              <w:rPr>
                <w:rStyle w:val="29"/>
                <w:bCs/>
                <w:sz w:val="26"/>
                <w:szCs w:val="26"/>
              </w:rPr>
              <w:t>年重庆市环境状况公报》</w:t>
            </w:r>
            <w:r>
              <w:rPr>
                <w:bCs/>
                <w:sz w:val="26"/>
                <w:szCs w:val="26"/>
              </w:rPr>
              <w:t>中</w:t>
            </w:r>
            <w:r>
              <w:rPr>
                <w:rFonts w:hint="eastAsia"/>
                <w:bCs/>
                <w:sz w:val="26"/>
                <w:szCs w:val="26"/>
                <w:lang w:val="en-US" w:eastAsia="zh-CN"/>
              </w:rPr>
              <w:t>九龙坡</w:t>
            </w:r>
            <w:r>
              <w:rPr>
                <w:rFonts w:hint="eastAsia"/>
                <w:bCs/>
                <w:sz w:val="26"/>
                <w:szCs w:val="26"/>
              </w:rPr>
              <w:t>区</w:t>
            </w:r>
            <w:r>
              <w:rPr>
                <w:bCs/>
                <w:sz w:val="26"/>
                <w:szCs w:val="26"/>
              </w:rPr>
              <w:t>环境空气质量现状</w:t>
            </w:r>
            <w:r>
              <w:rPr>
                <w:rFonts w:hint="eastAsia"/>
                <w:bCs/>
                <w:sz w:val="26"/>
                <w:szCs w:val="26"/>
              </w:rPr>
              <w:t>数据</w:t>
            </w:r>
            <w:r>
              <w:rPr>
                <w:rFonts w:hint="eastAsia"/>
                <w:sz w:val="26"/>
                <w:szCs w:val="26"/>
              </w:rPr>
              <w:t>。</w:t>
            </w:r>
            <w:r>
              <w:rPr>
                <w:sz w:val="26"/>
                <w:szCs w:val="26"/>
              </w:rPr>
              <w:t>区域空气环境现状评价见表3.1-1。</w:t>
            </w:r>
          </w:p>
          <w:p w14:paraId="14C60D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sz w:val="22"/>
                <w:szCs w:val="22"/>
              </w:rPr>
            </w:pPr>
            <w:r>
              <w:rPr>
                <w:sz w:val="22"/>
                <w:szCs w:val="22"/>
              </w:rPr>
              <w:t>表3.1-1</w:t>
            </w:r>
            <w:r>
              <w:rPr>
                <w:rFonts w:hint="eastAsia"/>
                <w:sz w:val="22"/>
                <w:szCs w:val="22"/>
                <w:lang w:val="en-US" w:eastAsia="zh-CN"/>
              </w:rPr>
              <w:t xml:space="preserve">  </w:t>
            </w:r>
            <w:r>
              <w:rPr>
                <w:sz w:val="22"/>
                <w:szCs w:val="22"/>
              </w:rPr>
              <w:t>区域环境空气质量现状评价表</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927"/>
              <w:gridCol w:w="2460"/>
              <w:gridCol w:w="1335"/>
              <w:gridCol w:w="1180"/>
              <w:gridCol w:w="967"/>
              <w:gridCol w:w="1092"/>
            </w:tblGrid>
            <w:tr w14:paraId="14681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43" w:hRule="atLeast"/>
              </w:trPr>
              <w:tc>
                <w:tcPr>
                  <w:tcW w:w="582" w:type="pct"/>
                  <w:noWrap w:val="0"/>
                  <w:vAlign w:val="center"/>
                </w:tcPr>
                <w:p w14:paraId="13E2F92D">
                  <w:pPr>
                    <w:pStyle w:val="54"/>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污染物</w:t>
                  </w:r>
                </w:p>
              </w:tc>
              <w:tc>
                <w:tcPr>
                  <w:tcW w:w="1544" w:type="pct"/>
                  <w:noWrap w:val="0"/>
                  <w:vAlign w:val="center"/>
                </w:tcPr>
                <w:p w14:paraId="18CA10AC">
                  <w:pPr>
                    <w:pStyle w:val="54"/>
                    <w:ind w:left="7"/>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年评价指标</w:t>
                  </w:r>
                </w:p>
              </w:tc>
              <w:tc>
                <w:tcPr>
                  <w:tcW w:w="838" w:type="pct"/>
                  <w:noWrap w:val="0"/>
                  <w:vAlign w:val="center"/>
                </w:tcPr>
                <w:p w14:paraId="3301C884">
                  <w:pPr>
                    <w:pStyle w:val="54"/>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现状浓度（µg/m</w:t>
                  </w:r>
                  <w:r>
                    <w:rPr>
                      <w:rFonts w:hint="default" w:ascii="Times New Roman" w:hAnsi="Times New Roman" w:eastAsia="宋体" w:cs="Times New Roman"/>
                      <w:b w:val="0"/>
                      <w:bCs w:val="0"/>
                      <w:color w:val="auto"/>
                      <w:sz w:val="22"/>
                      <w:szCs w:val="22"/>
                      <w:vertAlign w:val="superscript"/>
                    </w:rPr>
                    <w:t>3</w:t>
                  </w:r>
                  <w:r>
                    <w:rPr>
                      <w:rFonts w:hint="default" w:ascii="Times New Roman" w:hAnsi="Times New Roman" w:eastAsia="宋体" w:cs="Times New Roman"/>
                      <w:b w:val="0"/>
                      <w:bCs w:val="0"/>
                      <w:color w:val="auto"/>
                      <w:sz w:val="22"/>
                      <w:szCs w:val="22"/>
                    </w:rPr>
                    <w:t>）</w:t>
                  </w:r>
                </w:p>
              </w:tc>
              <w:tc>
                <w:tcPr>
                  <w:tcW w:w="741" w:type="pct"/>
                  <w:noWrap w:val="0"/>
                  <w:vAlign w:val="center"/>
                </w:tcPr>
                <w:p w14:paraId="3F6B1A75">
                  <w:pPr>
                    <w:pStyle w:val="54"/>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标准值（µg/m</w:t>
                  </w:r>
                  <w:r>
                    <w:rPr>
                      <w:rFonts w:hint="default" w:ascii="Times New Roman" w:hAnsi="Times New Roman" w:eastAsia="宋体" w:cs="Times New Roman"/>
                      <w:b w:val="0"/>
                      <w:bCs w:val="0"/>
                      <w:color w:val="auto"/>
                      <w:sz w:val="22"/>
                      <w:szCs w:val="22"/>
                      <w:vertAlign w:val="superscript"/>
                    </w:rPr>
                    <w:t>3</w:t>
                  </w:r>
                  <w:r>
                    <w:rPr>
                      <w:rFonts w:hint="default" w:ascii="Times New Roman" w:hAnsi="Times New Roman" w:eastAsia="宋体" w:cs="Times New Roman"/>
                      <w:b w:val="0"/>
                      <w:bCs w:val="0"/>
                      <w:color w:val="auto"/>
                      <w:sz w:val="22"/>
                      <w:szCs w:val="22"/>
                    </w:rPr>
                    <w:t>）</w:t>
                  </w:r>
                </w:p>
              </w:tc>
              <w:tc>
                <w:tcPr>
                  <w:tcW w:w="607" w:type="pct"/>
                  <w:noWrap w:val="0"/>
                  <w:vAlign w:val="center"/>
                </w:tcPr>
                <w:p w14:paraId="6135A039">
                  <w:pPr>
                    <w:pStyle w:val="54"/>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占标率</w:t>
                  </w:r>
                  <w:r>
                    <w:rPr>
                      <w:rFonts w:hint="default" w:ascii="Times New Roman" w:hAnsi="Times New Roman" w:eastAsia="宋体" w:cs="Times New Roman"/>
                      <w:b w:val="0"/>
                      <w:bCs w:val="0"/>
                      <w:color w:val="auto"/>
                      <w:sz w:val="22"/>
                      <w:szCs w:val="22"/>
                      <w:lang w:eastAsia="zh-CN"/>
                    </w:rPr>
                    <w:t>（</w:t>
                  </w:r>
                  <w:r>
                    <w:rPr>
                      <w:rFonts w:hint="default" w:ascii="Times New Roman" w:hAnsi="Times New Roman" w:eastAsia="宋体" w:cs="Times New Roman"/>
                      <w:b w:val="0"/>
                      <w:bCs w:val="0"/>
                      <w:color w:val="auto"/>
                      <w:sz w:val="22"/>
                      <w:szCs w:val="22"/>
                    </w:rPr>
                    <w:t>%</w:t>
                  </w:r>
                  <w:r>
                    <w:rPr>
                      <w:rFonts w:hint="default" w:ascii="Times New Roman" w:hAnsi="Times New Roman" w:eastAsia="宋体" w:cs="Times New Roman"/>
                      <w:b w:val="0"/>
                      <w:bCs w:val="0"/>
                      <w:color w:val="auto"/>
                      <w:sz w:val="22"/>
                      <w:szCs w:val="22"/>
                      <w:lang w:eastAsia="zh-CN"/>
                    </w:rPr>
                    <w:t>）</w:t>
                  </w:r>
                </w:p>
              </w:tc>
              <w:tc>
                <w:tcPr>
                  <w:tcW w:w="685" w:type="pct"/>
                  <w:noWrap w:val="0"/>
                  <w:vAlign w:val="center"/>
                </w:tcPr>
                <w:p w14:paraId="2BBDD4AA">
                  <w:pPr>
                    <w:pStyle w:val="54"/>
                    <w:jc w:val="center"/>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达标情况</w:t>
                  </w:r>
                </w:p>
              </w:tc>
            </w:tr>
            <w:tr w14:paraId="74668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33" w:hRule="atLeast"/>
              </w:trPr>
              <w:tc>
                <w:tcPr>
                  <w:tcW w:w="582" w:type="pct"/>
                  <w:noWrap w:val="0"/>
                  <w:vAlign w:val="center"/>
                </w:tcPr>
                <w:p w14:paraId="6C1F0AF5">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PM</w:t>
                  </w:r>
                  <w:r>
                    <w:rPr>
                      <w:rFonts w:hint="default" w:ascii="Times New Roman" w:hAnsi="Times New Roman" w:eastAsia="宋体" w:cs="Times New Roman"/>
                      <w:color w:val="auto"/>
                      <w:sz w:val="22"/>
                      <w:szCs w:val="22"/>
                      <w:vertAlign w:val="subscript"/>
                    </w:rPr>
                    <w:t>10</w:t>
                  </w:r>
                </w:p>
              </w:tc>
              <w:tc>
                <w:tcPr>
                  <w:tcW w:w="1544" w:type="pct"/>
                  <w:vMerge w:val="restart"/>
                  <w:noWrap w:val="0"/>
                  <w:vAlign w:val="center"/>
                </w:tcPr>
                <w:p w14:paraId="11886BBE">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年平均质量浓度</w:t>
                  </w:r>
                </w:p>
              </w:tc>
              <w:tc>
                <w:tcPr>
                  <w:tcW w:w="838" w:type="pct"/>
                  <w:noWrap w:val="0"/>
                  <w:vAlign w:val="center"/>
                </w:tcPr>
                <w:p w14:paraId="0A76AA01">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51</w:t>
                  </w:r>
                </w:p>
              </w:tc>
              <w:tc>
                <w:tcPr>
                  <w:tcW w:w="741" w:type="pct"/>
                  <w:noWrap w:val="0"/>
                  <w:vAlign w:val="center"/>
                </w:tcPr>
                <w:p w14:paraId="23BD2BD4">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w:t>
                  </w:r>
                </w:p>
              </w:tc>
              <w:tc>
                <w:tcPr>
                  <w:tcW w:w="1032" w:type="dxa"/>
                  <w:noWrap w:val="0"/>
                  <w:vAlign w:val="center"/>
                </w:tcPr>
                <w:p w14:paraId="3D667EA0">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72.8</w:t>
                  </w:r>
                </w:p>
              </w:tc>
              <w:tc>
                <w:tcPr>
                  <w:tcW w:w="685" w:type="pct"/>
                  <w:noWrap w:val="0"/>
                  <w:vAlign w:val="center"/>
                </w:tcPr>
                <w:p w14:paraId="3C37D1FB">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达标</w:t>
                  </w:r>
                </w:p>
              </w:tc>
            </w:tr>
            <w:tr w14:paraId="10786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32" w:hRule="atLeast"/>
              </w:trPr>
              <w:tc>
                <w:tcPr>
                  <w:tcW w:w="582" w:type="pct"/>
                  <w:noWrap w:val="0"/>
                  <w:vAlign w:val="center"/>
                </w:tcPr>
                <w:p w14:paraId="65537E01">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PM</w:t>
                  </w:r>
                  <w:r>
                    <w:rPr>
                      <w:rFonts w:hint="default" w:ascii="Times New Roman" w:hAnsi="Times New Roman" w:eastAsia="宋体" w:cs="Times New Roman"/>
                      <w:color w:val="auto"/>
                      <w:sz w:val="22"/>
                      <w:szCs w:val="22"/>
                      <w:vertAlign w:val="subscript"/>
                    </w:rPr>
                    <w:t>2.5</w:t>
                  </w:r>
                </w:p>
              </w:tc>
              <w:tc>
                <w:tcPr>
                  <w:tcW w:w="1544" w:type="pct"/>
                  <w:vMerge w:val="continue"/>
                  <w:noWrap w:val="0"/>
                  <w:vAlign w:val="center"/>
                </w:tcPr>
                <w:p w14:paraId="1FF3E8DB">
                  <w:pPr>
                    <w:jc w:val="center"/>
                    <w:rPr>
                      <w:rFonts w:hint="default" w:ascii="Times New Roman" w:hAnsi="Times New Roman" w:eastAsia="宋体" w:cs="Times New Roman"/>
                      <w:color w:val="auto"/>
                      <w:sz w:val="22"/>
                      <w:szCs w:val="22"/>
                    </w:rPr>
                  </w:pPr>
                </w:p>
              </w:tc>
              <w:tc>
                <w:tcPr>
                  <w:tcW w:w="838" w:type="pct"/>
                  <w:noWrap w:val="0"/>
                  <w:vAlign w:val="center"/>
                </w:tcPr>
                <w:p w14:paraId="23396346">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32.3</w:t>
                  </w:r>
                </w:p>
              </w:tc>
              <w:tc>
                <w:tcPr>
                  <w:tcW w:w="741" w:type="pct"/>
                  <w:noWrap w:val="0"/>
                  <w:vAlign w:val="center"/>
                </w:tcPr>
                <w:p w14:paraId="7AF0224E">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35</w:t>
                  </w:r>
                </w:p>
              </w:tc>
              <w:tc>
                <w:tcPr>
                  <w:tcW w:w="1032" w:type="dxa"/>
                  <w:noWrap w:val="0"/>
                  <w:vAlign w:val="center"/>
                </w:tcPr>
                <w:p w14:paraId="2B2AD6D5">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92.3</w:t>
                  </w:r>
                </w:p>
              </w:tc>
              <w:tc>
                <w:tcPr>
                  <w:tcW w:w="685" w:type="pct"/>
                  <w:noWrap w:val="0"/>
                  <w:vAlign w:val="center"/>
                </w:tcPr>
                <w:p w14:paraId="02CA01B1">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达标</w:t>
                  </w:r>
                </w:p>
              </w:tc>
            </w:tr>
            <w:tr w14:paraId="06EAD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32" w:hRule="atLeast"/>
              </w:trPr>
              <w:tc>
                <w:tcPr>
                  <w:tcW w:w="582" w:type="pct"/>
                  <w:noWrap w:val="0"/>
                  <w:vAlign w:val="center"/>
                </w:tcPr>
                <w:p w14:paraId="33251152">
                  <w:pPr>
                    <w:pStyle w:val="54"/>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sz w:val="22"/>
                      <w:szCs w:val="22"/>
                    </w:rPr>
                    <w:t>SO</w:t>
                  </w:r>
                  <w:r>
                    <w:rPr>
                      <w:rFonts w:hint="default" w:ascii="Times New Roman" w:hAnsi="Times New Roman" w:eastAsia="宋体" w:cs="Times New Roman"/>
                      <w:color w:val="auto"/>
                      <w:sz w:val="22"/>
                      <w:szCs w:val="22"/>
                      <w:vertAlign w:val="subscript"/>
                    </w:rPr>
                    <w:t>2</w:t>
                  </w:r>
                </w:p>
              </w:tc>
              <w:tc>
                <w:tcPr>
                  <w:tcW w:w="1544" w:type="pct"/>
                  <w:vMerge w:val="continue"/>
                  <w:noWrap w:val="0"/>
                  <w:vAlign w:val="center"/>
                </w:tcPr>
                <w:p w14:paraId="5CAFF1A2">
                  <w:pPr>
                    <w:jc w:val="center"/>
                    <w:rPr>
                      <w:rFonts w:hint="default" w:ascii="Times New Roman" w:hAnsi="Times New Roman" w:eastAsia="宋体" w:cs="Times New Roman"/>
                      <w:color w:val="auto"/>
                      <w:sz w:val="22"/>
                      <w:szCs w:val="22"/>
                    </w:rPr>
                  </w:pPr>
                </w:p>
              </w:tc>
              <w:tc>
                <w:tcPr>
                  <w:tcW w:w="838" w:type="pct"/>
                  <w:noWrap w:val="0"/>
                  <w:vAlign w:val="center"/>
                </w:tcPr>
                <w:p w14:paraId="149FD4D8">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w:t>
                  </w:r>
                </w:p>
              </w:tc>
              <w:tc>
                <w:tcPr>
                  <w:tcW w:w="741" w:type="pct"/>
                  <w:noWrap w:val="0"/>
                  <w:vAlign w:val="center"/>
                </w:tcPr>
                <w:p w14:paraId="1D227938">
                  <w:pPr>
                    <w:pStyle w:val="54"/>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sz w:val="22"/>
                      <w:szCs w:val="22"/>
                    </w:rPr>
                    <w:t>60</w:t>
                  </w:r>
                </w:p>
              </w:tc>
              <w:tc>
                <w:tcPr>
                  <w:tcW w:w="1032" w:type="dxa"/>
                  <w:noWrap w:val="0"/>
                  <w:vAlign w:val="center"/>
                </w:tcPr>
                <w:p w14:paraId="276F0DD6">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13.3</w:t>
                  </w:r>
                </w:p>
              </w:tc>
              <w:tc>
                <w:tcPr>
                  <w:tcW w:w="685" w:type="pct"/>
                  <w:noWrap w:val="0"/>
                  <w:vAlign w:val="center"/>
                </w:tcPr>
                <w:p w14:paraId="5C630332">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达标</w:t>
                  </w:r>
                </w:p>
              </w:tc>
            </w:tr>
            <w:tr w14:paraId="6CBDD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33" w:hRule="atLeast"/>
              </w:trPr>
              <w:tc>
                <w:tcPr>
                  <w:tcW w:w="582" w:type="pct"/>
                  <w:noWrap w:val="0"/>
                  <w:vAlign w:val="center"/>
                </w:tcPr>
                <w:p w14:paraId="774C186F">
                  <w:pPr>
                    <w:pStyle w:val="54"/>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sz w:val="22"/>
                      <w:szCs w:val="22"/>
                    </w:rPr>
                    <w:t>NO</w:t>
                  </w:r>
                  <w:r>
                    <w:rPr>
                      <w:rFonts w:hint="default" w:ascii="Times New Roman" w:hAnsi="Times New Roman" w:eastAsia="宋体" w:cs="Times New Roman"/>
                      <w:color w:val="auto"/>
                      <w:sz w:val="22"/>
                      <w:szCs w:val="22"/>
                      <w:vertAlign w:val="subscript"/>
                    </w:rPr>
                    <w:t>2</w:t>
                  </w:r>
                </w:p>
              </w:tc>
              <w:tc>
                <w:tcPr>
                  <w:tcW w:w="1544" w:type="pct"/>
                  <w:vMerge w:val="continue"/>
                  <w:noWrap w:val="0"/>
                  <w:vAlign w:val="center"/>
                </w:tcPr>
                <w:p w14:paraId="27194A67">
                  <w:pPr>
                    <w:jc w:val="center"/>
                    <w:rPr>
                      <w:rFonts w:hint="default" w:ascii="Times New Roman" w:hAnsi="Times New Roman" w:eastAsia="宋体" w:cs="Times New Roman"/>
                      <w:color w:val="auto"/>
                      <w:sz w:val="22"/>
                      <w:szCs w:val="22"/>
                    </w:rPr>
                  </w:pPr>
                </w:p>
              </w:tc>
              <w:tc>
                <w:tcPr>
                  <w:tcW w:w="838" w:type="pct"/>
                  <w:noWrap w:val="0"/>
                  <w:vAlign w:val="center"/>
                </w:tcPr>
                <w:p w14:paraId="6FD0765B">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34</w:t>
                  </w:r>
                </w:p>
              </w:tc>
              <w:tc>
                <w:tcPr>
                  <w:tcW w:w="741" w:type="pct"/>
                  <w:noWrap w:val="0"/>
                  <w:vAlign w:val="center"/>
                </w:tcPr>
                <w:p w14:paraId="7BF9CE5E">
                  <w:pPr>
                    <w:pStyle w:val="54"/>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sz w:val="22"/>
                      <w:szCs w:val="22"/>
                    </w:rPr>
                    <w:t>40</w:t>
                  </w:r>
                </w:p>
              </w:tc>
              <w:tc>
                <w:tcPr>
                  <w:tcW w:w="1032" w:type="dxa"/>
                  <w:noWrap w:val="0"/>
                  <w:vAlign w:val="center"/>
                </w:tcPr>
                <w:p w14:paraId="46E6C978">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85.0</w:t>
                  </w:r>
                </w:p>
              </w:tc>
              <w:tc>
                <w:tcPr>
                  <w:tcW w:w="685" w:type="pct"/>
                  <w:noWrap w:val="0"/>
                  <w:vAlign w:val="center"/>
                </w:tcPr>
                <w:p w14:paraId="40A4C93C">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达标</w:t>
                  </w:r>
                </w:p>
              </w:tc>
            </w:tr>
            <w:tr w14:paraId="2BD0A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52" w:hRule="atLeast"/>
              </w:trPr>
              <w:tc>
                <w:tcPr>
                  <w:tcW w:w="582" w:type="pct"/>
                  <w:noWrap w:val="0"/>
                  <w:vAlign w:val="center"/>
                </w:tcPr>
                <w:p w14:paraId="61E2B268">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O</w:t>
                  </w:r>
                  <w:r>
                    <w:rPr>
                      <w:rFonts w:hint="default" w:ascii="Times New Roman" w:hAnsi="Times New Roman" w:eastAsia="宋体" w:cs="Times New Roman"/>
                      <w:color w:val="auto"/>
                      <w:sz w:val="22"/>
                      <w:szCs w:val="22"/>
                      <w:vertAlign w:val="subscript"/>
                    </w:rPr>
                    <w:t>3</w:t>
                  </w:r>
                </w:p>
              </w:tc>
              <w:tc>
                <w:tcPr>
                  <w:tcW w:w="1544" w:type="pct"/>
                  <w:noWrap w:val="0"/>
                  <w:vAlign w:val="center"/>
                </w:tcPr>
                <w:p w14:paraId="78F28AF1">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bCs/>
                      <w:color w:val="auto"/>
                      <w:kern w:val="28"/>
                      <w:sz w:val="22"/>
                      <w:szCs w:val="22"/>
                    </w:rPr>
                    <w:t>日最大8h平均浓度</w:t>
                  </w:r>
                </w:p>
              </w:tc>
              <w:tc>
                <w:tcPr>
                  <w:tcW w:w="838" w:type="pct"/>
                  <w:noWrap w:val="0"/>
                  <w:vAlign w:val="center"/>
                </w:tcPr>
                <w:p w14:paraId="4A42DDCB">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140</w:t>
                  </w:r>
                </w:p>
              </w:tc>
              <w:tc>
                <w:tcPr>
                  <w:tcW w:w="741" w:type="pct"/>
                  <w:noWrap w:val="0"/>
                  <w:vAlign w:val="center"/>
                </w:tcPr>
                <w:p w14:paraId="5EF8E5CE">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160</w:t>
                  </w:r>
                </w:p>
              </w:tc>
              <w:tc>
                <w:tcPr>
                  <w:tcW w:w="1032" w:type="dxa"/>
                  <w:noWrap w:val="0"/>
                  <w:vAlign w:val="center"/>
                </w:tcPr>
                <w:p w14:paraId="5FEB6182">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87.5</w:t>
                  </w:r>
                </w:p>
              </w:tc>
              <w:tc>
                <w:tcPr>
                  <w:tcW w:w="685" w:type="pct"/>
                  <w:noWrap w:val="0"/>
                  <w:vAlign w:val="center"/>
                </w:tcPr>
                <w:p w14:paraId="40550D67">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达标</w:t>
                  </w:r>
                </w:p>
              </w:tc>
            </w:tr>
            <w:tr w14:paraId="4A047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32" w:hRule="atLeast"/>
              </w:trPr>
              <w:tc>
                <w:tcPr>
                  <w:tcW w:w="582" w:type="pct"/>
                  <w:noWrap w:val="0"/>
                  <w:vAlign w:val="center"/>
                </w:tcPr>
                <w:p w14:paraId="6FB420B4">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CO</w:t>
                  </w:r>
                </w:p>
              </w:tc>
              <w:tc>
                <w:tcPr>
                  <w:tcW w:w="1544" w:type="pct"/>
                  <w:noWrap w:val="0"/>
                  <w:vAlign w:val="center"/>
                </w:tcPr>
                <w:p w14:paraId="28DA144C">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bCs/>
                      <w:color w:val="auto"/>
                      <w:kern w:val="28"/>
                      <w:sz w:val="22"/>
                      <w:szCs w:val="22"/>
                    </w:rPr>
                    <w:t>日均浓度的第95百分位数</w:t>
                  </w:r>
                </w:p>
              </w:tc>
              <w:tc>
                <w:tcPr>
                  <w:tcW w:w="838" w:type="pct"/>
                  <w:noWrap w:val="0"/>
                  <w:vAlign w:val="center"/>
                </w:tcPr>
                <w:p w14:paraId="1097B7B7">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1.2</w:t>
                  </w:r>
                  <w:r>
                    <w:rPr>
                      <w:rFonts w:hint="default" w:ascii="Times New Roman" w:hAnsi="Times New Roman" w:eastAsia="宋体" w:cs="Times New Roman"/>
                      <w:color w:val="auto"/>
                      <w:sz w:val="22"/>
                      <w:szCs w:val="22"/>
                    </w:rPr>
                    <w:t>mg/m</w:t>
                  </w:r>
                  <w:r>
                    <w:rPr>
                      <w:rFonts w:hint="default" w:ascii="Times New Roman" w:hAnsi="Times New Roman" w:eastAsia="宋体" w:cs="Times New Roman"/>
                      <w:color w:val="auto"/>
                      <w:sz w:val="22"/>
                      <w:szCs w:val="22"/>
                      <w:vertAlign w:val="superscript"/>
                    </w:rPr>
                    <w:t>3</w:t>
                  </w:r>
                </w:p>
              </w:tc>
              <w:tc>
                <w:tcPr>
                  <w:tcW w:w="741" w:type="pct"/>
                  <w:noWrap w:val="0"/>
                  <w:vAlign w:val="center"/>
                </w:tcPr>
                <w:p w14:paraId="78DC0F33">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4mg/m</w:t>
                  </w:r>
                  <w:r>
                    <w:rPr>
                      <w:rFonts w:hint="default" w:ascii="Times New Roman" w:hAnsi="Times New Roman" w:eastAsia="宋体" w:cs="Times New Roman"/>
                      <w:color w:val="auto"/>
                      <w:sz w:val="22"/>
                      <w:szCs w:val="22"/>
                      <w:vertAlign w:val="superscript"/>
                    </w:rPr>
                    <w:t>3</w:t>
                  </w:r>
                </w:p>
              </w:tc>
              <w:tc>
                <w:tcPr>
                  <w:tcW w:w="1032" w:type="dxa"/>
                  <w:noWrap w:val="0"/>
                  <w:vAlign w:val="center"/>
                </w:tcPr>
                <w:p w14:paraId="3B73976A">
                  <w:pPr>
                    <w:pStyle w:val="54"/>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30.0</w:t>
                  </w:r>
                </w:p>
              </w:tc>
              <w:tc>
                <w:tcPr>
                  <w:tcW w:w="685" w:type="pct"/>
                  <w:noWrap w:val="0"/>
                  <w:vAlign w:val="center"/>
                </w:tcPr>
                <w:p w14:paraId="4BDE1EB7">
                  <w:pPr>
                    <w:pStyle w:val="54"/>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达标</w:t>
                  </w:r>
                </w:p>
              </w:tc>
            </w:tr>
          </w:tbl>
          <w:p w14:paraId="3DDCD11B">
            <w:pPr>
              <w:pStyle w:val="64"/>
              <w:rPr>
                <w:szCs w:val="26"/>
              </w:rPr>
            </w:pPr>
            <w:r>
              <w:rPr>
                <w:rFonts w:hint="eastAsia"/>
              </w:rPr>
              <w:t>根据上表3</w:t>
            </w:r>
            <w:r>
              <w:t>.1</w:t>
            </w:r>
            <w:r>
              <w:rPr>
                <w:rFonts w:hint="eastAsia"/>
              </w:rPr>
              <w:t>-</w:t>
            </w:r>
            <w:r>
              <w:t>1</w:t>
            </w:r>
            <w:r>
              <w:rPr>
                <w:rFonts w:hint="eastAsia"/>
              </w:rPr>
              <w:t>可知，</w:t>
            </w:r>
            <w:r>
              <w:rPr>
                <w:rFonts w:hint="eastAsia"/>
                <w:lang w:val="en-US" w:eastAsia="zh-CN"/>
              </w:rPr>
              <w:t>九龙坡</w:t>
            </w:r>
            <w:r>
              <w:rPr>
                <w:szCs w:val="26"/>
              </w:rPr>
              <w:t>区20</w:t>
            </w:r>
            <w:r>
              <w:rPr>
                <w:rFonts w:hint="eastAsia"/>
                <w:szCs w:val="26"/>
              </w:rPr>
              <w:t>24</w:t>
            </w:r>
            <w:r>
              <w:rPr>
                <w:szCs w:val="26"/>
              </w:rPr>
              <w:t>年</w:t>
            </w:r>
            <w:r>
              <w:rPr>
                <w:rFonts w:hint="eastAsia"/>
                <w:szCs w:val="26"/>
              </w:rPr>
              <w:t>六项大气污染物浓度均达到国家二级标准</w:t>
            </w:r>
            <w:r>
              <w:rPr>
                <w:szCs w:val="26"/>
              </w:rPr>
              <w:t>，属于环境空气质量达标区。</w:t>
            </w:r>
          </w:p>
          <w:p w14:paraId="5BBAE540">
            <w:pPr>
              <w:pStyle w:val="68"/>
              <w:ind w:firstLine="520"/>
              <w:rPr>
                <w:color w:val="auto"/>
              </w:rPr>
            </w:pPr>
            <w:r>
              <w:rPr>
                <w:rFonts w:hint="eastAsia"/>
                <w:color w:val="auto"/>
              </w:rPr>
              <w:t>（2）特征因子环境空气质量现状</w:t>
            </w:r>
          </w:p>
          <w:p w14:paraId="33430C7A">
            <w:pPr>
              <w:pStyle w:val="68"/>
              <w:ind w:firstLine="520"/>
              <w:rPr>
                <w:rFonts w:hint="eastAsia"/>
                <w:color w:val="auto"/>
              </w:rPr>
            </w:pPr>
            <w:r>
              <w:rPr>
                <w:rFonts w:hint="eastAsia" w:cs="Times New Roman"/>
                <w:color w:val="auto"/>
                <w:sz w:val="26"/>
                <w:szCs w:val="26"/>
                <w:lang w:val="en-US" w:eastAsia="zh-CN"/>
              </w:rPr>
              <w:t>根据《建设项目环境影响报告表编制技术指南》（污染类）（试行）可知，大气特征污染物现状监测指标种类以国家、地方环境空气质量标准为准，本评价对非甲烷总烃进行环境空气质量现状评价。为了解项目地区的环境空气质量现状，本次评价通过引用监测数据对项目区域的特征污染因子进行评价。</w:t>
            </w:r>
          </w:p>
          <w:p w14:paraId="2BF9A0F7">
            <w:pPr>
              <w:pStyle w:val="68"/>
              <w:ind w:firstLine="520"/>
              <w:rPr>
                <w:color w:val="auto"/>
              </w:rPr>
            </w:pPr>
            <w:r>
              <w:rPr>
                <w:rFonts w:hint="eastAsia"/>
                <w:color w:val="auto"/>
              </w:rPr>
              <w:t>本项目位于</w:t>
            </w:r>
            <w:r>
              <w:rPr>
                <w:rFonts w:hint="eastAsia"/>
                <w:color w:val="auto"/>
                <w:lang w:val="en-US" w:eastAsia="zh-CN"/>
              </w:rPr>
              <w:t>重庆市</w:t>
            </w:r>
            <w:r>
              <w:rPr>
                <w:rFonts w:hint="eastAsia"/>
                <w:color w:val="auto"/>
              </w:rPr>
              <w:t>九龙坡区华福大道北段400号，项目特征因子为非甲烷总烃</w:t>
            </w:r>
            <w:r>
              <w:rPr>
                <w:rFonts w:hint="eastAsia"/>
                <w:color w:val="auto"/>
                <w:szCs w:val="26"/>
              </w:rPr>
              <w:t>。本次评价</w:t>
            </w:r>
            <w:r>
              <w:rPr>
                <w:rFonts w:hint="eastAsia"/>
                <w:color w:val="auto"/>
                <w:szCs w:val="26"/>
                <w:lang w:val="en-US" w:eastAsia="zh-CN"/>
              </w:rPr>
              <w:t>非甲烷总烃引用</w:t>
            </w:r>
            <w:r>
              <w:rPr>
                <w:rFonts w:hint="eastAsia"/>
                <w:color w:val="auto"/>
                <w:szCs w:val="26"/>
              </w:rPr>
              <w:t>重庆</w:t>
            </w:r>
            <w:r>
              <w:rPr>
                <w:rFonts w:hint="eastAsia"/>
                <w:color w:val="auto"/>
                <w:szCs w:val="26"/>
                <w:lang w:val="en-US" w:eastAsia="zh-CN"/>
              </w:rPr>
              <w:t>大安检测技术</w:t>
            </w:r>
            <w:r>
              <w:rPr>
                <w:rFonts w:hint="eastAsia"/>
                <w:color w:val="auto"/>
                <w:szCs w:val="26"/>
              </w:rPr>
              <w:t>有限公司对</w:t>
            </w:r>
            <w:r>
              <w:rPr>
                <w:rFonts w:hint="eastAsia"/>
                <w:color w:val="auto"/>
                <w:szCs w:val="26"/>
                <w:lang w:eastAsia="zh-CN"/>
              </w:rPr>
              <w:t>“重庆市九龙工业园区规划环境影响评价项目”</w:t>
            </w:r>
            <w:r>
              <w:rPr>
                <w:rFonts w:hint="eastAsia"/>
                <w:color w:val="auto"/>
                <w:szCs w:val="26"/>
                <w:lang w:val="en-US" w:eastAsia="zh-CN"/>
              </w:rPr>
              <w:t>监测的现状监测数据“渝大安（环）检</w:t>
            </w:r>
            <w:r>
              <w:rPr>
                <w:rFonts w:hint="eastAsia" w:ascii="微软雅黑" w:hAnsi="微软雅黑" w:eastAsia="微软雅黑" w:cs="微软雅黑"/>
                <w:color w:val="auto"/>
                <w:szCs w:val="26"/>
                <w:lang w:val="en-US" w:eastAsia="zh-CN"/>
              </w:rPr>
              <w:t>〔</w:t>
            </w:r>
            <w:r>
              <w:rPr>
                <w:rFonts w:hint="eastAsia"/>
                <w:color w:val="auto"/>
                <w:szCs w:val="26"/>
                <w:lang w:val="en-US" w:eastAsia="zh-CN"/>
              </w:rPr>
              <w:t>2023</w:t>
            </w:r>
            <w:r>
              <w:rPr>
                <w:rFonts w:hint="eastAsia" w:ascii="微软雅黑" w:hAnsi="微软雅黑" w:eastAsia="微软雅黑" w:cs="微软雅黑"/>
                <w:color w:val="auto"/>
                <w:szCs w:val="26"/>
                <w:lang w:val="en-US" w:eastAsia="zh-CN"/>
              </w:rPr>
              <w:t>〕</w:t>
            </w:r>
            <w:r>
              <w:rPr>
                <w:rFonts w:hint="eastAsia"/>
                <w:color w:val="auto"/>
                <w:szCs w:val="26"/>
                <w:lang w:val="en-US" w:eastAsia="zh-CN"/>
              </w:rPr>
              <w:t>第HP038-1号”，</w:t>
            </w:r>
            <w:r>
              <w:rPr>
                <w:rFonts w:hint="eastAsia"/>
                <w:color w:val="auto"/>
                <w:szCs w:val="26"/>
              </w:rPr>
              <w:t>作为本次评价特征因子环境质量现状依据。</w:t>
            </w:r>
            <w:r>
              <w:rPr>
                <w:rFonts w:hint="eastAsia" w:cs="Times New Roman"/>
                <w:color w:val="auto"/>
                <w:sz w:val="26"/>
                <w:szCs w:val="26"/>
                <w:lang w:val="en-US" w:eastAsia="zh-CN"/>
              </w:rPr>
              <w:t>引用点位距离在5km范围内，监测时间为</w:t>
            </w:r>
            <w:r>
              <w:rPr>
                <w:rFonts w:hint="eastAsia"/>
                <w:color w:val="auto"/>
                <w:szCs w:val="26"/>
              </w:rPr>
              <w:t>2</w:t>
            </w:r>
            <w:r>
              <w:rPr>
                <w:color w:val="auto"/>
                <w:szCs w:val="26"/>
              </w:rPr>
              <w:t>0</w:t>
            </w:r>
            <w:r>
              <w:rPr>
                <w:rFonts w:hint="eastAsia"/>
                <w:color w:val="auto"/>
                <w:szCs w:val="26"/>
              </w:rPr>
              <w:t>2</w:t>
            </w:r>
            <w:r>
              <w:rPr>
                <w:rFonts w:hint="eastAsia"/>
                <w:color w:val="auto"/>
                <w:szCs w:val="26"/>
                <w:lang w:val="en-US" w:eastAsia="zh-CN"/>
              </w:rPr>
              <w:t>3</w:t>
            </w:r>
            <w:r>
              <w:rPr>
                <w:rFonts w:hint="eastAsia"/>
                <w:color w:val="auto"/>
                <w:szCs w:val="26"/>
              </w:rPr>
              <w:t>年</w:t>
            </w:r>
            <w:r>
              <w:rPr>
                <w:color w:val="auto"/>
                <w:szCs w:val="26"/>
              </w:rPr>
              <w:t>4</w:t>
            </w:r>
            <w:r>
              <w:rPr>
                <w:rFonts w:hint="eastAsia"/>
                <w:color w:val="auto"/>
                <w:szCs w:val="26"/>
              </w:rPr>
              <w:t>月</w:t>
            </w:r>
            <w:r>
              <w:rPr>
                <w:rFonts w:hint="eastAsia"/>
                <w:color w:val="auto"/>
                <w:szCs w:val="26"/>
                <w:lang w:val="en-US" w:eastAsia="zh-CN"/>
              </w:rPr>
              <w:t>2</w:t>
            </w:r>
            <w:r>
              <w:rPr>
                <w:rFonts w:hint="eastAsia"/>
                <w:color w:val="auto"/>
                <w:szCs w:val="26"/>
              </w:rPr>
              <w:t>4日~</w:t>
            </w:r>
            <w:r>
              <w:rPr>
                <w:rFonts w:hint="eastAsia"/>
                <w:color w:val="auto"/>
                <w:szCs w:val="26"/>
                <w:lang w:val="en-US" w:eastAsia="zh-CN"/>
              </w:rPr>
              <w:t>30</w:t>
            </w:r>
            <w:r>
              <w:rPr>
                <w:rFonts w:hint="eastAsia"/>
                <w:color w:val="auto"/>
                <w:szCs w:val="26"/>
              </w:rPr>
              <w:t>日</w:t>
            </w:r>
            <w:r>
              <w:rPr>
                <w:rFonts w:hint="eastAsia" w:cs="Times New Roman"/>
                <w:color w:val="auto"/>
                <w:sz w:val="26"/>
                <w:szCs w:val="26"/>
                <w:lang w:val="en-US" w:eastAsia="zh-CN"/>
              </w:rPr>
              <w:t>，连续监测7天，监测小时值。引用点位位于本项目西北侧，与本项目距离约1.9km，监测点位的监测时间在3年有效期内，引用数据有效。</w:t>
            </w:r>
          </w:p>
          <w:p w14:paraId="22A0FFF8">
            <w:pPr>
              <w:pStyle w:val="68"/>
              <w:ind w:firstLine="520"/>
              <w:rPr>
                <w:color w:val="auto"/>
              </w:rPr>
            </w:pPr>
            <w:r>
              <w:rPr>
                <w:rFonts w:hint="eastAsia"/>
                <w:color w:val="auto"/>
              </w:rPr>
              <w:t>①监测基本情况</w:t>
            </w:r>
          </w:p>
          <w:p w14:paraId="15889793">
            <w:pPr>
              <w:pStyle w:val="68"/>
              <w:ind w:firstLine="520"/>
              <w:rPr>
                <w:color w:val="auto"/>
              </w:rPr>
            </w:pPr>
            <w:r>
              <w:rPr>
                <w:rFonts w:hint="eastAsia"/>
                <w:color w:val="auto"/>
              </w:rPr>
              <w:t>监测布点：</w:t>
            </w:r>
            <w:r>
              <w:rPr>
                <w:rFonts w:hint="eastAsia"/>
                <w:color w:val="auto"/>
                <w:lang w:val="en-US" w:eastAsia="zh-CN"/>
              </w:rPr>
              <w:t>B3</w:t>
            </w:r>
            <w:r>
              <w:rPr>
                <w:rFonts w:hint="eastAsia"/>
                <w:color w:val="auto"/>
              </w:rPr>
              <w:t>加油站西</w:t>
            </w:r>
            <w:r>
              <w:rPr>
                <w:rFonts w:hint="eastAsia"/>
                <w:color w:val="auto"/>
                <w:lang w:val="en-US" w:eastAsia="zh-CN"/>
              </w:rPr>
              <w:t>北</w:t>
            </w:r>
            <w:r>
              <w:rPr>
                <w:rFonts w:hint="eastAsia"/>
                <w:color w:val="auto"/>
              </w:rPr>
              <w:t>侧（</w:t>
            </w:r>
            <w:r>
              <w:rPr>
                <w:rFonts w:hint="eastAsia"/>
                <w:color w:val="auto"/>
                <w:lang w:val="en-US" w:eastAsia="zh-CN"/>
              </w:rPr>
              <w:t>和平小学处</w:t>
            </w:r>
            <w:r>
              <w:rPr>
                <w:rFonts w:hint="eastAsia"/>
                <w:color w:val="auto"/>
              </w:rPr>
              <w:t>）</w:t>
            </w:r>
          </w:p>
          <w:p w14:paraId="342BAB02">
            <w:pPr>
              <w:pStyle w:val="68"/>
              <w:ind w:firstLine="520"/>
              <w:rPr>
                <w:color w:val="auto"/>
              </w:rPr>
            </w:pPr>
            <w:r>
              <w:rPr>
                <w:rFonts w:hint="eastAsia"/>
                <w:color w:val="auto"/>
              </w:rPr>
              <w:t>监测因子：非甲烷总烃</w:t>
            </w:r>
          </w:p>
          <w:p w14:paraId="0A4C45F2">
            <w:pPr>
              <w:pStyle w:val="68"/>
              <w:ind w:firstLine="520"/>
              <w:rPr>
                <w:color w:val="auto"/>
              </w:rPr>
            </w:pPr>
            <w:r>
              <w:rPr>
                <w:rFonts w:hint="eastAsia"/>
                <w:color w:val="auto"/>
              </w:rPr>
              <w:t>监测时间与频率：202</w:t>
            </w:r>
            <w:r>
              <w:rPr>
                <w:rFonts w:hint="eastAsia"/>
                <w:color w:val="auto"/>
                <w:lang w:val="en-US" w:eastAsia="zh-CN"/>
              </w:rPr>
              <w:t>3</w:t>
            </w:r>
            <w:r>
              <w:rPr>
                <w:rFonts w:hint="eastAsia"/>
                <w:color w:val="auto"/>
              </w:rPr>
              <w:t>年</w:t>
            </w:r>
            <w:r>
              <w:rPr>
                <w:color w:val="auto"/>
              </w:rPr>
              <w:t>4</w:t>
            </w:r>
            <w:r>
              <w:rPr>
                <w:rFonts w:hint="eastAsia"/>
                <w:color w:val="auto"/>
              </w:rPr>
              <w:t>月</w:t>
            </w:r>
            <w:r>
              <w:rPr>
                <w:rFonts w:hint="eastAsia"/>
                <w:color w:val="auto"/>
                <w:lang w:val="en-US" w:eastAsia="zh-CN"/>
              </w:rPr>
              <w:t>2</w:t>
            </w:r>
            <w:r>
              <w:rPr>
                <w:rFonts w:hint="eastAsia"/>
                <w:color w:val="auto"/>
              </w:rPr>
              <w:t>4日~202</w:t>
            </w:r>
            <w:r>
              <w:rPr>
                <w:rFonts w:hint="eastAsia"/>
                <w:color w:val="auto"/>
                <w:lang w:val="en-US" w:eastAsia="zh-CN"/>
              </w:rPr>
              <w:t>3</w:t>
            </w:r>
            <w:r>
              <w:rPr>
                <w:rFonts w:hint="eastAsia"/>
                <w:color w:val="auto"/>
              </w:rPr>
              <w:t>年</w:t>
            </w:r>
            <w:r>
              <w:rPr>
                <w:color w:val="auto"/>
              </w:rPr>
              <w:t>4</w:t>
            </w:r>
            <w:r>
              <w:rPr>
                <w:rFonts w:hint="eastAsia"/>
                <w:color w:val="auto"/>
              </w:rPr>
              <w:t>月</w:t>
            </w:r>
            <w:r>
              <w:rPr>
                <w:rFonts w:hint="eastAsia"/>
                <w:color w:val="auto"/>
                <w:lang w:val="en-US" w:eastAsia="zh-CN"/>
              </w:rPr>
              <w:t>30</w:t>
            </w:r>
            <w:r>
              <w:rPr>
                <w:rFonts w:hint="eastAsia"/>
                <w:color w:val="auto"/>
              </w:rPr>
              <w:t>日，连续</w:t>
            </w:r>
            <w:r>
              <w:rPr>
                <w:rFonts w:hint="eastAsia"/>
                <w:color w:val="auto"/>
                <w:lang w:val="en-US" w:eastAsia="zh-CN"/>
              </w:rPr>
              <w:t>7</w:t>
            </w:r>
            <w:r>
              <w:rPr>
                <w:rFonts w:hint="eastAsia"/>
                <w:color w:val="auto"/>
              </w:rPr>
              <w:t>天监测，每天</w:t>
            </w:r>
            <w:r>
              <w:rPr>
                <w:rFonts w:hint="eastAsia"/>
                <w:color w:val="auto"/>
                <w:lang w:val="en-US" w:eastAsia="zh-CN"/>
              </w:rPr>
              <w:t>8</w:t>
            </w:r>
            <w:r>
              <w:rPr>
                <w:rFonts w:hint="eastAsia"/>
                <w:color w:val="auto"/>
              </w:rPr>
              <w:t>次。</w:t>
            </w:r>
          </w:p>
          <w:p w14:paraId="2B23FCB4">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b w:val="0"/>
                <w:bCs/>
                <w:color w:val="auto"/>
              </w:rPr>
            </w:pPr>
            <w:r>
              <w:rPr>
                <w:rFonts w:hint="eastAsia"/>
                <w:b w:val="0"/>
                <w:bCs/>
                <w:color w:val="auto"/>
                <w:sz w:val="22"/>
                <w:szCs w:val="21"/>
              </w:rPr>
              <w:t xml:space="preserve">表 </w:t>
            </w:r>
            <w:r>
              <w:rPr>
                <w:b w:val="0"/>
                <w:bCs/>
                <w:color w:val="auto"/>
                <w:sz w:val="22"/>
                <w:szCs w:val="21"/>
              </w:rPr>
              <w:t>3.1</w:t>
            </w:r>
            <w:r>
              <w:rPr>
                <w:rFonts w:hint="eastAsia"/>
                <w:b w:val="0"/>
                <w:bCs/>
                <w:color w:val="auto"/>
                <w:sz w:val="22"/>
                <w:szCs w:val="21"/>
              </w:rPr>
              <w:t>-2</w:t>
            </w:r>
            <w:r>
              <w:rPr>
                <w:rFonts w:hint="eastAsia"/>
                <w:b w:val="0"/>
                <w:bCs/>
                <w:color w:val="auto"/>
                <w:sz w:val="22"/>
                <w:szCs w:val="21"/>
                <w:lang w:val="en-US" w:eastAsia="zh-CN"/>
              </w:rPr>
              <w:t xml:space="preserve">  </w:t>
            </w:r>
            <w:r>
              <w:rPr>
                <w:rFonts w:hint="eastAsia"/>
                <w:b w:val="0"/>
                <w:bCs/>
                <w:color w:val="auto"/>
                <w:sz w:val="22"/>
                <w:szCs w:val="21"/>
              </w:rPr>
              <w:t>其他污染物监测点位基本信息</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838"/>
              <w:gridCol w:w="820"/>
              <w:gridCol w:w="1521"/>
              <w:gridCol w:w="1394"/>
              <w:gridCol w:w="1086"/>
              <w:gridCol w:w="1126"/>
            </w:tblGrid>
            <w:tr w14:paraId="6937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79" w:type="dxa"/>
                  <w:vMerge w:val="restart"/>
                  <w:vAlign w:val="center"/>
                </w:tcPr>
                <w:p w14:paraId="1EA24A2D">
                  <w:pPr>
                    <w:pStyle w:val="66"/>
                    <w:rPr>
                      <w:color w:val="auto"/>
                    </w:rPr>
                  </w:pPr>
                  <w:r>
                    <w:rPr>
                      <w:rFonts w:hint="eastAsia"/>
                      <w:color w:val="auto"/>
                    </w:rPr>
                    <w:t>监测点名称</w:t>
                  </w:r>
                </w:p>
              </w:tc>
              <w:tc>
                <w:tcPr>
                  <w:tcW w:w="1658" w:type="dxa"/>
                  <w:gridSpan w:val="2"/>
                  <w:vAlign w:val="center"/>
                </w:tcPr>
                <w:p w14:paraId="53047072">
                  <w:pPr>
                    <w:pStyle w:val="66"/>
                    <w:rPr>
                      <w:color w:val="auto"/>
                    </w:rPr>
                  </w:pPr>
                  <w:r>
                    <w:rPr>
                      <w:rFonts w:hint="eastAsia"/>
                      <w:color w:val="auto"/>
                    </w:rPr>
                    <w:t>监测点坐标/</w:t>
                  </w:r>
                  <w:r>
                    <w:rPr>
                      <w:color w:val="auto"/>
                    </w:rPr>
                    <w:t>m</w:t>
                  </w:r>
                </w:p>
              </w:tc>
              <w:tc>
                <w:tcPr>
                  <w:tcW w:w="1521" w:type="dxa"/>
                  <w:vMerge w:val="restart"/>
                  <w:vAlign w:val="center"/>
                </w:tcPr>
                <w:p w14:paraId="6C5AA5EB">
                  <w:pPr>
                    <w:pStyle w:val="66"/>
                    <w:rPr>
                      <w:color w:val="auto"/>
                    </w:rPr>
                  </w:pPr>
                  <w:r>
                    <w:rPr>
                      <w:rFonts w:hint="eastAsia"/>
                      <w:color w:val="auto"/>
                    </w:rPr>
                    <w:t>监测因子</w:t>
                  </w:r>
                </w:p>
              </w:tc>
              <w:tc>
                <w:tcPr>
                  <w:tcW w:w="1394" w:type="dxa"/>
                  <w:vMerge w:val="restart"/>
                  <w:vAlign w:val="center"/>
                </w:tcPr>
                <w:p w14:paraId="6C9C26C6">
                  <w:pPr>
                    <w:pStyle w:val="66"/>
                    <w:rPr>
                      <w:color w:val="auto"/>
                    </w:rPr>
                  </w:pPr>
                  <w:r>
                    <w:rPr>
                      <w:rFonts w:hint="eastAsia"/>
                      <w:color w:val="auto"/>
                    </w:rPr>
                    <w:t>监测时段</w:t>
                  </w:r>
                </w:p>
              </w:tc>
              <w:tc>
                <w:tcPr>
                  <w:tcW w:w="1086" w:type="dxa"/>
                  <w:vMerge w:val="restart"/>
                  <w:vAlign w:val="center"/>
                </w:tcPr>
                <w:p w14:paraId="3D886441">
                  <w:pPr>
                    <w:pStyle w:val="66"/>
                    <w:rPr>
                      <w:color w:val="auto"/>
                    </w:rPr>
                  </w:pPr>
                  <w:r>
                    <w:rPr>
                      <w:rFonts w:hint="eastAsia"/>
                      <w:color w:val="auto"/>
                    </w:rPr>
                    <w:t>相对厂址方位</w:t>
                  </w:r>
                </w:p>
              </w:tc>
              <w:tc>
                <w:tcPr>
                  <w:tcW w:w="1126" w:type="dxa"/>
                  <w:vMerge w:val="restart"/>
                  <w:vAlign w:val="center"/>
                </w:tcPr>
                <w:p w14:paraId="347AE1DD">
                  <w:pPr>
                    <w:pStyle w:val="66"/>
                    <w:rPr>
                      <w:color w:val="auto"/>
                    </w:rPr>
                  </w:pPr>
                  <w:r>
                    <w:rPr>
                      <w:rFonts w:hint="eastAsia"/>
                      <w:color w:val="auto"/>
                    </w:rPr>
                    <w:t>相对厂界距离/</w:t>
                  </w:r>
                  <w:r>
                    <w:rPr>
                      <w:color w:val="auto"/>
                    </w:rPr>
                    <w:t>m</w:t>
                  </w:r>
                </w:p>
              </w:tc>
            </w:tr>
            <w:tr w14:paraId="6878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179" w:type="dxa"/>
                  <w:vMerge w:val="continue"/>
                  <w:vAlign w:val="center"/>
                </w:tcPr>
                <w:p w14:paraId="16831CF3">
                  <w:pPr>
                    <w:pStyle w:val="66"/>
                    <w:rPr>
                      <w:color w:val="auto"/>
                    </w:rPr>
                  </w:pPr>
                </w:p>
              </w:tc>
              <w:tc>
                <w:tcPr>
                  <w:tcW w:w="838" w:type="dxa"/>
                  <w:vAlign w:val="center"/>
                </w:tcPr>
                <w:p w14:paraId="3EFA5AE9">
                  <w:pPr>
                    <w:pStyle w:val="66"/>
                    <w:rPr>
                      <w:color w:val="auto"/>
                    </w:rPr>
                  </w:pPr>
                  <w:r>
                    <w:rPr>
                      <w:rFonts w:hint="eastAsia"/>
                      <w:color w:val="auto"/>
                    </w:rPr>
                    <w:t>X</w:t>
                  </w:r>
                </w:p>
              </w:tc>
              <w:tc>
                <w:tcPr>
                  <w:tcW w:w="820" w:type="dxa"/>
                  <w:vAlign w:val="center"/>
                </w:tcPr>
                <w:p w14:paraId="257E852C">
                  <w:pPr>
                    <w:pStyle w:val="66"/>
                    <w:rPr>
                      <w:color w:val="auto"/>
                    </w:rPr>
                  </w:pPr>
                  <w:r>
                    <w:rPr>
                      <w:rFonts w:hint="eastAsia"/>
                      <w:color w:val="auto"/>
                    </w:rPr>
                    <w:t>Y</w:t>
                  </w:r>
                </w:p>
              </w:tc>
              <w:tc>
                <w:tcPr>
                  <w:tcW w:w="1521" w:type="dxa"/>
                  <w:vMerge w:val="continue"/>
                  <w:vAlign w:val="center"/>
                </w:tcPr>
                <w:p w14:paraId="01C7AB60">
                  <w:pPr>
                    <w:pStyle w:val="66"/>
                    <w:rPr>
                      <w:color w:val="auto"/>
                    </w:rPr>
                  </w:pPr>
                </w:p>
              </w:tc>
              <w:tc>
                <w:tcPr>
                  <w:tcW w:w="1394" w:type="dxa"/>
                  <w:vMerge w:val="continue"/>
                  <w:vAlign w:val="center"/>
                </w:tcPr>
                <w:p w14:paraId="640632CD">
                  <w:pPr>
                    <w:pStyle w:val="66"/>
                    <w:rPr>
                      <w:color w:val="auto"/>
                    </w:rPr>
                  </w:pPr>
                </w:p>
              </w:tc>
              <w:tc>
                <w:tcPr>
                  <w:tcW w:w="1086" w:type="dxa"/>
                  <w:vMerge w:val="continue"/>
                  <w:vAlign w:val="center"/>
                </w:tcPr>
                <w:p w14:paraId="5CD7D3C4">
                  <w:pPr>
                    <w:pStyle w:val="66"/>
                    <w:rPr>
                      <w:color w:val="auto"/>
                    </w:rPr>
                  </w:pPr>
                </w:p>
              </w:tc>
              <w:tc>
                <w:tcPr>
                  <w:tcW w:w="1126" w:type="dxa"/>
                  <w:vMerge w:val="continue"/>
                  <w:vAlign w:val="center"/>
                </w:tcPr>
                <w:p w14:paraId="5EE3E942">
                  <w:pPr>
                    <w:pStyle w:val="66"/>
                    <w:rPr>
                      <w:color w:val="auto"/>
                    </w:rPr>
                  </w:pPr>
                </w:p>
              </w:tc>
            </w:tr>
            <w:tr w14:paraId="75C4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79" w:type="dxa"/>
                  <w:vAlign w:val="center"/>
                </w:tcPr>
                <w:p w14:paraId="6E31750F">
                  <w:pPr>
                    <w:pStyle w:val="66"/>
                    <w:rPr>
                      <w:rFonts w:hint="default" w:eastAsia="宋体"/>
                      <w:color w:val="auto"/>
                      <w:lang w:val="en-US" w:eastAsia="zh-CN"/>
                    </w:rPr>
                  </w:pPr>
                  <w:r>
                    <w:rPr>
                      <w:rFonts w:hint="eastAsia"/>
                      <w:color w:val="auto"/>
                      <w:lang w:val="en-US" w:eastAsia="zh-CN"/>
                    </w:rPr>
                    <w:t>和平小学处</w:t>
                  </w:r>
                </w:p>
              </w:tc>
              <w:tc>
                <w:tcPr>
                  <w:tcW w:w="838" w:type="dxa"/>
                  <w:vAlign w:val="center"/>
                </w:tcPr>
                <w:p w14:paraId="7A64BCC1">
                  <w:pPr>
                    <w:pStyle w:val="66"/>
                    <w:rPr>
                      <w:color w:val="auto"/>
                    </w:rPr>
                  </w:pPr>
                  <w:r>
                    <w:rPr>
                      <w:rFonts w:hint="eastAsia"/>
                      <w:color w:val="auto"/>
                    </w:rPr>
                    <w:t>-</w:t>
                  </w:r>
                  <w:r>
                    <w:rPr>
                      <w:rFonts w:hint="eastAsia"/>
                      <w:color w:val="auto"/>
                      <w:lang w:val="en-US" w:eastAsia="zh-CN"/>
                    </w:rPr>
                    <w:t>9</w:t>
                  </w:r>
                  <w:r>
                    <w:rPr>
                      <w:rFonts w:hint="eastAsia"/>
                      <w:color w:val="auto"/>
                    </w:rPr>
                    <w:t>35</w:t>
                  </w:r>
                </w:p>
              </w:tc>
              <w:tc>
                <w:tcPr>
                  <w:tcW w:w="820" w:type="dxa"/>
                  <w:vAlign w:val="center"/>
                </w:tcPr>
                <w:p w14:paraId="05AA1F25">
                  <w:pPr>
                    <w:pStyle w:val="66"/>
                    <w:rPr>
                      <w:rFonts w:hint="default" w:eastAsia="宋体"/>
                      <w:color w:val="auto"/>
                      <w:lang w:val="en-US" w:eastAsia="zh-CN"/>
                    </w:rPr>
                  </w:pPr>
                  <w:r>
                    <w:rPr>
                      <w:rFonts w:hint="eastAsia"/>
                      <w:color w:val="auto"/>
                      <w:lang w:val="en-US" w:eastAsia="zh-CN"/>
                    </w:rPr>
                    <w:t>1600</w:t>
                  </w:r>
                </w:p>
              </w:tc>
              <w:tc>
                <w:tcPr>
                  <w:tcW w:w="1521" w:type="dxa"/>
                  <w:vAlign w:val="center"/>
                </w:tcPr>
                <w:p w14:paraId="6A7978A0">
                  <w:pPr>
                    <w:pStyle w:val="66"/>
                    <w:rPr>
                      <w:color w:val="auto"/>
                    </w:rPr>
                  </w:pPr>
                  <w:r>
                    <w:rPr>
                      <w:rFonts w:hint="eastAsia"/>
                      <w:color w:val="auto"/>
                    </w:rPr>
                    <w:t>非甲烷总烃</w:t>
                  </w:r>
                </w:p>
              </w:tc>
              <w:tc>
                <w:tcPr>
                  <w:tcW w:w="1394" w:type="dxa"/>
                  <w:vAlign w:val="center"/>
                </w:tcPr>
                <w:p w14:paraId="51157614">
                  <w:pPr>
                    <w:pStyle w:val="66"/>
                    <w:rPr>
                      <w:color w:val="auto"/>
                    </w:rPr>
                  </w:pPr>
                  <w:r>
                    <w:rPr>
                      <w:rFonts w:hint="eastAsia"/>
                      <w:color w:val="auto"/>
                    </w:rPr>
                    <w:t>20</w:t>
                  </w:r>
                  <w:r>
                    <w:rPr>
                      <w:color w:val="auto"/>
                    </w:rPr>
                    <w:t>2</w:t>
                  </w:r>
                  <w:r>
                    <w:rPr>
                      <w:rFonts w:hint="eastAsia"/>
                      <w:color w:val="auto"/>
                      <w:lang w:val="en-US" w:eastAsia="zh-CN"/>
                    </w:rPr>
                    <w:t>3</w:t>
                  </w:r>
                  <w:r>
                    <w:rPr>
                      <w:rFonts w:hint="eastAsia"/>
                      <w:color w:val="auto"/>
                    </w:rPr>
                    <w:t>年</w:t>
                  </w:r>
                  <w:r>
                    <w:rPr>
                      <w:color w:val="auto"/>
                    </w:rPr>
                    <w:t>4</w:t>
                  </w:r>
                  <w:r>
                    <w:rPr>
                      <w:rFonts w:hint="eastAsia"/>
                      <w:color w:val="auto"/>
                    </w:rPr>
                    <w:t>月</w:t>
                  </w:r>
                  <w:r>
                    <w:rPr>
                      <w:rFonts w:hint="eastAsia"/>
                      <w:color w:val="auto"/>
                      <w:lang w:val="en-US" w:eastAsia="zh-CN"/>
                    </w:rPr>
                    <w:t>2</w:t>
                  </w:r>
                  <w:r>
                    <w:rPr>
                      <w:rFonts w:hint="eastAsia"/>
                      <w:color w:val="auto"/>
                    </w:rPr>
                    <w:t>4~</w:t>
                  </w:r>
                  <w:r>
                    <w:rPr>
                      <w:rFonts w:hint="eastAsia"/>
                      <w:color w:val="auto"/>
                      <w:lang w:val="en-US" w:eastAsia="zh-CN"/>
                    </w:rPr>
                    <w:t>30</w:t>
                  </w:r>
                  <w:r>
                    <w:rPr>
                      <w:rFonts w:hint="eastAsia"/>
                      <w:color w:val="auto"/>
                    </w:rPr>
                    <w:t>日</w:t>
                  </w:r>
                </w:p>
              </w:tc>
              <w:tc>
                <w:tcPr>
                  <w:tcW w:w="1086" w:type="dxa"/>
                  <w:vAlign w:val="center"/>
                </w:tcPr>
                <w:p w14:paraId="3F5FC2F2">
                  <w:pPr>
                    <w:pStyle w:val="66"/>
                    <w:rPr>
                      <w:color w:val="auto"/>
                    </w:rPr>
                  </w:pPr>
                  <w:r>
                    <w:rPr>
                      <w:rFonts w:hint="eastAsia"/>
                      <w:color w:val="auto"/>
                    </w:rPr>
                    <w:t>西</w:t>
                  </w:r>
                  <w:r>
                    <w:rPr>
                      <w:rFonts w:hint="eastAsia"/>
                      <w:color w:val="auto"/>
                      <w:lang w:val="en-US" w:eastAsia="zh-CN"/>
                    </w:rPr>
                    <w:t>北</w:t>
                  </w:r>
                  <w:r>
                    <w:rPr>
                      <w:rFonts w:hint="eastAsia"/>
                      <w:color w:val="auto"/>
                    </w:rPr>
                    <w:t>侧</w:t>
                  </w:r>
                </w:p>
              </w:tc>
              <w:tc>
                <w:tcPr>
                  <w:tcW w:w="1126" w:type="dxa"/>
                  <w:vAlign w:val="center"/>
                </w:tcPr>
                <w:p w14:paraId="57C6840C">
                  <w:pPr>
                    <w:pStyle w:val="66"/>
                    <w:rPr>
                      <w:rFonts w:hint="default" w:eastAsia="宋体"/>
                      <w:color w:val="auto"/>
                      <w:lang w:val="en-US" w:eastAsia="zh-CN"/>
                    </w:rPr>
                  </w:pPr>
                  <w:r>
                    <w:rPr>
                      <w:rFonts w:hint="eastAsia"/>
                      <w:color w:val="auto"/>
                      <w:lang w:val="en-US" w:eastAsia="zh-CN"/>
                    </w:rPr>
                    <w:t>1900</w:t>
                  </w:r>
                </w:p>
              </w:tc>
            </w:tr>
          </w:tbl>
          <w:p w14:paraId="1273672B">
            <w:pPr>
              <w:pStyle w:val="68"/>
              <w:ind w:firstLine="520"/>
              <w:rPr>
                <w:color w:val="auto"/>
              </w:rPr>
            </w:pPr>
            <w:r>
              <w:rPr>
                <w:rFonts w:hint="eastAsia"/>
                <w:color w:val="auto"/>
              </w:rPr>
              <w:t>（2）评价标准与方法</w:t>
            </w:r>
          </w:p>
          <w:p w14:paraId="70499530">
            <w:pPr>
              <w:pStyle w:val="68"/>
              <w:ind w:firstLine="520"/>
              <w:rPr>
                <w:color w:val="auto"/>
              </w:rPr>
            </w:pPr>
            <w:r>
              <w:rPr>
                <w:rFonts w:hint="eastAsia"/>
                <w:color w:val="auto"/>
              </w:rPr>
              <w:t>非甲烷总烃参照执行河北省地方标准《环境空气质量 非甲烷总烃限值》（DB13/1577-2012）二级标准限值。</w:t>
            </w:r>
          </w:p>
          <w:p w14:paraId="51ED57F5">
            <w:pPr>
              <w:pStyle w:val="68"/>
              <w:ind w:firstLine="520"/>
              <w:rPr>
                <w:color w:val="auto"/>
              </w:rPr>
            </w:pPr>
            <w:r>
              <w:rPr>
                <w:rFonts w:hint="eastAsia"/>
                <w:color w:val="auto"/>
              </w:rPr>
              <w:t>环境空气质量现状评价方法采用导则推荐的最大浓度占标率进行评价。</w:t>
            </w:r>
            <w:r>
              <w:rPr>
                <w:color w:val="auto"/>
              </w:rPr>
              <w:t>当取值时间最大浓度值占相应标准浓度限值的百分比大于或等于100％时，表明环境空气质量超标。</w:t>
            </w:r>
          </w:p>
          <w:p w14:paraId="19544638">
            <w:pPr>
              <w:pStyle w:val="68"/>
              <w:ind w:firstLine="520"/>
              <w:rPr>
                <w:color w:val="auto"/>
              </w:rPr>
            </w:pPr>
            <w:r>
              <w:rPr>
                <w:rFonts w:hint="eastAsia"/>
                <w:color w:val="auto"/>
              </w:rPr>
              <w:t>评价公式如下：</w:t>
            </w:r>
          </w:p>
          <w:p w14:paraId="5116A19E">
            <w:pPr>
              <w:pStyle w:val="68"/>
              <w:ind w:firstLine="520"/>
              <w:jc w:val="center"/>
              <w:rPr>
                <w:color w:val="auto"/>
              </w:rPr>
            </w:pPr>
            <w:r>
              <w:rPr>
                <w:color w:val="auto"/>
              </w:rPr>
              <w:t>P</w:t>
            </w:r>
            <w:r>
              <w:rPr>
                <w:i/>
                <w:iCs/>
                <w:color w:val="auto"/>
              </w:rPr>
              <w:t>ij</w:t>
            </w:r>
            <w:r>
              <w:rPr>
                <w:color w:val="auto"/>
              </w:rPr>
              <w:t>=C</w:t>
            </w:r>
            <w:r>
              <w:rPr>
                <w:i/>
                <w:iCs/>
                <w:color w:val="auto"/>
              </w:rPr>
              <w:t>ij</w:t>
            </w:r>
            <w:r>
              <w:rPr>
                <w:color w:val="auto"/>
              </w:rPr>
              <w:t>/C</w:t>
            </w:r>
            <w:r>
              <w:rPr>
                <w:i/>
                <w:iCs/>
                <w:color w:val="auto"/>
              </w:rPr>
              <w:t>sj</w:t>
            </w:r>
            <w:r>
              <w:rPr>
                <w:color w:val="auto"/>
              </w:rPr>
              <w:t>×100%</w:t>
            </w:r>
          </w:p>
          <w:p w14:paraId="6C430AFB">
            <w:pPr>
              <w:pStyle w:val="68"/>
              <w:ind w:firstLine="520"/>
              <w:rPr>
                <w:color w:val="auto"/>
              </w:rPr>
            </w:pPr>
            <w:r>
              <w:rPr>
                <w:rFonts w:hint="eastAsia"/>
                <w:color w:val="auto"/>
              </w:rPr>
              <w:t>式中：P</w:t>
            </w:r>
            <w:r>
              <w:rPr>
                <w:rFonts w:hint="eastAsia"/>
                <w:i/>
                <w:iCs/>
                <w:color w:val="auto"/>
              </w:rPr>
              <w:t>ij</w:t>
            </w:r>
            <w:r>
              <w:rPr>
                <w:color w:val="auto"/>
              </w:rPr>
              <w:t>——</w:t>
            </w:r>
            <w:r>
              <w:rPr>
                <w:rFonts w:hint="eastAsia"/>
                <w:color w:val="auto"/>
              </w:rPr>
              <w:t>第i现状监测点第污染因子j的最大浓度占标率，其值在 0～100%之间为满足标准，大于100%则为超标；</w:t>
            </w:r>
          </w:p>
          <w:p w14:paraId="63091E31">
            <w:pPr>
              <w:pStyle w:val="68"/>
              <w:ind w:firstLine="1300" w:firstLineChars="500"/>
              <w:rPr>
                <w:color w:val="auto"/>
              </w:rPr>
            </w:pPr>
            <w:r>
              <w:rPr>
                <w:rFonts w:hint="eastAsia"/>
                <w:color w:val="auto"/>
              </w:rPr>
              <w:t>C</w:t>
            </w:r>
            <w:r>
              <w:rPr>
                <w:rFonts w:hint="eastAsia"/>
                <w:i/>
                <w:iCs/>
                <w:color w:val="auto"/>
              </w:rPr>
              <w:t>ij</w:t>
            </w:r>
            <w:r>
              <w:rPr>
                <w:color w:val="auto"/>
              </w:rPr>
              <w:t>——</w:t>
            </w:r>
            <w:r>
              <w:rPr>
                <w:rFonts w:hint="eastAsia"/>
                <w:color w:val="auto"/>
              </w:rPr>
              <w:t>第i现状监测点第污染因子j的实测浓度（mg/m</w:t>
            </w:r>
            <w:r>
              <w:rPr>
                <w:rFonts w:hint="eastAsia"/>
                <w:color w:val="auto"/>
                <w:vertAlign w:val="superscript"/>
              </w:rPr>
              <w:t>3</w:t>
            </w:r>
            <w:r>
              <w:rPr>
                <w:rFonts w:hint="eastAsia"/>
                <w:color w:val="auto"/>
              </w:rPr>
              <w:t>）；</w:t>
            </w:r>
          </w:p>
          <w:p w14:paraId="6FD823ED">
            <w:pPr>
              <w:pStyle w:val="68"/>
              <w:ind w:firstLine="1300" w:firstLineChars="500"/>
              <w:rPr>
                <w:color w:val="auto"/>
              </w:rPr>
            </w:pPr>
            <w:r>
              <w:rPr>
                <w:rFonts w:hint="eastAsia"/>
                <w:color w:val="auto"/>
              </w:rPr>
              <w:t>C</w:t>
            </w:r>
            <w:r>
              <w:rPr>
                <w:rFonts w:hint="eastAsia"/>
                <w:i/>
                <w:iCs/>
                <w:color w:val="auto"/>
              </w:rPr>
              <w:t>sj</w:t>
            </w:r>
            <w:r>
              <w:rPr>
                <w:color w:val="auto"/>
              </w:rPr>
              <w:t>——</w:t>
            </w:r>
            <w:r>
              <w:rPr>
                <w:rFonts w:hint="eastAsia"/>
                <w:color w:val="auto"/>
              </w:rPr>
              <w:t>污染因子j的环境质量标准（mg/m</w:t>
            </w:r>
            <w:r>
              <w:rPr>
                <w:rFonts w:hint="eastAsia"/>
                <w:color w:val="auto"/>
                <w:vertAlign w:val="superscript"/>
              </w:rPr>
              <w:t>3</w:t>
            </w:r>
            <w:r>
              <w:rPr>
                <w:rFonts w:hint="eastAsia"/>
                <w:color w:val="auto"/>
              </w:rPr>
              <w:t>）。</w:t>
            </w:r>
          </w:p>
          <w:p w14:paraId="51E72B0A">
            <w:pPr>
              <w:pStyle w:val="68"/>
              <w:ind w:firstLine="520"/>
              <w:rPr>
                <w:color w:val="auto"/>
              </w:rPr>
            </w:pPr>
            <w:r>
              <w:rPr>
                <w:rFonts w:hint="eastAsia"/>
                <w:color w:val="auto"/>
              </w:rPr>
              <w:t>（3）监测评价结果</w:t>
            </w:r>
          </w:p>
          <w:p w14:paraId="2C6B06DC">
            <w:pPr>
              <w:pStyle w:val="68"/>
              <w:ind w:firstLine="520"/>
              <w:rPr>
                <w:color w:val="auto"/>
              </w:rPr>
            </w:pPr>
            <w:r>
              <w:rPr>
                <w:rFonts w:hint="eastAsia"/>
                <w:color w:val="auto"/>
              </w:rPr>
              <w:t xml:space="preserve">监测及评价结果见表 </w:t>
            </w:r>
            <w:r>
              <w:rPr>
                <w:color w:val="auto"/>
              </w:rPr>
              <w:t>3.1</w:t>
            </w:r>
            <w:r>
              <w:rPr>
                <w:rFonts w:hint="eastAsia"/>
                <w:color w:val="auto"/>
              </w:rPr>
              <w:t>-3。</w:t>
            </w:r>
          </w:p>
          <w:p w14:paraId="20F2F2CD">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b w:val="0"/>
                <w:bCs/>
                <w:color w:val="auto"/>
              </w:rPr>
            </w:pPr>
            <w:r>
              <w:rPr>
                <w:rFonts w:hint="eastAsia"/>
                <w:b w:val="0"/>
                <w:bCs/>
                <w:color w:val="auto"/>
                <w:sz w:val="22"/>
                <w:szCs w:val="21"/>
              </w:rPr>
              <w:t>表</w:t>
            </w:r>
            <w:r>
              <w:rPr>
                <w:b w:val="0"/>
                <w:bCs/>
                <w:color w:val="auto"/>
                <w:sz w:val="22"/>
                <w:szCs w:val="21"/>
              </w:rPr>
              <w:t>3.1</w:t>
            </w:r>
            <w:r>
              <w:rPr>
                <w:rFonts w:hint="eastAsia"/>
                <w:b w:val="0"/>
                <w:bCs/>
                <w:color w:val="auto"/>
                <w:sz w:val="22"/>
                <w:szCs w:val="21"/>
              </w:rPr>
              <w:t>-3</w:t>
            </w:r>
            <w:r>
              <w:rPr>
                <w:rFonts w:hint="eastAsia"/>
                <w:b w:val="0"/>
                <w:bCs/>
                <w:color w:val="auto"/>
                <w:sz w:val="22"/>
                <w:szCs w:val="21"/>
                <w:lang w:val="en-US" w:eastAsia="zh-CN"/>
              </w:rPr>
              <w:t xml:space="preserve">  </w:t>
            </w:r>
            <w:r>
              <w:rPr>
                <w:rFonts w:hint="eastAsia"/>
                <w:b w:val="0"/>
                <w:bCs/>
                <w:color w:val="auto"/>
                <w:sz w:val="22"/>
                <w:szCs w:val="21"/>
              </w:rPr>
              <w:t>环境空气质量监控统计结果一览表</w:t>
            </w:r>
            <w:r>
              <w:rPr>
                <w:rFonts w:hint="eastAsia"/>
                <w:b w:val="0"/>
                <w:bCs/>
                <w:color w:val="auto"/>
                <w:sz w:val="22"/>
                <w:szCs w:val="21"/>
                <w:lang w:val="en-US" w:eastAsia="zh-CN"/>
              </w:rPr>
              <w:t xml:space="preserve">  </w:t>
            </w:r>
            <w:r>
              <w:rPr>
                <w:rFonts w:hint="eastAsia"/>
                <w:b w:val="0"/>
                <w:bCs/>
                <w:color w:val="auto"/>
                <w:sz w:val="22"/>
                <w:szCs w:val="21"/>
              </w:rPr>
              <w:t>单位：µg/m</w:t>
            </w:r>
            <w:r>
              <w:rPr>
                <w:b w:val="0"/>
                <w:bCs/>
                <w:color w:val="auto"/>
                <w:sz w:val="22"/>
                <w:szCs w:val="21"/>
              </w:rPr>
              <w:t>³</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658"/>
              <w:gridCol w:w="724"/>
              <w:gridCol w:w="938"/>
              <w:gridCol w:w="667"/>
              <w:gridCol w:w="792"/>
              <w:gridCol w:w="1126"/>
              <w:gridCol w:w="730"/>
              <w:gridCol w:w="656"/>
              <w:gridCol w:w="775"/>
            </w:tblGrid>
            <w:tr w14:paraId="2F3E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dxa"/>
                  <w:vMerge w:val="restart"/>
                  <w:vAlign w:val="center"/>
                </w:tcPr>
                <w:p w14:paraId="235963E3">
                  <w:pPr>
                    <w:pStyle w:val="66"/>
                    <w:rPr>
                      <w:color w:val="auto"/>
                    </w:rPr>
                  </w:pPr>
                  <w:r>
                    <w:rPr>
                      <w:color w:val="auto"/>
                    </w:rPr>
                    <w:t>监测点位</w:t>
                  </w:r>
                </w:p>
              </w:tc>
              <w:tc>
                <w:tcPr>
                  <w:tcW w:w="1382" w:type="dxa"/>
                  <w:gridSpan w:val="2"/>
                  <w:vAlign w:val="center"/>
                </w:tcPr>
                <w:p w14:paraId="09E35F55">
                  <w:pPr>
                    <w:pStyle w:val="66"/>
                    <w:rPr>
                      <w:color w:val="auto"/>
                    </w:rPr>
                  </w:pPr>
                  <w:r>
                    <w:rPr>
                      <w:color w:val="auto"/>
                    </w:rPr>
                    <w:t>监测点坐标m</w:t>
                  </w:r>
                </w:p>
              </w:tc>
              <w:tc>
                <w:tcPr>
                  <w:tcW w:w="938" w:type="dxa"/>
                  <w:vMerge w:val="restart"/>
                  <w:vAlign w:val="center"/>
                </w:tcPr>
                <w:p w14:paraId="72CD070F">
                  <w:pPr>
                    <w:pStyle w:val="66"/>
                    <w:rPr>
                      <w:color w:val="auto"/>
                    </w:rPr>
                  </w:pPr>
                  <w:r>
                    <w:rPr>
                      <w:color w:val="auto"/>
                    </w:rPr>
                    <w:t>污染物</w:t>
                  </w:r>
                </w:p>
              </w:tc>
              <w:tc>
                <w:tcPr>
                  <w:tcW w:w="667" w:type="dxa"/>
                  <w:vMerge w:val="restart"/>
                  <w:vAlign w:val="center"/>
                </w:tcPr>
                <w:p w14:paraId="3E94B9B8">
                  <w:pPr>
                    <w:pStyle w:val="66"/>
                    <w:rPr>
                      <w:color w:val="auto"/>
                    </w:rPr>
                  </w:pPr>
                  <w:r>
                    <w:rPr>
                      <w:color w:val="auto"/>
                    </w:rPr>
                    <w:t>平均时间</w:t>
                  </w:r>
                </w:p>
              </w:tc>
              <w:tc>
                <w:tcPr>
                  <w:tcW w:w="792" w:type="dxa"/>
                  <w:vMerge w:val="restart"/>
                  <w:vAlign w:val="center"/>
                </w:tcPr>
                <w:p w14:paraId="6AA597A4">
                  <w:pPr>
                    <w:pStyle w:val="66"/>
                    <w:rPr>
                      <w:color w:val="auto"/>
                    </w:rPr>
                  </w:pPr>
                  <w:r>
                    <w:rPr>
                      <w:color w:val="auto"/>
                    </w:rPr>
                    <w:t>评价标准</w:t>
                  </w:r>
                </w:p>
                <w:p w14:paraId="6DB75993">
                  <w:pPr>
                    <w:pStyle w:val="66"/>
                    <w:rPr>
                      <w:color w:val="auto"/>
                    </w:rPr>
                  </w:pPr>
                  <w:r>
                    <w:rPr>
                      <w:color w:val="auto"/>
                    </w:rPr>
                    <w:t>ug/m</w:t>
                  </w:r>
                  <w:r>
                    <w:rPr>
                      <w:color w:val="auto"/>
                      <w:vertAlign w:val="superscript"/>
                    </w:rPr>
                    <w:t>3</w:t>
                  </w:r>
                </w:p>
              </w:tc>
              <w:tc>
                <w:tcPr>
                  <w:tcW w:w="1126" w:type="dxa"/>
                  <w:vMerge w:val="restart"/>
                  <w:vAlign w:val="center"/>
                </w:tcPr>
                <w:p w14:paraId="2DF444EE">
                  <w:pPr>
                    <w:pStyle w:val="66"/>
                    <w:rPr>
                      <w:color w:val="auto"/>
                    </w:rPr>
                  </w:pPr>
                  <w:r>
                    <w:rPr>
                      <w:color w:val="auto"/>
                    </w:rPr>
                    <w:t>监测浓度范围</w:t>
                  </w:r>
                </w:p>
                <w:p w14:paraId="0F0520ED">
                  <w:pPr>
                    <w:pStyle w:val="66"/>
                    <w:rPr>
                      <w:color w:val="auto"/>
                    </w:rPr>
                  </w:pPr>
                  <w:r>
                    <w:rPr>
                      <w:color w:val="auto"/>
                    </w:rPr>
                    <w:t>ug/m</w:t>
                  </w:r>
                  <w:r>
                    <w:rPr>
                      <w:color w:val="auto"/>
                      <w:vertAlign w:val="superscript"/>
                    </w:rPr>
                    <w:t>3</w:t>
                  </w:r>
                </w:p>
              </w:tc>
              <w:tc>
                <w:tcPr>
                  <w:tcW w:w="730" w:type="dxa"/>
                  <w:vMerge w:val="restart"/>
                  <w:vAlign w:val="center"/>
                </w:tcPr>
                <w:p w14:paraId="52CCDBFE">
                  <w:pPr>
                    <w:pStyle w:val="66"/>
                    <w:rPr>
                      <w:color w:val="auto"/>
                    </w:rPr>
                  </w:pPr>
                  <w:r>
                    <w:rPr>
                      <w:color w:val="auto"/>
                    </w:rPr>
                    <w:t>最大浓度占标率%</w:t>
                  </w:r>
                </w:p>
              </w:tc>
              <w:tc>
                <w:tcPr>
                  <w:tcW w:w="656" w:type="dxa"/>
                  <w:vMerge w:val="restart"/>
                  <w:vAlign w:val="center"/>
                </w:tcPr>
                <w:p w14:paraId="18208C72">
                  <w:pPr>
                    <w:pStyle w:val="66"/>
                    <w:rPr>
                      <w:color w:val="auto"/>
                    </w:rPr>
                  </w:pPr>
                  <w:r>
                    <w:rPr>
                      <w:color w:val="auto"/>
                    </w:rPr>
                    <w:t>超标率</w:t>
                  </w:r>
                </w:p>
                <w:p w14:paraId="33B8BDD8">
                  <w:pPr>
                    <w:pStyle w:val="66"/>
                    <w:rPr>
                      <w:color w:val="auto"/>
                    </w:rPr>
                  </w:pPr>
                  <w:r>
                    <w:rPr>
                      <w:color w:val="auto"/>
                    </w:rPr>
                    <w:t>%</w:t>
                  </w:r>
                </w:p>
              </w:tc>
              <w:tc>
                <w:tcPr>
                  <w:tcW w:w="775" w:type="dxa"/>
                  <w:vMerge w:val="restart"/>
                  <w:vAlign w:val="center"/>
                </w:tcPr>
                <w:p w14:paraId="5157C56F">
                  <w:pPr>
                    <w:pStyle w:val="66"/>
                    <w:rPr>
                      <w:color w:val="auto"/>
                    </w:rPr>
                  </w:pPr>
                  <w:r>
                    <w:rPr>
                      <w:color w:val="auto"/>
                    </w:rPr>
                    <w:t>达标情况</w:t>
                  </w:r>
                </w:p>
              </w:tc>
            </w:tr>
            <w:tr w14:paraId="2B09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898" w:type="dxa"/>
                  <w:vMerge w:val="continue"/>
                  <w:vAlign w:val="center"/>
                </w:tcPr>
                <w:p w14:paraId="7BCAE792">
                  <w:pPr>
                    <w:pStyle w:val="66"/>
                    <w:rPr>
                      <w:color w:val="auto"/>
                    </w:rPr>
                  </w:pPr>
                </w:p>
              </w:tc>
              <w:tc>
                <w:tcPr>
                  <w:tcW w:w="658" w:type="dxa"/>
                  <w:vAlign w:val="center"/>
                </w:tcPr>
                <w:p w14:paraId="3222CEB7">
                  <w:pPr>
                    <w:pStyle w:val="66"/>
                    <w:rPr>
                      <w:color w:val="auto"/>
                    </w:rPr>
                  </w:pPr>
                  <w:r>
                    <w:rPr>
                      <w:color w:val="auto"/>
                    </w:rPr>
                    <w:t>X</w:t>
                  </w:r>
                </w:p>
              </w:tc>
              <w:tc>
                <w:tcPr>
                  <w:tcW w:w="724" w:type="dxa"/>
                  <w:vAlign w:val="center"/>
                </w:tcPr>
                <w:p w14:paraId="7C6113ED">
                  <w:pPr>
                    <w:pStyle w:val="66"/>
                    <w:rPr>
                      <w:color w:val="auto"/>
                    </w:rPr>
                  </w:pPr>
                  <w:r>
                    <w:rPr>
                      <w:color w:val="auto"/>
                    </w:rPr>
                    <w:t>Y</w:t>
                  </w:r>
                </w:p>
              </w:tc>
              <w:tc>
                <w:tcPr>
                  <w:tcW w:w="938" w:type="dxa"/>
                  <w:vMerge w:val="continue"/>
                  <w:vAlign w:val="center"/>
                </w:tcPr>
                <w:p w14:paraId="334655F2">
                  <w:pPr>
                    <w:pStyle w:val="66"/>
                    <w:rPr>
                      <w:color w:val="auto"/>
                    </w:rPr>
                  </w:pPr>
                </w:p>
              </w:tc>
              <w:tc>
                <w:tcPr>
                  <w:tcW w:w="667" w:type="dxa"/>
                  <w:vMerge w:val="continue"/>
                  <w:vAlign w:val="center"/>
                </w:tcPr>
                <w:p w14:paraId="2C5BFFA7">
                  <w:pPr>
                    <w:pStyle w:val="66"/>
                    <w:rPr>
                      <w:color w:val="auto"/>
                    </w:rPr>
                  </w:pPr>
                </w:p>
              </w:tc>
              <w:tc>
                <w:tcPr>
                  <w:tcW w:w="792" w:type="dxa"/>
                  <w:vMerge w:val="continue"/>
                  <w:vAlign w:val="center"/>
                </w:tcPr>
                <w:p w14:paraId="606B823B">
                  <w:pPr>
                    <w:pStyle w:val="66"/>
                    <w:rPr>
                      <w:color w:val="auto"/>
                    </w:rPr>
                  </w:pPr>
                </w:p>
              </w:tc>
              <w:tc>
                <w:tcPr>
                  <w:tcW w:w="1126" w:type="dxa"/>
                  <w:vMerge w:val="continue"/>
                  <w:vAlign w:val="center"/>
                </w:tcPr>
                <w:p w14:paraId="1770061A">
                  <w:pPr>
                    <w:pStyle w:val="66"/>
                    <w:rPr>
                      <w:color w:val="auto"/>
                    </w:rPr>
                  </w:pPr>
                </w:p>
              </w:tc>
              <w:tc>
                <w:tcPr>
                  <w:tcW w:w="730" w:type="dxa"/>
                  <w:vMerge w:val="continue"/>
                  <w:vAlign w:val="center"/>
                </w:tcPr>
                <w:p w14:paraId="3FA6BFCE">
                  <w:pPr>
                    <w:pStyle w:val="66"/>
                    <w:rPr>
                      <w:color w:val="auto"/>
                    </w:rPr>
                  </w:pPr>
                </w:p>
              </w:tc>
              <w:tc>
                <w:tcPr>
                  <w:tcW w:w="656" w:type="dxa"/>
                  <w:vMerge w:val="continue"/>
                  <w:vAlign w:val="center"/>
                </w:tcPr>
                <w:p w14:paraId="7B1909B0">
                  <w:pPr>
                    <w:pStyle w:val="66"/>
                    <w:rPr>
                      <w:color w:val="auto"/>
                    </w:rPr>
                  </w:pPr>
                </w:p>
              </w:tc>
              <w:tc>
                <w:tcPr>
                  <w:tcW w:w="775" w:type="dxa"/>
                  <w:vMerge w:val="continue"/>
                  <w:vAlign w:val="center"/>
                </w:tcPr>
                <w:p w14:paraId="0A95AC90">
                  <w:pPr>
                    <w:pStyle w:val="66"/>
                    <w:rPr>
                      <w:color w:val="auto"/>
                    </w:rPr>
                  </w:pPr>
                </w:p>
              </w:tc>
            </w:tr>
            <w:tr w14:paraId="76AB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vAlign w:val="center"/>
                </w:tcPr>
                <w:p w14:paraId="2F5B7D0F">
                  <w:pPr>
                    <w:pStyle w:val="66"/>
                    <w:rPr>
                      <w:rFonts w:hint="default" w:eastAsia="宋体"/>
                      <w:color w:val="auto"/>
                      <w:lang w:val="en-US" w:eastAsia="zh-CN"/>
                    </w:rPr>
                  </w:pPr>
                  <w:r>
                    <w:rPr>
                      <w:rFonts w:hint="eastAsia"/>
                      <w:color w:val="auto"/>
                      <w:lang w:val="en-US" w:eastAsia="zh-CN"/>
                    </w:rPr>
                    <w:t>和平小学处</w:t>
                  </w:r>
                </w:p>
              </w:tc>
              <w:tc>
                <w:tcPr>
                  <w:tcW w:w="658" w:type="dxa"/>
                  <w:vAlign w:val="center"/>
                </w:tcPr>
                <w:p w14:paraId="63D96D28">
                  <w:pPr>
                    <w:pStyle w:val="66"/>
                    <w:rPr>
                      <w:color w:val="auto"/>
                    </w:rPr>
                  </w:pPr>
                  <w:r>
                    <w:rPr>
                      <w:rFonts w:hint="eastAsia"/>
                      <w:color w:val="auto"/>
                    </w:rPr>
                    <w:t>-</w:t>
                  </w:r>
                  <w:r>
                    <w:rPr>
                      <w:rFonts w:hint="eastAsia"/>
                      <w:color w:val="auto"/>
                      <w:lang w:val="en-US" w:eastAsia="zh-CN"/>
                    </w:rPr>
                    <w:t>9</w:t>
                  </w:r>
                  <w:r>
                    <w:rPr>
                      <w:rFonts w:hint="eastAsia"/>
                      <w:color w:val="auto"/>
                    </w:rPr>
                    <w:t>35</w:t>
                  </w:r>
                </w:p>
              </w:tc>
              <w:tc>
                <w:tcPr>
                  <w:tcW w:w="724" w:type="dxa"/>
                  <w:vAlign w:val="center"/>
                </w:tcPr>
                <w:p w14:paraId="273D8707">
                  <w:pPr>
                    <w:pStyle w:val="66"/>
                    <w:rPr>
                      <w:rFonts w:hint="default" w:eastAsia="宋体"/>
                      <w:color w:val="auto"/>
                      <w:lang w:val="en-US" w:eastAsia="zh-CN"/>
                    </w:rPr>
                  </w:pPr>
                  <w:r>
                    <w:rPr>
                      <w:rFonts w:hint="eastAsia"/>
                      <w:color w:val="auto"/>
                      <w:lang w:val="en-US" w:eastAsia="zh-CN"/>
                    </w:rPr>
                    <w:t>1600</w:t>
                  </w:r>
                </w:p>
              </w:tc>
              <w:tc>
                <w:tcPr>
                  <w:tcW w:w="938" w:type="dxa"/>
                  <w:vAlign w:val="center"/>
                </w:tcPr>
                <w:p w14:paraId="7E71D5CE">
                  <w:pPr>
                    <w:pStyle w:val="66"/>
                    <w:rPr>
                      <w:color w:val="auto"/>
                    </w:rPr>
                  </w:pPr>
                  <w:r>
                    <w:rPr>
                      <w:rFonts w:hint="eastAsia"/>
                      <w:color w:val="auto"/>
                    </w:rPr>
                    <w:t>非甲烷总烃</w:t>
                  </w:r>
                </w:p>
              </w:tc>
              <w:tc>
                <w:tcPr>
                  <w:tcW w:w="667" w:type="dxa"/>
                  <w:vAlign w:val="center"/>
                </w:tcPr>
                <w:p w14:paraId="70243DDD">
                  <w:pPr>
                    <w:pStyle w:val="66"/>
                    <w:rPr>
                      <w:color w:val="auto"/>
                    </w:rPr>
                  </w:pPr>
                  <w:r>
                    <w:rPr>
                      <w:color w:val="auto"/>
                    </w:rPr>
                    <w:t>小时平均</w:t>
                  </w:r>
                </w:p>
              </w:tc>
              <w:tc>
                <w:tcPr>
                  <w:tcW w:w="792" w:type="dxa"/>
                  <w:vAlign w:val="center"/>
                </w:tcPr>
                <w:p w14:paraId="39663535">
                  <w:pPr>
                    <w:pStyle w:val="66"/>
                    <w:rPr>
                      <w:color w:val="auto"/>
                    </w:rPr>
                  </w:pPr>
                  <w:r>
                    <w:rPr>
                      <w:color w:val="auto"/>
                    </w:rPr>
                    <w:t>2000</w:t>
                  </w:r>
                </w:p>
              </w:tc>
              <w:tc>
                <w:tcPr>
                  <w:tcW w:w="1126" w:type="dxa"/>
                  <w:vAlign w:val="center"/>
                </w:tcPr>
                <w:p w14:paraId="2113F7B7">
                  <w:pPr>
                    <w:pStyle w:val="66"/>
                    <w:rPr>
                      <w:rFonts w:hint="default" w:eastAsia="宋体"/>
                      <w:color w:val="auto"/>
                      <w:lang w:val="en-US" w:eastAsia="zh-CN"/>
                    </w:rPr>
                  </w:pPr>
                  <w:r>
                    <w:rPr>
                      <w:rFonts w:hint="eastAsia"/>
                      <w:color w:val="auto"/>
                      <w:lang w:val="en-US" w:eastAsia="zh-CN"/>
                    </w:rPr>
                    <w:t>32</w:t>
                  </w:r>
                  <w:r>
                    <w:rPr>
                      <w:rFonts w:hint="eastAsia"/>
                      <w:color w:val="auto"/>
                    </w:rPr>
                    <w:t>0-</w:t>
                  </w:r>
                  <w:r>
                    <w:rPr>
                      <w:rFonts w:hint="eastAsia"/>
                      <w:color w:val="auto"/>
                      <w:lang w:val="en-US" w:eastAsia="zh-CN"/>
                    </w:rPr>
                    <w:t>680</w:t>
                  </w:r>
                </w:p>
              </w:tc>
              <w:tc>
                <w:tcPr>
                  <w:tcW w:w="730" w:type="dxa"/>
                  <w:vAlign w:val="center"/>
                </w:tcPr>
                <w:p w14:paraId="1612E992">
                  <w:pPr>
                    <w:pStyle w:val="66"/>
                    <w:rPr>
                      <w:rFonts w:hint="default" w:eastAsia="宋体"/>
                      <w:color w:val="auto"/>
                      <w:lang w:val="en-US" w:eastAsia="zh-CN"/>
                    </w:rPr>
                  </w:pPr>
                  <w:r>
                    <w:rPr>
                      <w:rFonts w:hint="eastAsia"/>
                      <w:color w:val="auto"/>
                    </w:rPr>
                    <w:t>3</w:t>
                  </w:r>
                  <w:r>
                    <w:rPr>
                      <w:rFonts w:hint="eastAsia"/>
                      <w:color w:val="auto"/>
                      <w:lang w:val="en-US" w:eastAsia="zh-CN"/>
                    </w:rPr>
                    <w:t>4.0</w:t>
                  </w:r>
                </w:p>
              </w:tc>
              <w:tc>
                <w:tcPr>
                  <w:tcW w:w="656" w:type="dxa"/>
                  <w:vAlign w:val="center"/>
                </w:tcPr>
                <w:p w14:paraId="6E974174">
                  <w:pPr>
                    <w:pStyle w:val="66"/>
                    <w:rPr>
                      <w:color w:val="auto"/>
                    </w:rPr>
                  </w:pPr>
                  <w:r>
                    <w:rPr>
                      <w:rFonts w:hint="eastAsia"/>
                      <w:color w:val="auto"/>
                    </w:rPr>
                    <w:t>0</w:t>
                  </w:r>
                </w:p>
              </w:tc>
              <w:tc>
                <w:tcPr>
                  <w:tcW w:w="775" w:type="dxa"/>
                  <w:vAlign w:val="center"/>
                </w:tcPr>
                <w:p w14:paraId="3BB700EB">
                  <w:pPr>
                    <w:pStyle w:val="66"/>
                    <w:rPr>
                      <w:color w:val="auto"/>
                    </w:rPr>
                  </w:pPr>
                  <w:r>
                    <w:rPr>
                      <w:color w:val="auto"/>
                    </w:rPr>
                    <w:t>达标</w:t>
                  </w:r>
                </w:p>
              </w:tc>
            </w:tr>
          </w:tbl>
          <w:p w14:paraId="1975B0AD">
            <w:pPr>
              <w:pStyle w:val="68"/>
              <w:ind w:firstLine="520"/>
              <w:rPr>
                <w:color w:val="auto"/>
              </w:rPr>
            </w:pPr>
            <w:r>
              <w:rPr>
                <w:rFonts w:hint="eastAsia"/>
                <w:color w:val="auto"/>
              </w:rPr>
              <w:t>根据表</w:t>
            </w:r>
            <w:r>
              <w:rPr>
                <w:color w:val="auto"/>
              </w:rPr>
              <w:t>3.1</w:t>
            </w:r>
            <w:r>
              <w:rPr>
                <w:rFonts w:hint="eastAsia"/>
                <w:color w:val="auto"/>
              </w:rPr>
              <w:t>-3 可知，项目所在区域非甲烷总烃满足《环境空气质量 非甲烷总烃限值》（DB13/1577-2012）二级标准要求。</w:t>
            </w:r>
          </w:p>
          <w:p w14:paraId="1E93AE3E">
            <w:pPr>
              <w:adjustRightInd w:val="0"/>
              <w:snapToGrid w:val="0"/>
              <w:spacing w:line="460" w:lineRule="exact"/>
              <w:jc w:val="left"/>
              <w:rPr>
                <w:b/>
                <w:sz w:val="26"/>
                <w:szCs w:val="26"/>
              </w:rPr>
            </w:pPr>
            <w:r>
              <w:rPr>
                <w:b/>
                <w:sz w:val="26"/>
                <w:szCs w:val="26"/>
              </w:rPr>
              <w:t>3.1.2地表水环境</w:t>
            </w:r>
          </w:p>
          <w:p w14:paraId="5634FFC6">
            <w:pPr>
              <w:pStyle w:val="68"/>
              <w:ind w:firstLine="520"/>
              <w:rPr>
                <w:color w:val="auto"/>
                <w:szCs w:val="26"/>
              </w:rPr>
            </w:pPr>
            <w:r>
              <w:rPr>
                <w:rFonts w:hint="eastAsia"/>
                <w:color w:val="auto"/>
                <w:szCs w:val="26"/>
                <w:lang w:val="en-US" w:eastAsia="zh-CN"/>
              </w:rPr>
              <w:t>本项目位于</w:t>
            </w:r>
            <w:r>
              <w:rPr>
                <w:rFonts w:hint="eastAsia"/>
                <w:color w:val="auto"/>
                <w:lang w:val="en-US" w:eastAsia="zh-CN"/>
              </w:rPr>
              <w:t>重庆市</w:t>
            </w:r>
            <w:r>
              <w:rPr>
                <w:rFonts w:hint="eastAsia"/>
                <w:color w:val="auto"/>
              </w:rPr>
              <w:t>九龙坡区华福大道北段400号</w:t>
            </w:r>
            <w:r>
              <w:rPr>
                <w:rFonts w:hint="eastAsia"/>
                <w:color w:val="auto"/>
                <w:lang w:eastAsia="zh-CN"/>
              </w:rPr>
              <w:t>，</w:t>
            </w:r>
            <w:r>
              <w:rPr>
                <w:rFonts w:hint="eastAsia"/>
                <w:color w:val="auto"/>
                <w:szCs w:val="26"/>
              </w:rPr>
              <w:t>项目污水纳污水体为</w:t>
            </w:r>
            <w:r>
              <w:rPr>
                <w:rFonts w:hint="eastAsia"/>
                <w:color w:val="auto"/>
                <w:szCs w:val="26"/>
                <w:lang w:val="en-US" w:eastAsia="zh-CN"/>
              </w:rPr>
              <w:t>跳蹬河</w:t>
            </w:r>
            <w:r>
              <w:rPr>
                <w:rFonts w:hint="eastAsia"/>
                <w:color w:val="auto"/>
                <w:szCs w:val="26"/>
              </w:rPr>
              <w:t>。</w:t>
            </w:r>
            <w:r>
              <w:rPr>
                <w:rFonts w:hint="eastAsia"/>
                <w:color w:val="auto"/>
                <w:highlight w:val="none"/>
                <w:lang w:val="en-US" w:eastAsia="zh-CN" w:bidi="ar"/>
              </w:rPr>
              <w:t>根据《重庆市大渡口区水生态环境保护“十四五”规划》《重庆市大渡口区“三线一单”生态环境分区管控调整方案（2023年）》，跳磴河水质到2025年稳定达到《地表水环境质量标准》（GB3838-2002）V类标准。</w:t>
            </w:r>
          </w:p>
          <w:p w14:paraId="20FE0ED4">
            <w:pPr>
              <w:adjustRightInd w:val="0"/>
              <w:snapToGrid w:val="0"/>
              <w:spacing w:line="460" w:lineRule="exact"/>
              <w:ind w:firstLine="520" w:firstLineChars="200"/>
              <w:rPr>
                <w:rFonts w:hint="eastAsia" w:ascii="Times New Roman" w:hAnsi="Times New Roman" w:eastAsia="宋体" w:cs="Times New Roman"/>
                <w:color w:val="auto"/>
                <w:sz w:val="26"/>
                <w:szCs w:val="26"/>
                <w:lang w:val="en-US" w:eastAsia="zh-CN"/>
              </w:rPr>
            </w:pPr>
            <w:r>
              <w:rPr>
                <w:rFonts w:ascii="Times New Roman" w:hAnsi="Times New Roman" w:eastAsia="宋体" w:cs="Times New Roman"/>
                <w:color w:val="auto"/>
                <w:sz w:val="26"/>
                <w:szCs w:val="26"/>
              </w:rPr>
              <w:t>本次评价引用</w:t>
            </w:r>
            <w:r>
              <w:rPr>
                <w:rFonts w:hint="eastAsia" w:ascii="Times New Roman" w:hAnsi="Times New Roman" w:eastAsia="宋体" w:cs="Times New Roman"/>
                <w:color w:val="auto"/>
                <w:sz w:val="26"/>
                <w:szCs w:val="26"/>
              </w:rPr>
              <w:t>重庆港庆测控技术有限公司</w:t>
            </w:r>
            <w:r>
              <w:rPr>
                <w:rFonts w:hint="eastAsia" w:ascii="Times New Roman" w:hAnsi="Times New Roman" w:eastAsia="宋体" w:cs="Times New Roman"/>
                <w:color w:val="auto"/>
                <w:sz w:val="26"/>
                <w:szCs w:val="26"/>
                <w:lang w:val="en-US" w:eastAsia="zh-CN"/>
              </w:rPr>
              <w:t>对</w:t>
            </w:r>
            <w:r>
              <w:rPr>
                <w:rFonts w:hint="eastAsia" w:ascii="Times New Roman" w:hAnsi="Times New Roman" w:eastAsia="宋体" w:cs="Times New Roman"/>
                <w:color w:val="auto"/>
                <w:sz w:val="26"/>
                <w:szCs w:val="26"/>
                <w:lang w:eastAsia="zh-CN"/>
              </w:rPr>
              <w:t>《重庆建桥工业园区（A区、B区、C区）环境影响评价目》（港庆（监）字〔202</w:t>
            </w:r>
            <w:r>
              <w:rPr>
                <w:rFonts w:hint="eastAsia" w:ascii="Times New Roman" w:hAnsi="Times New Roman" w:eastAsia="宋体" w:cs="Times New Roman"/>
                <w:color w:val="auto"/>
                <w:sz w:val="26"/>
                <w:szCs w:val="26"/>
                <w:lang w:val="en-US" w:eastAsia="zh-CN"/>
              </w:rPr>
              <w:t>3</w:t>
            </w:r>
            <w:r>
              <w:rPr>
                <w:rFonts w:hint="eastAsia" w:ascii="Times New Roman" w:hAnsi="Times New Roman" w:eastAsia="宋体" w:cs="Times New Roman"/>
                <w:color w:val="auto"/>
                <w:sz w:val="26"/>
                <w:szCs w:val="26"/>
                <w:lang w:eastAsia="zh-CN"/>
              </w:rPr>
              <w:t>〕第</w:t>
            </w:r>
            <w:r>
              <w:rPr>
                <w:rFonts w:hint="eastAsia" w:ascii="Times New Roman" w:hAnsi="Times New Roman" w:eastAsia="宋体" w:cs="Times New Roman"/>
                <w:color w:val="auto"/>
                <w:sz w:val="26"/>
                <w:szCs w:val="26"/>
                <w:lang w:val="en-US" w:eastAsia="zh-CN"/>
              </w:rPr>
              <w:t>04096</w:t>
            </w:r>
            <w:r>
              <w:rPr>
                <w:rFonts w:hint="eastAsia" w:ascii="Times New Roman" w:hAnsi="Times New Roman" w:eastAsia="宋体" w:cs="Times New Roman"/>
                <w:color w:val="auto"/>
                <w:sz w:val="26"/>
                <w:szCs w:val="26"/>
                <w:lang w:eastAsia="zh-CN"/>
              </w:rPr>
              <w:t>-HP号）</w:t>
            </w:r>
            <w:r>
              <w:rPr>
                <w:rFonts w:hint="eastAsia" w:ascii="Times New Roman" w:hAnsi="Times New Roman" w:eastAsia="宋体" w:cs="Times New Roman"/>
                <w:color w:val="auto"/>
                <w:sz w:val="26"/>
                <w:szCs w:val="26"/>
                <w:lang w:val="en-US" w:eastAsia="zh-CN"/>
              </w:rPr>
              <w:t>监测报告</w:t>
            </w:r>
            <w:r>
              <w:rPr>
                <w:rFonts w:hint="eastAsia" w:ascii="Times New Roman" w:hAnsi="Times New Roman" w:eastAsia="宋体" w:cs="Times New Roman"/>
                <w:color w:val="auto"/>
                <w:sz w:val="26"/>
                <w:szCs w:val="26"/>
                <w:lang w:eastAsia="zh-CN"/>
              </w:rPr>
              <w:t>中</w:t>
            </w:r>
            <w:r>
              <w:rPr>
                <w:rFonts w:hint="eastAsia" w:ascii="Times New Roman" w:hAnsi="Times New Roman" w:eastAsia="宋体" w:cs="Times New Roman"/>
                <w:color w:val="auto"/>
                <w:sz w:val="26"/>
                <w:szCs w:val="26"/>
                <w:lang w:val="en-US" w:eastAsia="zh-CN"/>
              </w:rPr>
              <w:t>地表水现状</w:t>
            </w:r>
            <w:r>
              <w:rPr>
                <w:rFonts w:hint="eastAsia" w:ascii="Times New Roman" w:hAnsi="Times New Roman" w:eastAsia="宋体" w:cs="Times New Roman"/>
                <w:color w:val="auto"/>
                <w:sz w:val="26"/>
                <w:szCs w:val="26"/>
                <w:lang w:eastAsia="zh-CN"/>
              </w:rPr>
              <w:t>监测数据</w:t>
            </w:r>
            <w:r>
              <w:rPr>
                <w:rFonts w:hint="eastAsia" w:ascii="Times New Roman" w:hAnsi="Times New Roman" w:eastAsia="宋体" w:cs="Times New Roman"/>
                <w:color w:val="auto"/>
                <w:sz w:val="26"/>
                <w:szCs w:val="26"/>
                <w:lang w:val="en-US" w:eastAsia="zh-CN"/>
              </w:rPr>
              <w:t>对项目所在区域地表水环境质量进行评价</w:t>
            </w:r>
            <w:r>
              <w:rPr>
                <w:rFonts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rPr>
              <w:t>监测时间为</w:t>
            </w:r>
            <w:r>
              <w:rPr>
                <w:rFonts w:hint="eastAsia" w:ascii="Times New Roman" w:hAnsi="Times New Roman" w:eastAsia="宋体" w:cs="Times New Roman"/>
                <w:color w:val="auto"/>
                <w:sz w:val="28"/>
                <w:szCs w:val="28"/>
                <w:highlight w:val="none"/>
                <w:lang w:eastAsia="zh-CN"/>
              </w:rPr>
              <w:t>202</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eastAsia="zh-CN"/>
              </w:rPr>
              <w:t>年</w:t>
            </w:r>
            <w:r>
              <w:rPr>
                <w:rFonts w:hint="eastAsia" w:ascii="Times New Roman" w:hAnsi="Times New Roman" w:eastAsia="宋体" w:cs="Times New Roman"/>
                <w:color w:val="auto"/>
                <w:sz w:val="28"/>
                <w:szCs w:val="28"/>
                <w:highlight w:val="none"/>
                <w:lang w:val="en-US" w:eastAsia="zh-CN"/>
              </w:rPr>
              <w:t>04</w:t>
            </w:r>
            <w:r>
              <w:rPr>
                <w:rFonts w:hint="default" w:ascii="Times New Roman" w:hAnsi="Times New Roman" w:eastAsia="宋体" w:cs="Times New Roman"/>
                <w:color w:val="auto"/>
                <w:sz w:val="28"/>
                <w:szCs w:val="28"/>
                <w:highlight w:val="none"/>
                <w:lang w:eastAsia="zh-CN"/>
              </w:rPr>
              <w:t>月</w:t>
            </w:r>
            <w:r>
              <w:rPr>
                <w:rFonts w:hint="eastAsia" w:ascii="Times New Roman" w:hAnsi="Times New Roman" w:eastAsia="宋体" w:cs="Times New Roman"/>
                <w:color w:val="auto"/>
                <w:sz w:val="28"/>
                <w:szCs w:val="28"/>
                <w:highlight w:val="none"/>
                <w:lang w:val="en-US" w:eastAsia="zh-CN"/>
              </w:rPr>
              <w:t>26</w:t>
            </w:r>
            <w:r>
              <w:rPr>
                <w:rFonts w:hint="default" w:ascii="Times New Roman" w:hAnsi="Times New Roman" w:eastAsia="宋体" w:cs="Times New Roman"/>
                <w:color w:val="auto"/>
                <w:sz w:val="28"/>
                <w:szCs w:val="28"/>
                <w:highlight w:val="none"/>
                <w:lang w:eastAsia="zh-CN"/>
              </w:rPr>
              <w:t>日</w:t>
            </w:r>
            <w:r>
              <w:rPr>
                <w:rFonts w:hint="eastAsia" w:ascii="Times New Roman" w:hAnsi="Times New Roman" w:eastAsia="宋体" w:cs="Times New Roman"/>
                <w:color w:val="auto"/>
                <w:sz w:val="28"/>
                <w:szCs w:val="28"/>
                <w:highlight w:val="none"/>
                <w:lang w:eastAsia="zh-CN"/>
              </w:rPr>
              <w:t>至</w:t>
            </w:r>
            <w:r>
              <w:rPr>
                <w:rFonts w:hint="eastAsia" w:ascii="Times New Roman" w:hAnsi="Times New Roman" w:eastAsia="宋体" w:cs="Times New Roman"/>
                <w:color w:val="auto"/>
                <w:sz w:val="28"/>
                <w:szCs w:val="28"/>
                <w:highlight w:val="none"/>
                <w:lang w:val="en-US" w:eastAsia="zh-CN"/>
              </w:rPr>
              <w:t>04月28</w:t>
            </w:r>
            <w:r>
              <w:rPr>
                <w:rFonts w:hint="default" w:ascii="Times New Roman" w:hAnsi="Times New Roman" w:eastAsia="宋体" w:cs="Times New Roman"/>
                <w:color w:val="auto"/>
                <w:sz w:val="28"/>
                <w:szCs w:val="28"/>
                <w:highlight w:val="none"/>
                <w:lang w:eastAsia="zh-CN"/>
              </w:rPr>
              <w:t>日</w:t>
            </w:r>
            <w:r>
              <w:rPr>
                <w:rFonts w:hint="eastAsia" w:ascii="Times New Roman" w:hAnsi="Times New Roman" w:eastAsia="宋体" w:cs="Times New Roman"/>
                <w:color w:val="auto"/>
                <w:sz w:val="26"/>
                <w:szCs w:val="26"/>
              </w:rPr>
              <w:t>，监测至今区域内尚未新增排放同类污染物的较大污染源</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地表水环境质量现状变化不大。因此，本次评价引用的地表水监测数据能反映区域地表水环境质量现状，监测资料引用合理可</w:t>
            </w:r>
            <w:r>
              <w:rPr>
                <w:rFonts w:hint="eastAsia" w:ascii="Times New Roman" w:hAnsi="Times New Roman" w:eastAsia="宋体" w:cs="Times New Roman"/>
                <w:color w:val="auto"/>
                <w:sz w:val="26"/>
                <w:szCs w:val="26"/>
                <w:lang w:val="en-US" w:eastAsia="zh-CN"/>
              </w:rPr>
              <w:t>行。</w:t>
            </w:r>
          </w:p>
          <w:p w14:paraId="01A20473">
            <w:pPr>
              <w:adjustRightInd w:val="0"/>
              <w:snapToGrid w:val="0"/>
              <w:spacing w:line="460" w:lineRule="exact"/>
              <w:ind w:firstLine="520" w:firstLineChars="200"/>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1</w:t>
            </w:r>
            <w:r>
              <w:rPr>
                <w:rFonts w:hint="eastAsia" w:ascii="Times New Roman" w:hAnsi="Times New Roman" w:eastAsia="宋体" w:cs="Times New Roman"/>
                <w:color w:val="auto"/>
                <w:sz w:val="26"/>
                <w:szCs w:val="26"/>
                <w:lang w:eastAsia="zh-CN"/>
              </w:rPr>
              <w:t>）监测点位</w:t>
            </w:r>
          </w:p>
          <w:p w14:paraId="5C68BBD5">
            <w:pPr>
              <w:adjustRightInd w:val="0"/>
              <w:snapToGrid w:val="0"/>
              <w:spacing w:line="460" w:lineRule="exact"/>
              <w:ind w:firstLine="520" w:firstLineChars="200"/>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val="en-US" w:eastAsia="zh-CN"/>
              </w:rPr>
              <w:t>建桥园区C区工业废水集中处理设施排污口上游500m，编号为W1；跳磴河例行监测断面（沟口村例行断面，大九污水处理厂排污口下游约2000m），编号为W2；</w:t>
            </w:r>
          </w:p>
          <w:p w14:paraId="208A00EF">
            <w:pPr>
              <w:adjustRightInd w:val="0"/>
              <w:snapToGrid w:val="0"/>
              <w:spacing w:line="460" w:lineRule="exact"/>
              <w:ind w:firstLine="520" w:firstLineChars="200"/>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2</w:t>
            </w:r>
            <w:r>
              <w:rPr>
                <w:rFonts w:hint="eastAsia" w:ascii="Times New Roman" w:hAnsi="Times New Roman" w:eastAsia="宋体" w:cs="Times New Roman"/>
                <w:color w:val="auto"/>
                <w:sz w:val="26"/>
                <w:szCs w:val="26"/>
                <w:lang w:eastAsia="zh-CN"/>
              </w:rPr>
              <w:t>）监测因子</w:t>
            </w:r>
          </w:p>
          <w:p w14:paraId="1D1C7C14">
            <w:pPr>
              <w:adjustRightInd w:val="0"/>
              <w:snapToGrid w:val="0"/>
              <w:spacing w:line="470" w:lineRule="exact"/>
              <w:ind w:firstLine="520" w:firstLineChars="200"/>
              <w:rPr>
                <w:rFonts w:hint="eastAsia" w:ascii="Times New Roman" w:hAnsi="Times New Roman" w:eastAsia="宋体" w:cs="Times New Roman"/>
                <w:color w:val="auto"/>
                <w:sz w:val="26"/>
                <w:szCs w:val="26"/>
                <w:highlight w:val="none"/>
                <w:lang w:eastAsia="zh-CN"/>
              </w:rPr>
            </w:pPr>
            <w:r>
              <w:rPr>
                <w:rFonts w:ascii="Times New Roman"/>
                <w:color w:val="auto"/>
                <w:sz w:val="26"/>
                <w:szCs w:val="26"/>
                <w:highlight w:val="none"/>
              </w:rPr>
              <w:t>pH</w:t>
            </w:r>
            <w:r>
              <w:rPr>
                <w:rFonts w:hint="eastAsia" w:ascii="Times New Roman"/>
                <w:color w:val="auto"/>
                <w:sz w:val="26"/>
                <w:szCs w:val="26"/>
                <w:highlight w:val="none"/>
              </w:rPr>
              <w:t>、</w:t>
            </w:r>
            <w:r>
              <w:rPr>
                <w:rFonts w:ascii="Times New Roman"/>
                <w:color w:val="auto"/>
                <w:sz w:val="26"/>
                <w:szCs w:val="26"/>
                <w:highlight w:val="none"/>
              </w:rPr>
              <w:t>COD</w:t>
            </w:r>
            <w:r>
              <w:rPr>
                <w:rFonts w:hint="eastAsia" w:ascii="Times New Roman"/>
                <w:color w:val="auto"/>
                <w:sz w:val="26"/>
                <w:szCs w:val="26"/>
                <w:highlight w:val="none"/>
              </w:rPr>
              <w:t>、</w:t>
            </w:r>
            <w:r>
              <w:rPr>
                <w:rFonts w:ascii="Times New Roman"/>
                <w:color w:val="auto"/>
                <w:sz w:val="26"/>
                <w:szCs w:val="26"/>
                <w:highlight w:val="none"/>
              </w:rPr>
              <w:t>BOD</w:t>
            </w:r>
            <w:r>
              <w:rPr>
                <w:rFonts w:ascii="Times New Roman"/>
                <w:color w:val="auto"/>
                <w:sz w:val="26"/>
                <w:szCs w:val="26"/>
                <w:highlight w:val="none"/>
                <w:vertAlign w:val="subscript"/>
              </w:rPr>
              <w:t>5</w:t>
            </w:r>
            <w:r>
              <w:rPr>
                <w:rFonts w:hint="eastAsia" w:ascii="Times New Roman"/>
                <w:color w:val="auto"/>
                <w:sz w:val="26"/>
                <w:szCs w:val="26"/>
                <w:highlight w:val="none"/>
              </w:rPr>
              <w:t>、</w:t>
            </w:r>
            <w:r>
              <w:rPr>
                <w:rFonts w:ascii="Times New Roman"/>
                <w:color w:val="auto"/>
                <w:sz w:val="26"/>
                <w:szCs w:val="26"/>
                <w:highlight w:val="none"/>
              </w:rPr>
              <w:t>NH</w:t>
            </w:r>
            <w:r>
              <w:rPr>
                <w:rFonts w:ascii="Times New Roman"/>
                <w:color w:val="auto"/>
                <w:sz w:val="26"/>
                <w:szCs w:val="26"/>
                <w:highlight w:val="none"/>
                <w:vertAlign w:val="subscript"/>
              </w:rPr>
              <w:t>3</w:t>
            </w:r>
            <w:r>
              <w:rPr>
                <w:rFonts w:ascii="Times New Roman"/>
                <w:color w:val="auto"/>
                <w:sz w:val="26"/>
                <w:szCs w:val="26"/>
                <w:highlight w:val="none"/>
              </w:rPr>
              <w:t>-N</w:t>
            </w:r>
            <w:r>
              <w:rPr>
                <w:rFonts w:hint="eastAsia" w:ascii="Times New Roman"/>
                <w:color w:val="auto"/>
                <w:sz w:val="26"/>
                <w:szCs w:val="26"/>
                <w:highlight w:val="none"/>
                <w:lang w:eastAsia="zh-CN"/>
              </w:rPr>
              <w:t>、</w:t>
            </w:r>
            <w:r>
              <w:rPr>
                <w:rFonts w:hint="eastAsia" w:ascii="Times New Roman"/>
                <w:color w:val="auto"/>
                <w:sz w:val="26"/>
                <w:szCs w:val="26"/>
                <w:highlight w:val="none"/>
                <w:lang w:val="en-US" w:eastAsia="zh-CN"/>
              </w:rPr>
              <w:t>石油类</w:t>
            </w:r>
            <w:r>
              <w:rPr>
                <w:rFonts w:hint="eastAsia" w:ascii="Times New Roman"/>
                <w:color w:val="auto"/>
                <w:sz w:val="26"/>
                <w:szCs w:val="26"/>
                <w:highlight w:val="none"/>
                <w:lang w:eastAsia="zh-CN"/>
              </w:rPr>
              <w:t>；</w:t>
            </w:r>
          </w:p>
          <w:p w14:paraId="2B39F296">
            <w:pPr>
              <w:adjustRightInd w:val="0"/>
              <w:snapToGrid w:val="0"/>
              <w:spacing w:line="460" w:lineRule="exact"/>
              <w:ind w:firstLine="520" w:firstLineChars="200"/>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3</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评价方法</w:t>
            </w:r>
          </w:p>
          <w:p w14:paraId="70F56F82">
            <w:pPr>
              <w:spacing w:line="470" w:lineRule="exact"/>
              <w:ind w:firstLine="520"/>
              <w:rPr>
                <w:rFonts w:ascii="Times New Roman"/>
                <w:color w:val="auto"/>
                <w:sz w:val="26"/>
                <w:szCs w:val="26"/>
              </w:rPr>
            </w:pPr>
            <w:r>
              <w:rPr>
                <w:rFonts w:ascii="Times New Roman"/>
                <w:color w:val="auto"/>
                <w:sz w:val="26"/>
                <w:szCs w:val="26"/>
              </w:rPr>
              <w:t>采用单因子指数法进行评价，其公式如下：</w:t>
            </w:r>
          </w:p>
          <w:p w14:paraId="16CC6C65">
            <w:pPr>
              <w:spacing w:line="470" w:lineRule="exact"/>
              <w:ind w:firstLine="2470" w:firstLineChars="950"/>
              <w:rPr>
                <w:rFonts w:ascii="Times New Roman"/>
                <w:color w:val="auto"/>
                <w:sz w:val="26"/>
                <w:szCs w:val="26"/>
              </w:rPr>
            </w:pPr>
            <w:r>
              <w:rPr>
                <w:rFonts w:ascii="Times New Roman"/>
                <w:color w:val="auto"/>
                <w:sz w:val="26"/>
                <w:szCs w:val="26"/>
              </w:rPr>
              <w:t>S</w:t>
            </w:r>
            <w:r>
              <w:rPr>
                <w:rFonts w:ascii="Times New Roman"/>
                <w:color w:val="auto"/>
                <w:sz w:val="26"/>
                <w:szCs w:val="26"/>
                <w:vertAlign w:val="subscript"/>
              </w:rPr>
              <w:t>i,j</w:t>
            </w:r>
            <w:r>
              <w:rPr>
                <w:rFonts w:ascii="Times New Roman"/>
                <w:color w:val="auto"/>
                <w:sz w:val="26"/>
                <w:szCs w:val="26"/>
              </w:rPr>
              <w:t>＝C</w:t>
            </w:r>
            <w:r>
              <w:rPr>
                <w:rFonts w:ascii="Times New Roman"/>
                <w:color w:val="auto"/>
                <w:sz w:val="26"/>
                <w:szCs w:val="26"/>
                <w:vertAlign w:val="subscript"/>
              </w:rPr>
              <w:t>i,j</w:t>
            </w:r>
            <w:r>
              <w:rPr>
                <w:rFonts w:ascii="Times New Roman"/>
                <w:color w:val="auto"/>
                <w:sz w:val="26"/>
                <w:szCs w:val="26"/>
              </w:rPr>
              <w:t>/C</w:t>
            </w:r>
            <w:r>
              <w:rPr>
                <w:rFonts w:ascii="Times New Roman"/>
                <w:color w:val="auto"/>
                <w:sz w:val="26"/>
                <w:szCs w:val="26"/>
                <w:vertAlign w:val="subscript"/>
              </w:rPr>
              <w:t>si</w:t>
            </w:r>
          </w:p>
          <w:p w14:paraId="2FB951C9">
            <w:pPr>
              <w:spacing w:line="470" w:lineRule="exact"/>
              <w:ind w:firstLine="520"/>
              <w:rPr>
                <w:rFonts w:ascii="Times New Roman"/>
                <w:color w:val="auto"/>
                <w:sz w:val="26"/>
                <w:szCs w:val="26"/>
              </w:rPr>
            </w:pPr>
            <w:r>
              <w:rPr>
                <w:rFonts w:ascii="Times New Roman"/>
                <w:color w:val="auto"/>
                <w:sz w:val="26"/>
                <w:szCs w:val="26"/>
              </w:rPr>
              <w:t>式中：S</w:t>
            </w:r>
            <w:r>
              <w:rPr>
                <w:rFonts w:ascii="Times New Roman"/>
                <w:color w:val="auto"/>
                <w:sz w:val="26"/>
                <w:szCs w:val="26"/>
                <w:vertAlign w:val="subscript"/>
              </w:rPr>
              <w:t>i,j</w:t>
            </w:r>
            <w:r>
              <w:rPr>
                <w:rFonts w:ascii="Times New Roman"/>
                <w:color w:val="auto"/>
                <w:sz w:val="26"/>
                <w:szCs w:val="26"/>
              </w:rPr>
              <w:t>——单项水质参数i在第j点的标准指数；</w:t>
            </w:r>
          </w:p>
          <w:p w14:paraId="5DDBAC1D">
            <w:pPr>
              <w:spacing w:line="470" w:lineRule="exact"/>
              <w:ind w:firstLine="520"/>
              <w:rPr>
                <w:rFonts w:ascii="Times New Roman"/>
                <w:color w:val="auto"/>
                <w:sz w:val="26"/>
                <w:szCs w:val="26"/>
              </w:rPr>
            </w:pPr>
            <w:r>
              <w:rPr>
                <w:rFonts w:ascii="Times New Roman"/>
                <w:color w:val="auto"/>
                <w:sz w:val="26"/>
                <w:szCs w:val="26"/>
              </w:rPr>
              <w:t xml:space="preserve">      C</w:t>
            </w:r>
            <w:r>
              <w:rPr>
                <w:rFonts w:ascii="Times New Roman"/>
                <w:color w:val="auto"/>
                <w:sz w:val="26"/>
                <w:szCs w:val="26"/>
                <w:vertAlign w:val="subscript"/>
              </w:rPr>
              <w:t>i,j</w:t>
            </w:r>
            <w:r>
              <w:rPr>
                <w:rFonts w:ascii="Times New Roman"/>
                <w:color w:val="auto"/>
                <w:sz w:val="26"/>
                <w:szCs w:val="26"/>
              </w:rPr>
              <w:t>——第i类污染物在第j点的污染平均浓度（mg/L）；</w:t>
            </w:r>
          </w:p>
          <w:p w14:paraId="2BD714E2">
            <w:pPr>
              <w:spacing w:line="470" w:lineRule="exact"/>
              <w:ind w:firstLine="520" w:firstLineChars="200"/>
              <w:rPr>
                <w:rFonts w:ascii="Times New Roman"/>
                <w:color w:val="auto"/>
                <w:sz w:val="26"/>
                <w:szCs w:val="26"/>
              </w:rPr>
            </w:pPr>
            <w:r>
              <w:rPr>
                <w:rFonts w:ascii="Times New Roman"/>
                <w:color w:val="auto"/>
                <w:sz w:val="26"/>
                <w:szCs w:val="26"/>
              </w:rPr>
              <w:t xml:space="preserve">      C</w:t>
            </w:r>
            <w:r>
              <w:rPr>
                <w:rFonts w:ascii="Times New Roman"/>
                <w:color w:val="auto"/>
                <w:sz w:val="26"/>
                <w:szCs w:val="26"/>
                <w:vertAlign w:val="subscript"/>
              </w:rPr>
              <w:t>si</w:t>
            </w:r>
            <w:r>
              <w:rPr>
                <w:rFonts w:ascii="Times New Roman"/>
                <w:color w:val="auto"/>
                <w:sz w:val="26"/>
                <w:szCs w:val="26"/>
              </w:rPr>
              <w:t>——第i类污染物的评价标准（mg/L）。</w:t>
            </w:r>
          </w:p>
          <w:tbl>
            <w:tblPr>
              <w:tblStyle w:val="17"/>
              <w:tblW w:w="0" w:type="auto"/>
              <w:jc w:val="center"/>
              <w:tblLayout w:type="fixed"/>
              <w:tblCellMar>
                <w:top w:w="0" w:type="dxa"/>
                <w:left w:w="108" w:type="dxa"/>
                <w:bottom w:w="0" w:type="dxa"/>
                <w:right w:w="108" w:type="dxa"/>
              </w:tblCellMar>
            </w:tblPr>
            <w:tblGrid>
              <w:gridCol w:w="2696"/>
              <w:gridCol w:w="2977"/>
              <w:gridCol w:w="1307"/>
              <w:gridCol w:w="1188"/>
            </w:tblGrid>
            <w:tr w14:paraId="417CBD3D">
              <w:tblPrEx>
                <w:tblCellMar>
                  <w:top w:w="0" w:type="dxa"/>
                  <w:left w:w="108" w:type="dxa"/>
                  <w:bottom w:w="0" w:type="dxa"/>
                  <w:right w:w="108" w:type="dxa"/>
                </w:tblCellMar>
              </w:tblPrEx>
              <w:trPr>
                <w:jc w:val="center"/>
              </w:trPr>
              <w:tc>
                <w:tcPr>
                  <w:tcW w:w="2696" w:type="dxa"/>
                  <w:noWrap w:val="0"/>
                  <w:vAlign w:val="center"/>
                </w:tcPr>
                <w:p w14:paraId="68252444">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ascii="Times New Roman"/>
                      <w:color w:val="auto"/>
                      <w:sz w:val="26"/>
                      <w:szCs w:val="26"/>
                    </w:rPr>
                  </w:pPr>
                  <w:r>
                    <w:rPr>
                      <w:rFonts w:ascii="Times New Roman"/>
                      <w:color w:val="auto"/>
                      <w:sz w:val="26"/>
                      <w:szCs w:val="26"/>
                    </w:rPr>
                    <w:t>pH评价模式：</w:t>
                  </w:r>
                </w:p>
                <w:p w14:paraId="49C8D565">
                  <w:pPr>
                    <w:rPr>
                      <w:rFonts w:ascii="Times New Roman"/>
                      <w:color w:val="auto"/>
                    </w:rPr>
                  </w:pPr>
                </w:p>
                <w:p w14:paraId="1DE8E1A1">
                  <w:pPr>
                    <w:rPr>
                      <w:rFonts w:ascii="Times New Roman"/>
                      <w:color w:val="auto"/>
                    </w:rPr>
                  </w:pPr>
                </w:p>
                <w:p w14:paraId="20112AF3">
                  <w:pPr>
                    <w:spacing w:line="240" w:lineRule="exact"/>
                    <w:rPr>
                      <w:rFonts w:ascii="Times New Roman"/>
                      <w:color w:val="auto"/>
                    </w:rPr>
                  </w:pPr>
                </w:p>
              </w:tc>
              <w:tc>
                <w:tcPr>
                  <w:tcW w:w="2977" w:type="dxa"/>
                  <w:noWrap w:val="0"/>
                  <w:vAlign w:val="center"/>
                </w:tcPr>
                <w:p w14:paraId="0B34442F">
                  <w:pPr>
                    <w:snapToGrid w:val="0"/>
                    <w:rPr>
                      <w:rFonts w:ascii="Times New Roman"/>
                      <w:color w:val="auto"/>
                      <w:sz w:val="26"/>
                      <w:szCs w:val="26"/>
                    </w:rPr>
                  </w:pPr>
                  <w:r>
                    <w:rPr>
                      <w:rFonts w:ascii="Times New Roman"/>
                      <w:color w:val="auto"/>
                      <w:position w:val="-30"/>
                      <w:sz w:val="26"/>
                      <w:szCs w:val="26"/>
                    </w:rPr>
                    <w:object>
                      <v:shape id="_x0000_i1025" o:spt="75" type="#_x0000_t75" style="height:36pt;width:96pt;" o:ole="t" filled="f" o:preferrelative="t" stroked="f" coordsize="21600,21600">
                        <v:path/>
                        <v:fill on="f" focussize="0,0"/>
                        <v:stroke on="f"/>
                        <v:imagedata r:id="rId37" o:title=""/>
                        <o:lock v:ext="edit" grouping="f" rotation="f" text="f" aspectratio="t"/>
                        <w10:wrap type="none"/>
                        <w10:anchorlock/>
                      </v:shape>
                      <o:OLEObject Type="Embed" ProgID="Equation.3" ShapeID="_x0000_i1025" DrawAspect="Content" ObjectID="_1468075726" r:id="rId36">
                        <o:LockedField>false</o:LockedField>
                      </o:OLEObject>
                    </w:object>
                  </w:r>
                </w:p>
              </w:tc>
              <w:tc>
                <w:tcPr>
                  <w:tcW w:w="1307" w:type="dxa"/>
                  <w:noWrap w:val="0"/>
                  <w:vAlign w:val="center"/>
                </w:tcPr>
                <w:p w14:paraId="2F069D8A">
                  <w:pPr>
                    <w:pStyle w:val="101"/>
                    <w:adjustRightInd/>
                    <w:ind w:firstLine="0" w:firstLineChars="0"/>
                    <w:jc w:val="both"/>
                    <w:rPr>
                      <w:color w:val="auto"/>
                      <w:kern w:val="0"/>
                      <w:sz w:val="26"/>
                      <w:szCs w:val="26"/>
                    </w:rPr>
                  </w:pPr>
                  <w:r>
                    <w:rPr>
                      <w:color w:val="auto"/>
                      <w:kern w:val="0"/>
                      <w:sz w:val="26"/>
                      <w:szCs w:val="26"/>
                    </w:rPr>
                    <w:t>pH</w:t>
                  </w:r>
                  <w:r>
                    <w:rPr>
                      <w:color w:val="auto"/>
                      <w:kern w:val="0"/>
                      <w:sz w:val="26"/>
                      <w:szCs w:val="26"/>
                      <w:vertAlign w:val="subscript"/>
                    </w:rPr>
                    <w:t>j</w:t>
                  </w:r>
                  <w:r>
                    <w:rPr>
                      <w:color w:val="auto"/>
                      <w:kern w:val="0"/>
                      <w:sz w:val="26"/>
                      <w:szCs w:val="26"/>
                    </w:rPr>
                    <w:t>≥7.0</w:t>
                  </w:r>
                </w:p>
              </w:tc>
              <w:tc>
                <w:tcPr>
                  <w:tcW w:w="1188" w:type="dxa"/>
                  <w:noWrap w:val="0"/>
                  <w:vAlign w:val="center"/>
                </w:tcPr>
                <w:p w14:paraId="19E8DEA7">
                  <w:pPr>
                    <w:snapToGrid w:val="0"/>
                    <w:rPr>
                      <w:rFonts w:ascii="Times New Roman"/>
                      <w:color w:val="auto"/>
                      <w:sz w:val="26"/>
                      <w:szCs w:val="26"/>
                    </w:rPr>
                  </w:pPr>
                </w:p>
              </w:tc>
            </w:tr>
            <w:tr w14:paraId="73B67CD9">
              <w:tblPrEx>
                <w:tblCellMar>
                  <w:top w:w="0" w:type="dxa"/>
                  <w:left w:w="108" w:type="dxa"/>
                  <w:bottom w:w="0" w:type="dxa"/>
                  <w:right w:w="108" w:type="dxa"/>
                </w:tblCellMar>
              </w:tblPrEx>
              <w:trPr>
                <w:jc w:val="center"/>
              </w:trPr>
              <w:tc>
                <w:tcPr>
                  <w:tcW w:w="2696" w:type="dxa"/>
                  <w:noWrap w:val="0"/>
                  <w:vAlign w:val="center"/>
                </w:tcPr>
                <w:p w14:paraId="06C3035C">
                  <w:pPr>
                    <w:pStyle w:val="101"/>
                    <w:adjustRightInd/>
                    <w:ind w:firstLine="520"/>
                    <w:jc w:val="both"/>
                    <w:rPr>
                      <w:color w:val="auto"/>
                      <w:kern w:val="0"/>
                      <w:sz w:val="26"/>
                      <w:szCs w:val="26"/>
                    </w:rPr>
                  </w:pPr>
                </w:p>
              </w:tc>
              <w:tc>
                <w:tcPr>
                  <w:tcW w:w="2977" w:type="dxa"/>
                  <w:noWrap w:val="0"/>
                  <w:vAlign w:val="center"/>
                </w:tcPr>
                <w:p w14:paraId="0A38D695">
                  <w:pPr>
                    <w:snapToGrid w:val="0"/>
                    <w:rPr>
                      <w:rFonts w:ascii="Times New Roman"/>
                      <w:color w:val="auto"/>
                      <w:sz w:val="26"/>
                      <w:szCs w:val="26"/>
                    </w:rPr>
                  </w:pPr>
                  <w:r>
                    <w:rPr>
                      <w:rFonts w:ascii="Times New Roman"/>
                      <w:color w:val="auto"/>
                      <w:position w:val="-30"/>
                      <w:sz w:val="26"/>
                      <w:szCs w:val="26"/>
                    </w:rPr>
                    <w:object>
                      <v:shape id="_x0000_i1026" o:spt="75" type="#_x0000_t75" style="height:36pt;width:96pt;" o:ole="t" filled="f" o:preferrelative="t" stroked="f" coordsize="21600,21600">
                        <v:path/>
                        <v:fill on="f" focussize="0,0"/>
                        <v:stroke on="f"/>
                        <v:imagedata r:id="rId39" o:title=""/>
                        <o:lock v:ext="edit" grouping="f" rotation="f" text="f" aspectratio="t"/>
                        <w10:wrap type="none"/>
                        <w10:anchorlock/>
                      </v:shape>
                      <o:OLEObject Type="Embed" ProgID="Equation.3" ShapeID="_x0000_i1026" DrawAspect="Content" ObjectID="_1468075727" r:id="rId38">
                        <o:LockedField>false</o:LockedField>
                      </o:OLEObject>
                    </w:object>
                  </w:r>
                </w:p>
              </w:tc>
              <w:tc>
                <w:tcPr>
                  <w:tcW w:w="1307" w:type="dxa"/>
                  <w:noWrap w:val="0"/>
                  <w:vAlign w:val="center"/>
                </w:tcPr>
                <w:p w14:paraId="3CCF0E8E">
                  <w:pPr>
                    <w:pStyle w:val="101"/>
                    <w:adjustRightInd/>
                    <w:ind w:firstLine="0" w:firstLineChars="0"/>
                    <w:jc w:val="both"/>
                    <w:rPr>
                      <w:color w:val="auto"/>
                      <w:kern w:val="0"/>
                      <w:sz w:val="26"/>
                      <w:szCs w:val="26"/>
                    </w:rPr>
                  </w:pPr>
                  <w:r>
                    <w:rPr>
                      <w:color w:val="auto"/>
                      <w:kern w:val="0"/>
                      <w:sz w:val="26"/>
                      <w:szCs w:val="26"/>
                    </w:rPr>
                    <w:t>pH</w:t>
                  </w:r>
                  <w:r>
                    <w:rPr>
                      <w:color w:val="auto"/>
                      <w:kern w:val="0"/>
                      <w:sz w:val="26"/>
                      <w:szCs w:val="26"/>
                      <w:vertAlign w:val="subscript"/>
                    </w:rPr>
                    <w:t>j</w:t>
                  </w:r>
                  <w:r>
                    <w:rPr>
                      <w:color w:val="auto"/>
                      <w:kern w:val="0"/>
                      <w:sz w:val="26"/>
                      <w:szCs w:val="26"/>
                    </w:rPr>
                    <w:t>＜7.0</w:t>
                  </w:r>
                </w:p>
              </w:tc>
              <w:tc>
                <w:tcPr>
                  <w:tcW w:w="1188" w:type="dxa"/>
                  <w:noWrap w:val="0"/>
                  <w:vAlign w:val="center"/>
                </w:tcPr>
                <w:p w14:paraId="77CF5167">
                  <w:pPr>
                    <w:snapToGrid w:val="0"/>
                    <w:rPr>
                      <w:rFonts w:ascii="Times New Roman"/>
                      <w:color w:val="auto"/>
                      <w:sz w:val="26"/>
                      <w:szCs w:val="26"/>
                    </w:rPr>
                  </w:pPr>
                </w:p>
              </w:tc>
            </w:tr>
          </w:tbl>
          <w:p w14:paraId="4E5ADEE8">
            <w:pPr>
              <w:pStyle w:val="102"/>
              <w:spacing w:line="470" w:lineRule="atLeast"/>
              <w:rPr>
                <w:color w:val="auto"/>
                <w:szCs w:val="26"/>
              </w:rPr>
            </w:pPr>
            <w:r>
              <w:rPr>
                <w:color w:val="auto"/>
                <w:szCs w:val="26"/>
              </w:rPr>
              <w:t>式中：</w:t>
            </w:r>
          </w:p>
          <w:p w14:paraId="42F79F76">
            <w:pPr>
              <w:pStyle w:val="102"/>
              <w:spacing w:line="470" w:lineRule="atLeast"/>
              <w:ind w:firstLine="1300" w:firstLineChars="500"/>
              <w:rPr>
                <w:color w:val="auto"/>
                <w:szCs w:val="26"/>
              </w:rPr>
            </w:pPr>
            <w:r>
              <w:rPr>
                <w:color w:val="auto"/>
                <w:szCs w:val="26"/>
              </w:rPr>
              <w:t>S</w:t>
            </w:r>
            <w:r>
              <w:rPr>
                <w:color w:val="auto"/>
                <w:szCs w:val="26"/>
                <w:vertAlign w:val="subscript"/>
              </w:rPr>
              <w:t>pHj</w:t>
            </w:r>
            <w:r>
              <w:rPr>
                <w:color w:val="auto"/>
                <w:szCs w:val="26"/>
              </w:rPr>
              <w:t xml:space="preserve"> ——pH的单项污染指数；</w:t>
            </w:r>
          </w:p>
          <w:p w14:paraId="0B1EBD28">
            <w:pPr>
              <w:pStyle w:val="102"/>
              <w:spacing w:line="470" w:lineRule="atLeast"/>
              <w:ind w:firstLine="1289" w:firstLineChars="496"/>
              <w:rPr>
                <w:color w:val="auto"/>
                <w:szCs w:val="26"/>
              </w:rPr>
            </w:pPr>
            <w:r>
              <w:rPr>
                <w:color w:val="auto"/>
                <w:szCs w:val="26"/>
              </w:rPr>
              <w:t>pH</w:t>
            </w:r>
            <w:r>
              <w:rPr>
                <w:color w:val="auto"/>
                <w:szCs w:val="26"/>
                <w:vertAlign w:val="subscript"/>
              </w:rPr>
              <w:t>sd</w:t>
            </w:r>
            <w:r>
              <w:rPr>
                <w:color w:val="auto"/>
                <w:szCs w:val="26"/>
              </w:rPr>
              <w:t xml:space="preserve"> ——地表水水质标准中规定的pH值下限；</w:t>
            </w:r>
          </w:p>
          <w:p w14:paraId="161A498E">
            <w:pPr>
              <w:pStyle w:val="102"/>
              <w:tabs>
                <w:tab w:val="left" w:pos="7254"/>
              </w:tabs>
              <w:spacing w:line="470" w:lineRule="atLeast"/>
              <w:ind w:firstLine="1289" w:firstLineChars="496"/>
              <w:rPr>
                <w:color w:val="auto"/>
                <w:szCs w:val="26"/>
              </w:rPr>
            </w:pPr>
            <w:r>
              <w:rPr>
                <w:color w:val="auto"/>
                <w:szCs w:val="26"/>
              </w:rPr>
              <w:t>pH</w:t>
            </w:r>
            <w:r>
              <w:rPr>
                <w:color w:val="auto"/>
                <w:szCs w:val="26"/>
                <w:vertAlign w:val="subscript"/>
              </w:rPr>
              <w:t>su</w:t>
            </w:r>
            <w:r>
              <w:rPr>
                <w:color w:val="auto"/>
                <w:szCs w:val="26"/>
              </w:rPr>
              <w:t xml:space="preserve"> ——地表水水质标准中规定的pH值上限；</w:t>
            </w:r>
          </w:p>
          <w:p w14:paraId="2B059932">
            <w:pPr>
              <w:adjustRightInd w:val="0"/>
              <w:snapToGrid w:val="0"/>
              <w:spacing w:line="470" w:lineRule="atLeast"/>
              <w:ind w:firstLine="1300" w:firstLineChars="500"/>
              <w:rPr>
                <w:rFonts w:ascii="Times New Roman"/>
                <w:color w:val="auto"/>
                <w:sz w:val="26"/>
                <w:szCs w:val="26"/>
              </w:rPr>
            </w:pPr>
            <w:r>
              <w:rPr>
                <w:rFonts w:ascii="Times New Roman"/>
                <w:color w:val="auto"/>
                <w:sz w:val="26"/>
                <w:szCs w:val="26"/>
              </w:rPr>
              <w:t>pHj ——在j监测点处实测pH值。</w:t>
            </w:r>
          </w:p>
          <w:p w14:paraId="6A265C0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kern w:val="2"/>
                <w:sz w:val="26"/>
                <w:szCs w:val="26"/>
                <w:lang w:val="en-US" w:eastAsia="zh-CN" w:bidi="ar-SA"/>
              </w:rPr>
            </w:pPr>
            <w:r>
              <w:rPr>
                <w:rFonts w:ascii="Times New Roman"/>
                <w:color w:val="auto"/>
                <w:sz w:val="26"/>
                <w:szCs w:val="26"/>
              </w:rPr>
              <w:t>具体监测评价结果见表</w:t>
            </w:r>
            <w:r>
              <w:rPr>
                <w:rFonts w:hint="eastAsia" w:ascii="Times New Roman" w:hAnsi="Times New Roman" w:eastAsia="宋体" w:cs="Times New Roman"/>
                <w:color w:val="auto"/>
                <w:sz w:val="26"/>
                <w:szCs w:val="26"/>
              </w:rPr>
              <w:t>3</w:t>
            </w:r>
            <w:r>
              <w:rPr>
                <w:rFonts w:hint="eastAsia" w:ascii="Times New Roman" w:hAnsi="Times New Roman" w:eastAsia="宋体" w:cs="Times New Roman"/>
                <w:color w:val="auto"/>
                <w:sz w:val="26"/>
                <w:szCs w:val="26"/>
                <w:lang w:val="en-US" w:eastAsia="zh-CN"/>
              </w:rPr>
              <w:t>.2-1</w:t>
            </w:r>
            <w:r>
              <w:rPr>
                <w:rFonts w:ascii="Times New Roman" w:hAnsi="Times New Roman" w:eastAsia="宋体" w:cs="Times New Roman"/>
                <w:color w:val="auto"/>
                <w:sz w:val="26"/>
                <w:szCs w:val="26"/>
              </w:rPr>
              <w:t>。</w:t>
            </w:r>
          </w:p>
          <w:p w14:paraId="0A2DA3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6"/>
                <w:szCs w:val="26"/>
                <w:lang w:val="zh-CN"/>
              </w:rPr>
            </w:pPr>
            <w:r>
              <w:rPr>
                <w:rFonts w:hint="eastAsia" w:ascii="Times New Roman" w:hAnsi="Times New Roman" w:eastAsia="宋体" w:cs="Times New Roman"/>
                <w:color w:val="auto"/>
                <w:sz w:val="22"/>
                <w:szCs w:val="22"/>
                <w:lang w:val="zh-CN"/>
              </w:rPr>
              <w:t>表3</w:t>
            </w:r>
            <w:r>
              <w:rPr>
                <w:rFonts w:hint="eastAsia" w:ascii="Times New Roman" w:hAnsi="Times New Roman" w:eastAsia="宋体" w:cs="Times New Roman"/>
                <w:color w:val="auto"/>
                <w:sz w:val="22"/>
                <w:szCs w:val="22"/>
                <w:lang w:val="en-US" w:eastAsia="zh-CN"/>
              </w:rPr>
              <w:t>.2-1</w:t>
            </w:r>
            <w:r>
              <w:rPr>
                <w:rFonts w:hint="eastAsia" w:ascii="Times New Roman" w:hAnsi="Times New Roman" w:eastAsia="宋体" w:cs="Times New Roman"/>
                <w:color w:val="auto"/>
                <w:sz w:val="22"/>
                <w:szCs w:val="22"/>
                <w:lang w:val="zh-CN"/>
              </w:rPr>
              <w:t xml:space="preserve"> </w:t>
            </w:r>
            <w:r>
              <w:rPr>
                <w:rFonts w:hint="eastAsia" w:ascii="Times New Roman" w:hAnsi="Times New Roman" w:eastAsia="宋体" w:cs="Times New Roman"/>
                <w:color w:val="auto"/>
                <w:sz w:val="22"/>
                <w:szCs w:val="22"/>
                <w:lang w:val="en-US" w:eastAsia="zh-CN"/>
              </w:rPr>
              <w:t xml:space="preserve"> 地表水</w:t>
            </w:r>
            <w:r>
              <w:rPr>
                <w:rFonts w:hint="eastAsia" w:ascii="Times New Roman" w:hAnsi="Times New Roman" w:eastAsia="宋体" w:cs="Times New Roman"/>
                <w:color w:val="auto"/>
                <w:sz w:val="22"/>
                <w:szCs w:val="22"/>
                <w:lang w:val="zh-CN"/>
              </w:rPr>
              <w:t>现状监测数据统计结果表  单位：mg/L（pH无量纲）</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07"/>
              <w:gridCol w:w="1106"/>
              <w:gridCol w:w="1085"/>
              <w:gridCol w:w="969"/>
              <w:gridCol w:w="933"/>
              <w:gridCol w:w="1381"/>
            </w:tblGrid>
            <w:tr w14:paraId="57F8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noWrap w:val="0"/>
                  <w:vAlign w:val="center"/>
                </w:tcPr>
                <w:p w14:paraId="184477B2">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en-US" w:eastAsia="zh-CN"/>
                    </w:rPr>
                    <w:t>地表水体</w:t>
                  </w:r>
                </w:p>
              </w:tc>
              <w:tc>
                <w:tcPr>
                  <w:tcW w:w="1607" w:type="dxa"/>
                  <w:noWrap w:val="0"/>
                  <w:vAlign w:val="center"/>
                </w:tcPr>
                <w:p w14:paraId="5E6DC85E">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en-US" w:eastAsia="zh-CN"/>
                    </w:rPr>
                    <w:t>监测断面</w:t>
                  </w:r>
                </w:p>
              </w:tc>
              <w:tc>
                <w:tcPr>
                  <w:tcW w:w="1106" w:type="dxa"/>
                  <w:noWrap w:val="0"/>
                  <w:vAlign w:val="center"/>
                </w:tcPr>
                <w:p w14:paraId="02FEDAA0">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监测因子</w:t>
                  </w:r>
                </w:p>
              </w:tc>
              <w:tc>
                <w:tcPr>
                  <w:tcW w:w="1085" w:type="dxa"/>
                  <w:noWrap w:val="0"/>
                  <w:vAlign w:val="center"/>
                </w:tcPr>
                <w:p w14:paraId="5654399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监测结果</w:t>
                  </w:r>
                </w:p>
              </w:tc>
              <w:tc>
                <w:tcPr>
                  <w:tcW w:w="969" w:type="dxa"/>
                  <w:noWrap w:val="0"/>
                  <w:vAlign w:val="center"/>
                </w:tcPr>
                <w:p w14:paraId="68FB5298">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最大S</w:t>
                  </w:r>
                  <w:r>
                    <w:rPr>
                      <w:rFonts w:hint="eastAsia" w:ascii="Times New Roman" w:hAnsi="Times New Roman" w:eastAsia="宋体" w:cs="Times New Roman"/>
                      <w:color w:val="auto"/>
                      <w:sz w:val="22"/>
                      <w:szCs w:val="22"/>
                      <w:vertAlign w:val="subscript"/>
                      <w:lang w:val="en-US" w:eastAsia="zh-CN"/>
                    </w:rPr>
                    <w:t>ij</w:t>
                  </w:r>
                </w:p>
              </w:tc>
              <w:tc>
                <w:tcPr>
                  <w:tcW w:w="933" w:type="dxa"/>
                  <w:noWrap w:val="0"/>
                  <w:vAlign w:val="center"/>
                </w:tcPr>
                <w:p w14:paraId="7D925924">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标准值</w:t>
                  </w:r>
                </w:p>
              </w:tc>
              <w:tc>
                <w:tcPr>
                  <w:tcW w:w="1381" w:type="dxa"/>
                  <w:noWrap w:val="0"/>
                  <w:vAlign w:val="center"/>
                </w:tcPr>
                <w:p w14:paraId="377E5904">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达标情况</w:t>
                  </w:r>
                </w:p>
              </w:tc>
            </w:tr>
            <w:tr w14:paraId="6A3D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restart"/>
                  <w:noWrap w:val="0"/>
                  <w:vAlign w:val="center"/>
                </w:tcPr>
                <w:p w14:paraId="3D970CA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跳蹬河</w:t>
                  </w:r>
                </w:p>
              </w:tc>
              <w:tc>
                <w:tcPr>
                  <w:tcW w:w="1607" w:type="dxa"/>
                  <w:vMerge w:val="restart"/>
                  <w:noWrap w:val="0"/>
                  <w:vAlign w:val="center"/>
                </w:tcPr>
                <w:p w14:paraId="1CEFA0A6">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default" w:ascii="Times New Roman" w:hAnsi="Times New Roman" w:eastAsia="宋体" w:cs="Times New Roman"/>
                      <w:b w:val="0"/>
                      <w:bCs w:val="0"/>
                      <w:color w:val="auto"/>
                      <w:sz w:val="22"/>
                      <w:szCs w:val="22"/>
                      <w:highlight w:val="none"/>
                      <w:lang w:val="en-US" w:eastAsia="zh-CN"/>
                    </w:rPr>
                    <w:t>建桥园区C区工业废水集中处理设施排污口上游500m</w:t>
                  </w:r>
                </w:p>
              </w:tc>
              <w:tc>
                <w:tcPr>
                  <w:tcW w:w="1106" w:type="dxa"/>
                  <w:noWrap w:val="0"/>
                  <w:vAlign w:val="center"/>
                </w:tcPr>
                <w:p w14:paraId="681F8243">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pH</w:t>
                  </w:r>
                </w:p>
              </w:tc>
              <w:tc>
                <w:tcPr>
                  <w:tcW w:w="1085" w:type="dxa"/>
                  <w:noWrap w:val="0"/>
                  <w:vAlign w:val="center"/>
                </w:tcPr>
                <w:p w14:paraId="6DB9EDB6">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color w:val="auto"/>
                    </w:rPr>
                    <w:t>7.</w:t>
                  </w:r>
                  <w:r>
                    <w:rPr>
                      <w:rFonts w:hint="eastAsia"/>
                      <w:color w:val="auto"/>
                      <w:lang w:val="en-US" w:eastAsia="zh-CN"/>
                    </w:rPr>
                    <w:t>2</w:t>
                  </w:r>
                  <w:r>
                    <w:rPr>
                      <w:rFonts w:hint="eastAsia"/>
                      <w:color w:val="auto"/>
                    </w:rPr>
                    <w:t>~7.</w:t>
                  </w:r>
                  <w:r>
                    <w:rPr>
                      <w:rFonts w:hint="eastAsia"/>
                      <w:color w:val="auto"/>
                      <w:lang w:val="en-US" w:eastAsia="zh-CN"/>
                    </w:rPr>
                    <w:t>4</w:t>
                  </w:r>
                </w:p>
              </w:tc>
              <w:tc>
                <w:tcPr>
                  <w:tcW w:w="969" w:type="dxa"/>
                  <w:noWrap w:val="0"/>
                  <w:vAlign w:val="center"/>
                </w:tcPr>
                <w:p w14:paraId="49712E22">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0.2</w:t>
                  </w:r>
                </w:p>
              </w:tc>
              <w:tc>
                <w:tcPr>
                  <w:tcW w:w="933" w:type="dxa"/>
                  <w:noWrap w:val="0"/>
                  <w:vAlign w:val="center"/>
                </w:tcPr>
                <w:p w14:paraId="518C71B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6~9</w:t>
                  </w:r>
                </w:p>
              </w:tc>
              <w:tc>
                <w:tcPr>
                  <w:tcW w:w="1381" w:type="dxa"/>
                  <w:noWrap w:val="0"/>
                  <w:vAlign w:val="center"/>
                </w:tcPr>
                <w:p w14:paraId="05BB4976">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770C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274F8CF8">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238646B5">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noWrap w:val="0"/>
                  <w:vAlign w:val="center"/>
                </w:tcPr>
                <w:p w14:paraId="54C62DE2">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COD</w:t>
                  </w:r>
                </w:p>
              </w:tc>
              <w:tc>
                <w:tcPr>
                  <w:tcW w:w="1085" w:type="dxa"/>
                  <w:noWrap w:val="0"/>
                  <w:vAlign w:val="center"/>
                </w:tcPr>
                <w:p w14:paraId="2B66BA0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eastAsia="宋体"/>
                      <w:color w:val="auto"/>
                      <w:lang w:val="en-US" w:eastAsia="zh-CN"/>
                    </w:rPr>
                    <w:t>15~18</w:t>
                  </w:r>
                </w:p>
              </w:tc>
              <w:tc>
                <w:tcPr>
                  <w:tcW w:w="969" w:type="dxa"/>
                  <w:noWrap w:val="0"/>
                  <w:vAlign w:val="center"/>
                </w:tcPr>
                <w:p w14:paraId="512F8C2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0.45</w:t>
                  </w:r>
                </w:p>
              </w:tc>
              <w:tc>
                <w:tcPr>
                  <w:tcW w:w="933" w:type="dxa"/>
                  <w:noWrap w:val="0"/>
                  <w:vAlign w:val="center"/>
                </w:tcPr>
                <w:p w14:paraId="1D5C217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40</w:t>
                  </w:r>
                </w:p>
              </w:tc>
              <w:tc>
                <w:tcPr>
                  <w:tcW w:w="1381" w:type="dxa"/>
                  <w:noWrap w:val="0"/>
                  <w:vAlign w:val="center"/>
                </w:tcPr>
                <w:p w14:paraId="175BACCF">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2152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696CDA5E">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62705AAF">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noWrap w:val="0"/>
                  <w:vAlign w:val="center"/>
                </w:tcPr>
                <w:p w14:paraId="3595A21F">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BOD</w:t>
                  </w:r>
                  <w:r>
                    <w:rPr>
                      <w:rFonts w:hint="eastAsia" w:ascii="Times New Roman" w:hAnsi="Times New Roman" w:eastAsia="宋体" w:cs="Times New Roman"/>
                      <w:color w:val="auto"/>
                      <w:sz w:val="22"/>
                      <w:szCs w:val="22"/>
                      <w:vertAlign w:val="subscript"/>
                      <w:lang w:val="zh-CN" w:eastAsia="zh-CN"/>
                    </w:rPr>
                    <w:t>5</w:t>
                  </w:r>
                </w:p>
              </w:tc>
              <w:tc>
                <w:tcPr>
                  <w:tcW w:w="1085" w:type="dxa"/>
                  <w:noWrap w:val="0"/>
                  <w:vAlign w:val="center"/>
                </w:tcPr>
                <w:p w14:paraId="2B852874">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color w:val="auto"/>
                      <w:lang w:val="en-US" w:eastAsia="zh-CN"/>
                    </w:rPr>
                    <w:t>3.4</w:t>
                  </w:r>
                  <w:r>
                    <w:rPr>
                      <w:rFonts w:hint="eastAsia"/>
                      <w:color w:val="auto"/>
                    </w:rPr>
                    <w:t>~3.</w:t>
                  </w:r>
                  <w:r>
                    <w:rPr>
                      <w:rFonts w:hint="eastAsia"/>
                      <w:color w:val="auto"/>
                      <w:lang w:val="en-US" w:eastAsia="zh-CN"/>
                    </w:rPr>
                    <w:t>8</w:t>
                  </w:r>
                </w:p>
              </w:tc>
              <w:tc>
                <w:tcPr>
                  <w:tcW w:w="969" w:type="dxa"/>
                  <w:noWrap w:val="0"/>
                  <w:vAlign w:val="center"/>
                </w:tcPr>
                <w:p w14:paraId="48F78206">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0.38</w:t>
                  </w:r>
                </w:p>
              </w:tc>
              <w:tc>
                <w:tcPr>
                  <w:tcW w:w="933" w:type="dxa"/>
                  <w:noWrap w:val="0"/>
                  <w:vAlign w:val="center"/>
                </w:tcPr>
                <w:p w14:paraId="0EE2A174">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1381" w:type="dxa"/>
                  <w:noWrap w:val="0"/>
                  <w:vAlign w:val="center"/>
                </w:tcPr>
                <w:p w14:paraId="4EB35D4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6DA9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7C45EADE">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5E40CD2C">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noWrap w:val="0"/>
                  <w:vAlign w:val="center"/>
                </w:tcPr>
                <w:p w14:paraId="0F826D69">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NH</w:t>
                  </w:r>
                  <w:r>
                    <w:rPr>
                      <w:rFonts w:hint="eastAsia" w:ascii="Times New Roman" w:hAnsi="Times New Roman" w:eastAsia="宋体" w:cs="Times New Roman"/>
                      <w:color w:val="auto"/>
                      <w:sz w:val="22"/>
                      <w:szCs w:val="22"/>
                      <w:vertAlign w:val="subscript"/>
                      <w:lang w:val="zh-CN" w:eastAsia="zh-CN"/>
                    </w:rPr>
                    <w:t>3</w:t>
                  </w:r>
                  <w:r>
                    <w:rPr>
                      <w:rFonts w:hint="eastAsia" w:ascii="Times New Roman" w:hAnsi="Times New Roman" w:eastAsia="宋体" w:cs="Times New Roman"/>
                      <w:color w:val="auto"/>
                      <w:sz w:val="22"/>
                      <w:szCs w:val="22"/>
                      <w:lang w:val="zh-CN" w:eastAsia="zh-CN"/>
                    </w:rPr>
                    <w:t>-N</w:t>
                  </w:r>
                </w:p>
              </w:tc>
              <w:tc>
                <w:tcPr>
                  <w:tcW w:w="1085" w:type="dxa"/>
                  <w:noWrap w:val="0"/>
                  <w:vAlign w:val="center"/>
                </w:tcPr>
                <w:p w14:paraId="77016683">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1.32~1.36</w:t>
                  </w:r>
                </w:p>
              </w:tc>
              <w:tc>
                <w:tcPr>
                  <w:tcW w:w="969" w:type="dxa"/>
                  <w:noWrap w:val="0"/>
                  <w:vAlign w:val="center"/>
                </w:tcPr>
                <w:p w14:paraId="555FE40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0.68</w:t>
                  </w:r>
                </w:p>
              </w:tc>
              <w:tc>
                <w:tcPr>
                  <w:tcW w:w="933" w:type="dxa"/>
                  <w:noWrap w:val="0"/>
                  <w:vAlign w:val="center"/>
                </w:tcPr>
                <w:p w14:paraId="5DE45B7A">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w:t>
                  </w:r>
                </w:p>
              </w:tc>
              <w:tc>
                <w:tcPr>
                  <w:tcW w:w="1381" w:type="dxa"/>
                  <w:noWrap w:val="0"/>
                  <w:vAlign w:val="center"/>
                </w:tcPr>
                <w:p w14:paraId="13B10E9A">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1D4E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352F7648">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6A414ADA">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noWrap w:val="0"/>
                  <w:vAlign w:val="center"/>
                </w:tcPr>
                <w:p w14:paraId="383FC64B">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石油类</w:t>
                  </w:r>
                </w:p>
              </w:tc>
              <w:tc>
                <w:tcPr>
                  <w:tcW w:w="1085" w:type="dxa"/>
                  <w:noWrap w:val="0"/>
                  <w:vAlign w:val="center"/>
                </w:tcPr>
                <w:p w14:paraId="43F822F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eastAsia="宋体"/>
                      <w:color w:val="auto"/>
                      <w:sz w:val="22"/>
                      <w:szCs w:val="22"/>
                      <w:lang w:val="en-US" w:eastAsia="zh-CN"/>
                    </w:rPr>
                    <w:t>0.01L</w:t>
                  </w:r>
                </w:p>
              </w:tc>
              <w:tc>
                <w:tcPr>
                  <w:tcW w:w="969" w:type="dxa"/>
                  <w:noWrap w:val="0"/>
                  <w:vAlign w:val="center"/>
                </w:tcPr>
                <w:p w14:paraId="035172E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933" w:type="dxa"/>
                  <w:noWrap w:val="0"/>
                  <w:vAlign w:val="center"/>
                </w:tcPr>
                <w:p w14:paraId="61F5929B">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1381" w:type="dxa"/>
                  <w:noWrap w:val="0"/>
                  <w:vAlign w:val="center"/>
                </w:tcPr>
                <w:p w14:paraId="1AD01928">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06EA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3F286415">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restart"/>
                  <w:noWrap w:val="0"/>
                  <w:vAlign w:val="center"/>
                </w:tcPr>
                <w:p w14:paraId="4AD4B2B1">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跳磴河例行监测断面（沟口村例行断面，大九污水处理厂排污口下游约2000m）</w:t>
                  </w:r>
                </w:p>
              </w:tc>
              <w:tc>
                <w:tcPr>
                  <w:tcW w:w="1106" w:type="dxa"/>
                  <w:shd w:val="clear" w:color="auto" w:fill="auto"/>
                  <w:noWrap w:val="0"/>
                  <w:vAlign w:val="center"/>
                </w:tcPr>
                <w:p w14:paraId="03D9B46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zh-CN" w:eastAsia="zh-CN"/>
                    </w:rPr>
                    <w:t>pH</w:t>
                  </w:r>
                </w:p>
              </w:tc>
              <w:tc>
                <w:tcPr>
                  <w:tcW w:w="1085" w:type="dxa"/>
                  <w:noWrap w:val="0"/>
                  <w:vAlign w:val="center"/>
                </w:tcPr>
                <w:p w14:paraId="57676C3A">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rPr>
                  </w:pPr>
                  <w:r>
                    <w:rPr>
                      <w:rFonts w:hint="eastAsia"/>
                      <w:color w:val="auto"/>
                    </w:rPr>
                    <w:t>7.</w:t>
                  </w:r>
                  <w:r>
                    <w:rPr>
                      <w:rFonts w:hint="eastAsia"/>
                      <w:color w:val="auto"/>
                      <w:lang w:val="en-US" w:eastAsia="zh-CN"/>
                    </w:rPr>
                    <w:t>0</w:t>
                  </w:r>
                  <w:r>
                    <w:rPr>
                      <w:rFonts w:hint="eastAsia"/>
                      <w:color w:val="auto"/>
                    </w:rPr>
                    <w:t>~7.</w:t>
                  </w:r>
                  <w:r>
                    <w:rPr>
                      <w:rFonts w:hint="eastAsia"/>
                      <w:color w:val="auto"/>
                      <w:lang w:val="en-US" w:eastAsia="zh-CN"/>
                    </w:rPr>
                    <w:t>1</w:t>
                  </w:r>
                </w:p>
              </w:tc>
              <w:tc>
                <w:tcPr>
                  <w:tcW w:w="969" w:type="dxa"/>
                  <w:noWrap w:val="0"/>
                  <w:vAlign w:val="center"/>
                </w:tcPr>
                <w:p w14:paraId="244208E8">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0.05</w:t>
                  </w:r>
                </w:p>
              </w:tc>
              <w:tc>
                <w:tcPr>
                  <w:tcW w:w="933" w:type="dxa"/>
                  <w:noWrap w:val="0"/>
                  <w:vAlign w:val="center"/>
                </w:tcPr>
                <w:p w14:paraId="7185C2AE">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6~9</w:t>
                  </w:r>
                </w:p>
              </w:tc>
              <w:tc>
                <w:tcPr>
                  <w:tcW w:w="1381" w:type="dxa"/>
                  <w:noWrap w:val="0"/>
                  <w:vAlign w:val="center"/>
                </w:tcPr>
                <w:p w14:paraId="4783217E">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7AE3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21E01903">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7C48F958">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shd w:val="clear" w:color="auto" w:fill="auto"/>
                  <w:noWrap w:val="0"/>
                  <w:vAlign w:val="center"/>
                </w:tcPr>
                <w:p w14:paraId="40526B40">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zh-CN" w:eastAsia="zh-CN"/>
                    </w:rPr>
                    <w:t>COD</w:t>
                  </w:r>
                </w:p>
              </w:tc>
              <w:tc>
                <w:tcPr>
                  <w:tcW w:w="1085" w:type="dxa"/>
                  <w:noWrap w:val="0"/>
                  <w:vAlign w:val="center"/>
                </w:tcPr>
                <w:p w14:paraId="0D48FC4F">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rPr>
                  </w:pPr>
                  <w:r>
                    <w:rPr>
                      <w:rFonts w:hint="eastAsia" w:eastAsia="宋体"/>
                      <w:color w:val="auto"/>
                      <w:lang w:val="en-US" w:eastAsia="zh-CN"/>
                    </w:rPr>
                    <w:t>/</w:t>
                  </w:r>
                </w:p>
              </w:tc>
              <w:tc>
                <w:tcPr>
                  <w:tcW w:w="969" w:type="dxa"/>
                  <w:noWrap w:val="0"/>
                  <w:vAlign w:val="center"/>
                </w:tcPr>
                <w:p w14:paraId="6F8BED92">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933" w:type="dxa"/>
                  <w:noWrap w:val="0"/>
                  <w:vAlign w:val="center"/>
                </w:tcPr>
                <w:p w14:paraId="7EE6137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40</w:t>
                  </w:r>
                </w:p>
              </w:tc>
              <w:tc>
                <w:tcPr>
                  <w:tcW w:w="1381" w:type="dxa"/>
                  <w:noWrap w:val="0"/>
                  <w:vAlign w:val="center"/>
                </w:tcPr>
                <w:p w14:paraId="7B817600">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45BD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0F7FD32B">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103D9CD3">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shd w:val="clear" w:color="auto" w:fill="auto"/>
                  <w:noWrap w:val="0"/>
                  <w:vAlign w:val="center"/>
                </w:tcPr>
                <w:p w14:paraId="149928C5">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zh-CN" w:eastAsia="zh-CN"/>
                    </w:rPr>
                    <w:t>BOD</w:t>
                  </w:r>
                  <w:r>
                    <w:rPr>
                      <w:rFonts w:hint="eastAsia" w:ascii="Times New Roman" w:hAnsi="Times New Roman" w:eastAsia="宋体" w:cs="Times New Roman"/>
                      <w:color w:val="auto"/>
                      <w:sz w:val="22"/>
                      <w:szCs w:val="22"/>
                      <w:vertAlign w:val="subscript"/>
                      <w:lang w:val="zh-CN" w:eastAsia="zh-CN"/>
                    </w:rPr>
                    <w:t>5</w:t>
                  </w:r>
                </w:p>
              </w:tc>
              <w:tc>
                <w:tcPr>
                  <w:tcW w:w="1085" w:type="dxa"/>
                  <w:noWrap w:val="0"/>
                  <w:vAlign w:val="center"/>
                </w:tcPr>
                <w:p w14:paraId="4D4E8045">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rPr>
                  </w:pPr>
                  <w:r>
                    <w:rPr>
                      <w:rFonts w:hint="eastAsia"/>
                      <w:color w:val="auto"/>
                      <w:lang w:val="en-US" w:eastAsia="zh-CN"/>
                    </w:rPr>
                    <w:t>3.0</w:t>
                  </w:r>
                  <w:r>
                    <w:rPr>
                      <w:rFonts w:hint="eastAsia"/>
                      <w:color w:val="auto"/>
                    </w:rPr>
                    <w:t>~3.</w:t>
                  </w:r>
                  <w:r>
                    <w:rPr>
                      <w:rFonts w:hint="eastAsia"/>
                      <w:color w:val="auto"/>
                      <w:lang w:val="en-US" w:eastAsia="zh-CN"/>
                    </w:rPr>
                    <w:t>9</w:t>
                  </w:r>
                </w:p>
              </w:tc>
              <w:tc>
                <w:tcPr>
                  <w:tcW w:w="969" w:type="dxa"/>
                  <w:noWrap w:val="0"/>
                  <w:vAlign w:val="center"/>
                </w:tcPr>
                <w:p w14:paraId="08DDF798">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0.39</w:t>
                  </w:r>
                </w:p>
              </w:tc>
              <w:tc>
                <w:tcPr>
                  <w:tcW w:w="933" w:type="dxa"/>
                  <w:noWrap w:val="0"/>
                  <w:vAlign w:val="center"/>
                </w:tcPr>
                <w:p w14:paraId="62ACD707">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1381" w:type="dxa"/>
                  <w:noWrap w:val="0"/>
                  <w:vAlign w:val="center"/>
                </w:tcPr>
                <w:p w14:paraId="67A367AB">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6954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3CD17DC9">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7A24B82E">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shd w:val="clear" w:color="auto" w:fill="auto"/>
                  <w:noWrap w:val="0"/>
                  <w:vAlign w:val="center"/>
                </w:tcPr>
                <w:p w14:paraId="796CF7D9">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zh-CN" w:eastAsia="zh-CN"/>
                    </w:rPr>
                    <w:t>NH</w:t>
                  </w:r>
                  <w:r>
                    <w:rPr>
                      <w:rFonts w:hint="eastAsia" w:ascii="Times New Roman" w:hAnsi="Times New Roman" w:eastAsia="宋体" w:cs="Times New Roman"/>
                      <w:color w:val="auto"/>
                      <w:sz w:val="22"/>
                      <w:szCs w:val="22"/>
                      <w:vertAlign w:val="subscript"/>
                      <w:lang w:val="zh-CN" w:eastAsia="zh-CN"/>
                    </w:rPr>
                    <w:t>3</w:t>
                  </w:r>
                  <w:r>
                    <w:rPr>
                      <w:rFonts w:hint="eastAsia" w:ascii="Times New Roman" w:hAnsi="Times New Roman" w:eastAsia="宋体" w:cs="Times New Roman"/>
                      <w:color w:val="auto"/>
                      <w:sz w:val="22"/>
                      <w:szCs w:val="22"/>
                      <w:lang w:val="zh-CN" w:eastAsia="zh-CN"/>
                    </w:rPr>
                    <w:t>-N</w:t>
                  </w:r>
                </w:p>
              </w:tc>
              <w:tc>
                <w:tcPr>
                  <w:tcW w:w="1085" w:type="dxa"/>
                  <w:noWrap w:val="0"/>
                  <w:vAlign w:val="center"/>
                </w:tcPr>
                <w:p w14:paraId="786FC5E8">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rPr>
                  </w:pPr>
                  <w:r>
                    <w:rPr>
                      <w:rFonts w:hint="eastAsia" w:ascii="Times New Roman" w:hAnsi="Times New Roman" w:eastAsia="宋体" w:cs="Times New Roman"/>
                      <w:color w:val="auto"/>
                      <w:sz w:val="22"/>
                      <w:szCs w:val="22"/>
                      <w:lang w:val="en-US" w:eastAsia="zh-CN"/>
                    </w:rPr>
                    <w:t>/</w:t>
                  </w:r>
                </w:p>
              </w:tc>
              <w:tc>
                <w:tcPr>
                  <w:tcW w:w="969" w:type="dxa"/>
                  <w:noWrap w:val="0"/>
                  <w:vAlign w:val="center"/>
                </w:tcPr>
                <w:p w14:paraId="796384E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933" w:type="dxa"/>
                  <w:noWrap w:val="0"/>
                  <w:vAlign w:val="center"/>
                </w:tcPr>
                <w:p w14:paraId="40564DA4">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w:t>
                  </w:r>
                </w:p>
              </w:tc>
              <w:tc>
                <w:tcPr>
                  <w:tcW w:w="1381" w:type="dxa"/>
                  <w:noWrap w:val="0"/>
                  <w:vAlign w:val="center"/>
                </w:tcPr>
                <w:p w14:paraId="3581C004">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r w14:paraId="0A09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noWrap w:val="0"/>
                  <w:vAlign w:val="center"/>
                </w:tcPr>
                <w:p w14:paraId="44E1A05C">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607" w:type="dxa"/>
                  <w:vMerge w:val="continue"/>
                  <w:noWrap w:val="0"/>
                  <w:vAlign w:val="center"/>
                </w:tcPr>
                <w:p w14:paraId="3608DAF5">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p>
              </w:tc>
              <w:tc>
                <w:tcPr>
                  <w:tcW w:w="1106" w:type="dxa"/>
                  <w:shd w:val="clear" w:color="auto" w:fill="auto"/>
                  <w:noWrap w:val="0"/>
                  <w:vAlign w:val="center"/>
                </w:tcPr>
                <w:p w14:paraId="591CCD22">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石油类</w:t>
                  </w:r>
                </w:p>
              </w:tc>
              <w:tc>
                <w:tcPr>
                  <w:tcW w:w="1085" w:type="dxa"/>
                  <w:noWrap w:val="0"/>
                  <w:vAlign w:val="center"/>
                </w:tcPr>
                <w:p w14:paraId="3AEA0FFB">
                  <w:pPr>
                    <w:keepNext w:val="0"/>
                    <w:keepLines w:val="0"/>
                    <w:pageBreakBefore w:val="0"/>
                    <w:widowControl w:val="0"/>
                    <w:kinsoku/>
                    <w:wordWrap/>
                    <w:overflowPunct/>
                    <w:topLinePunct w:val="0"/>
                    <w:bidi w:val="0"/>
                    <w:snapToGrid w:val="0"/>
                    <w:spacing w:line="240" w:lineRule="auto"/>
                    <w:jc w:val="center"/>
                    <w:textAlignment w:val="auto"/>
                    <w:rPr>
                      <w:rFonts w:hint="eastAsia"/>
                      <w:color w:val="auto"/>
                      <w:sz w:val="22"/>
                      <w:szCs w:val="22"/>
                    </w:rPr>
                  </w:pPr>
                  <w:r>
                    <w:rPr>
                      <w:rFonts w:hint="eastAsia" w:eastAsia="宋体"/>
                      <w:color w:val="auto"/>
                      <w:sz w:val="22"/>
                      <w:szCs w:val="22"/>
                      <w:lang w:val="en-US" w:eastAsia="zh-CN"/>
                    </w:rPr>
                    <w:t>0.01L</w:t>
                  </w:r>
                </w:p>
              </w:tc>
              <w:tc>
                <w:tcPr>
                  <w:tcW w:w="969" w:type="dxa"/>
                  <w:noWrap w:val="0"/>
                  <w:vAlign w:val="center"/>
                </w:tcPr>
                <w:p w14:paraId="05D6540B">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933" w:type="dxa"/>
                  <w:noWrap w:val="0"/>
                  <w:vAlign w:val="center"/>
                </w:tcPr>
                <w:p w14:paraId="1318A7D4">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1381" w:type="dxa"/>
                  <w:noWrap w:val="0"/>
                  <w:vAlign w:val="center"/>
                </w:tcPr>
                <w:p w14:paraId="20C73EF9">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auto"/>
                      <w:sz w:val="22"/>
                      <w:szCs w:val="22"/>
                      <w:lang w:val="zh-CN" w:eastAsia="zh-CN"/>
                    </w:rPr>
                  </w:pPr>
                  <w:r>
                    <w:rPr>
                      <w:rFonts w:hint="eastAsia" w:ascii="Times New Roman" w:hAnsi="Times New Roman" w:eastAsia="宋体" w:cs="Times New Roman"/>
                      <w:color w:val="auto"/>
                      <w:sz w:val="22"/>
                      <w:szCs w:val="22"/>
                      <w:lang w:val="zh-CN" w:eastAsia="zh-CN"/>
                    </w:rPr>
                    <w:t>达标</w:t>
                  </w:r>
                </w:p>
              </w:tc>
            </w:tr>
          </w:tbl>
          <w:p w14:paraId="6F2D9763">
            <w:pPr>
              <w:pStyle w:val="68"/>
              <w:ind w:firstLine="520"/>
              <w:rPr>
                <w:color w:val="auto"/>
                <w:szCs w:val="26"/>
              </w:rPr>
            </w:pPr>
            <w:r>
              <w:rPr>
                <w:rFonts w:hint="eastAsia" w:ascii="Times New Roman" w:hAnsi="Times New Roman" w:eastAsia="宋体" w:cs="Times New Roman"/>
                <w:color w:val="auto"/>
                <w:sz w:val="26"/>
                <w:szCs w:val="26"/>
              </w:rPr>
              <w:t>根据上表可知，</w:t>
            </w:r>
            <w:r>
              <w:rPr>
                <w:rFonts w:hint="eastAsia" w:ascii="Times New Roman" w:hAnsi="Times New Roman" w:eastAsia="宋体" w:cs="Times New Roman"/>
                <w:color w:val="auto"/>
                <w:sz w:val="26"/>
                <w:szCs w:val="26"/>
                <w:lang w:val="en-US" w:eastAsia="zh-CN"/>
              </w:rPr>
              <w:t>建桥园区C区工业废水集中处理设施排污口上游500m和跳磴河例行监测断面（沟口村例行断面，大九污水处理厂排污口下游约2000m）处</w:t>
            </w:r>
            <w:r>
              <w:rPr>
                <w:rFonts w:hint="eastAsia" w:ascii="Times New Roman" w:hAnsi="Times New Roman" w:eastAsia="宋体" w:cs="Times New Roman"/>
                <w:color w:val="auto"/>
                <w:sz w:val="26"/>
                <w:szCs w:val="26"/>
              </w:rPr>
              <w:t>水质指标中各指标能够满足《地表水环境质量标准》（GB3838</w:t>
            </w:r>
            <w:r>
              <w:rPr>
                <w:rFonts w:hint="eastAsia"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rPr>
              <w:t>2002）中的</w:t>
            </w:r>
            <w:r>
              <w:rPr>
                <w:rFonts w:hint="eastAsia" w:ascii="宋体" w:hAnsi="宋体" w:eastAsia="宋体" w:cs="宋体"/>
                <w:color w:val="auto"/>
                <w:sz w:val="26"/>
                <w:szCs w:val="26"/>
                <w:lang w:val="en-US" w:eastAsia="zh-CN"/>
              </w:rPr>
              <w:t>Ⅴ</w:t>
            </w:r>
            <w:r>
              <w:rPr>
                <w:rFonts w:hint="eastAsia" w:ascii="Times New Roman" w:hAnsi="Times New Roman" w:eastAsia="宋体" w:cs="Times New Roman"/>
                <w:color w:val="auto"/>
                <w:sz w:val="26"/>
                <w:szCs w:val="26"/>
              </w:rPr>
              <w:t>类水域标准要求。</w:t>
            </w:r>
            <w:r>
              <w:rPr>
                <w:rFonts w:hint="eastAsia"/>
                <w:color w:val="auto"/>
                <w:szCs w:val="26"/>
              </w:rPr>
              <w:t>。</w:t>
            </w:r>
          </w:p>
          <w:p w14:paraId="44BBC005">
            <w:pPr>
              <w:adjustRightInd w:val="0"/>
              <w:snapToGrid w:val="0"/>
              <w:spacing w:line="460" w:lineRule="exact"/>
              <w:jc w:val="left"/>
              <w:rPr>
                <w:b/>
                <w:sz w:val="26"/>
                <w:szCs w:val="26"/>
              </w:rPr>
            </w:pPr>
            <w:r>
              <w:rPr>
                <w:b/>
                <w:sz w:val="26"/>
                <w:szCs w:val="26"/>
              </w:rPr>
              <w:t>3.1.3</w:t>
            </w:r>
            <w:r>
              <w:rPr>
                <w:rFonts w:hint="eastAsia"/>
                <w:b/>
                <w:sz w:val="26"/>
                <w:szCs w:val="26"/>
              </w:rPr>
              <w:t>地下水</w:t>
            </w:r>
            <w:r>
              <w:rPr>
                <w:b/>
                <w:sz w:val="26"/>
                <w:szCs w:val="26"/>
              </w:rPr>
              <w:t>环境</w:t>
            </w:r>
          </w:p>
          <w:p w14:paraId="71C26125">
            <w:pPr>
              <w:adjustRightInd w:val="0"/>
              <w:snapToGrid w:val="0"/>
              <w:spacing w:line="460" w:lineRule="exact"/>
              <w:ind w:firstLine="520" w:firstLineChars="200"/>
              <w:rPr>
                <w:sz w:val="26"/>
                <w:szCs w:val="26"/>
              </w:rPr>
            </w:pPr>
            <w:r>
              <w:rPr>
                <w:rFonts w:hint="eastAsia"/>
                <w:sz w:val="26"/>
                <w:szCs w:val="26"/>
              </w:rPr>
              <w:t>（1）监测数据资料情况</w:t>
            </w:r>
          </w:p>
          <w:p w14:paraId="4915C6C5">
            <w:pPr>
              <w:adjustRightInd w:val="0"/>
              <w:snapToGrid w:val="0"/>
              <w:spacing w:line="460" w:lineRule="exact"/>
              <w:ind w:firstLine="520" w:firstLineChars="200"/>
              <w:rPr>
                <w:sz w:val="26"/>
                <w:szCs w:val="26"/>
              </w:rPr>
            </w:pPr>
            <w:r>
              <w:rPr>
                <w:rFonts w:hint="eastAsia"/>
                <w:color w:val="FF0000"/>
                <w:sz w:val="26"/>
                <w:szCs w:val="26"/>
              </w:rPr>
              <w:t>本项目为加油站</w:t>
            </w:r>
            <w:r>
              <w:rPr>
                <w:rFonts w:hint="eastAsia"/>
                <w:color w:val="FF0000"/>
                <w:sz w:val="26"/>
                <w:szCs w:val="26"/>
                <w:lang w:val="en-US" w:eastAsia="zh-CN"/>
              </w:rPr>
              <w:t>工艺改造</w:t>
            </w:r>
            <w:r>
              <w:rPr>
                <w:rFonts w:hint="eastAsia"/>
                <w:color w:val="FF0000"/>
                <w:sz w:val="26"/>
                <w:szCs w:val="26"/>
              </w:rPr>
              <w:t>项目，可能存在地下水环境污染途径，本次评价利用场地内</w:t>
            </w:r>
            <w:r>
              <w:rPr>
                <w:rFonts w:hint="eastAsia"/>
                <w:color w:val="FF0000"/>
                <w:sz w:val="26"/>
                <w:szCs w:val="26"/>
                <w:lang w:val="en-US" w:eastAsia="zh-CN"/>
              </w:rPr>
              <w:t>已</w:t>
            </w:r>
            <w:r>
              <w:rPr>
                <w:rFonts w:hint="eastAsia"/>
                <w:color w:val="FF0000"/>
                <w:sz w:val="26"/>
                <w:szCs w:val="26"/>
              </w:rPr>
              <w:t>设置的1个地下水监测点，</w:t>
            </w:r>
            <w:r>
              <w:rPr>
                <w:rFonts w:hint="eastAsia"/>
                <w:color w:val="FF0000"/>
                <w:sz w:val="26"/>
                <w:szCs w:val="26"/>
                <w:lang w:val="en-US" w:eastAsia="zh-CN"/>
              </w:rPr>
              <w:t>该点位位于项目厂界内，能够代表项目区域内地下水环境质量现状。</w:t>
            </w:r>
            <w:r>
              <w:rPr>
                <w:rFonts w:hint="eastAsia"/>
                <w:sz w:val="26"/>
                <w:szCs w:val="26"/>
              </w:rPr>
              <w:t>评价委托重庆港庆测控技术有限公司于</w:t>
            </w:r>
            <w:r>
              <w:rPr>
                <w:rFonts w:hint="eastAsia"/>
                <w:color w:val="auto"/>
                <w:sz w:val="26"/>
                <w:szCs w:val="26"/>
              </w:rPr>
              <w:t>2025年</w:t>
            </w:r>
            <w:r>
              <w:rPr>
                <w:rFonts w:hint="eastAsia"/>
                <w:color w:val="auto"/>
                <w:sz w:val="26"/>
                <w:szCs w:val="26"/>
                <w:lang w:val="en-US" w:eastAsia="zh-CN"/>
              </w:rPr>
              <w:t>9</w:t>
            </w:r>
            <w:r>
              <w:rPr>
                <w:rFonts w:hint="eastAsia"/>
                <w:color w:val="auto"/>
                <w:sz w:val="26"/>
                <w:szCs w:val="26"/>
              </w:rPr>
              <w:t>月15日</w:t>
            </w:r>
            <w:r>
              <w:rPr>
                <w:rFonts w:hint="eastAsia"/>
                <w:sz w:val="26"/>
                <w:szCs w:val="26"/>
              </w:rPr>
              <w:t>进行地下水环境现状监测，并出具了（港庆（监）字</w:t>
            </w:r>
            <w:r>
              <w:rPr>
                <w:rFonts w:hint="eastAsia"/>
                <w:color w:val="auto"/>
                <w:sz w:val="26"/>
                <w:szCs w:val="26"/>
              </w:rPr>
              <w:t>〔2025〕第0</w:t>
            </w:r>
            <w:r>
              <w:rPr>
                <w:rFonts w:hint="eastAsia"/>
                <w:color w:val="auto"/>
                <w:sz w:val="26"/>
                <w:szCs w:val="26"/>
                <w:lang w:val="en-US" w:eastAsia="zh-CN"/>
              </w:rPr>
              <w:t>9017</w:t>
            </w:r>
            <w:r>
              <w:rPr>
                <w:rFonts w:hint="eastAsia"/>
                <w:color w:val="auto"/>
                <w:sz w:val="26"/>
                <w:szCs w:val="26"/>
              </w:rPr>
              <w:t>-HP号）</w:t>
            </w:r>
            <w:r>
              <w:rPr>
                <w:rFonts w:hint="eastAsia"/>
                <w:sz w:val="26"/>
                <w:szCs w:val="26"/>
              </w:rPr>
              <w:t>作为本次评价地下水环境质量现状依据。监测频次为连续采样1天，共1次。</w:t>
            </w:r>
          </w:p>
          <w:p w14:paraId="637756FF">
            <w:pPr>
              <w:adjustRightInd w:val="0"/>
              <w:snapToGrid w:val="0"/>
              <w:spacing w:line="460" w:lineRule="exact"/>
              <w:ind w:firstLine="520" w:firstLineChars="200"/>
              <w:rPr>
                <w:sz w:val="26"/>
                <w:szCs w:val="26"/>
              </w:rPr>
            </w:pPr>
            <w:r>
              <w:rPr>
                <w:rFonts w:hint="eastAsia"/>
                <w:sz w:val="26"/>
                <w:szCs w:val="26"/>
              </w:rPr>
              <w:t>（2）评价方法</w:t>
            </w:r>
          </w:p>
          <w:p w14:paraId="74514FE6">
            <w:pPr>
              <w:pStyle w:val="68"/>
              <w:ind w:firstLine="520"/>
              <w:rPr>
                <w:color w:val="auto"/>
              </w:rPr>
            </w:pPr>
            <w:r>
              <w:rPr>
                <w:color w:val="auto"/>
              </w:rPr>
              <w:t>地下水质现状评价应采用标</w:t>
            </w:r>
            <w:r>
              <w:rPr>
                <w:rFonts w:hint="eastAsia"/>
                <w:color w:val="auto"/>
              </w:rPr>
              <w:t>准</w:t>
            </w:r>
            <w:r>
              <w:rPr>
                <w:color w:val="auto"/>
              </w:rPr>
              <w:t>指数法。</w:t>
            </w:r>
            <w:r>
              <w:rPr>
                <w:rFonts w:hint="eastAsia"/>
                <w:color w:val="auto"/>
              </w:rPr>
              <w:t>标准</w:t>
            </w:r>
            <w:r>
              <w:rPr>
                <w:color w:val="auto"/>
              </w:rPr>
              <w:t>指数&gt;1，表明该水质因子已超标，标准指数越大，超标越严重。标</w:t>
            </w:r>
            <w:r>
              <w:rPr>
                <w:rFonts w:hint="eastAsia"/>
                <w:color w:val="auto"/>
              </w:rPr>
              <w:t>准</w:t>
            </w:r>
            <w:r>
              <w:rPr>
                <w:color w:val="auto"/>
              </w:rPr>
              <w:t>指数计算公式</w:t>
            </w:r>
            <w:r>
              <w:rPr>
                <w:rFonts w:hint="eastAsia"/>
                <w:color w:val="auto"/>
              </w:rPr>
              <w:t>分</w:t>
            </w:r>
            <w:r>
              <w:rPr>
                <w:color w:val="auto"/>
              </w:rPr>
              <w:t>以下两种情况：</w:t>
            </w:r>
          </w:p>
          <w:p w14:paraId="6E730D88">
            <w:pPr>
              <w:pStyle w:val="68"/>
              <w:ind w:firstLine="520"/>
              <w:rPr>
                <w:color w:val="auto"/>
              </w:rPr>
            </w:pPr>
            <w:r>
              <w:rPr>
                <w:rFonts w:hint="eastAsia"/>
                <w:color w:val="auto"/>
              </w:rPr>
              <w:t>①</w:t>
            </w:r>
            <w:r>
              <w:rPr>
                <w:color w:val="auto"/>
              </w:rPr>
              <w:t>对于评价标准为定值的水质因子，其标准指数计算方法见公式如下：</w:t>
            </w:r>
          </w:p>
          <w:p w14:paraId="4EDB18A9">
            <w:pPr>
              <w:pStyle w:val="68"/>
              <w:ind w:firstLine="520"/>
              <w:jc w:val="center"/>
              <w:rPr>
                <w:color w:val="auto"/>
              </w:rPr>
            </w:pPr>
            <w:r>
              <w:rPr>
                <w:color w:val="auto"/>
              </w:rPr>
              <w:t>P</w:t>
            </w:r>
            <w:r>
              <w:rPr>
                <w:color w:val="auto"/>
                <w:vertAlign w:val="subscript"/>
              </w:rPr>
              <w:t>i</w:t>
            </w:r>
            <w:r>
              <w:rPr>
                <w:color w:val="auto"/>
              </w:rPr>
              <w:t>=C</w:t>
            </w:r>
            <w:r>
              <w:rPr>
                <w:color w:val="auto"/>
                <w:vertAlign w:val="subscript"/>
              </w:rPr>
              <w:t>i</w:t>
            </w:r>
            <w:r>
              <w:rPr>
                <w:color w:val="auto"/>
              </w:rPr>
              <w:t>/C</w:t>
            </w:r>
            <w:r>
              <w:rPr>
                <w:color w:val="auto"/>
                <w:vertAlign w:val="subscript"/>
              </w:rPr>
              <w:t>si</w:t>
            </w:r>
          </w:p>
          <w:p w14:paraId="464DE7C8">
            <w:pPr>
              <w:pStyle w:val="68"/>
              <w:ind w:firstLine="520"/>
              <w:rPr>
                <w:color w:val="auto"/>
              </w:rPr>
            </w:pPr>
            <w:r>
              <w:rPr>
                <w:color w:val="auto"/>
              </w:rPr>
              <w:t>式中：P</w:t>
            </w:r>
            <w:r>
              <w:rPr>
                <w:color w:val="auto"/>
                <w:vertAlign w:val="subscript"/>
              </w:rPr>
              <w:t>i</w:t>
            </w:r>
            <w:r>
              <w:rPr>
                <w:color w:val="auto"/>
              </w:rPr>
              <w:t>—第i个水质单因子的标准指数；无量纲；</w:t>
            </w:r>
          </w:p>
          <w:p w14:paraId="35C1BC13">
            <w:pPr>
              <w:pStyle w:val="68"/>
              <w:ind w:firstLine="1300" w:firstLineChars="500"/>
              <w:rPr>
                <w:color w:val="auto"/>
              </w:rPr>
            </w:pPr>
            <w:r>
              <w:rPr>
                <w:color w:val="auto"/>
              </w:rPr>
              <w:t>C</w:t>
            </w:r>
            <w:r>
              <w:rPr>
                <w:color w:val="auto"/>
                <w:vertAlign w:val="subscript"/>
              </w:rPr>
              <w:t>i</w:t>
            </w:r>
            <w:r>
              <w:rPr>
                <w:color w:val="auto"/>
              </w:rPr>
              <w:t>—第i个水质因子的监测浓度值，（mg/L）；</w:t>
            </w:r>
          </w:p>
          <w:p w14:paraId="6458E544">
            <w:pPr>
              <w:pStyle w:val="68"/>
              <w:ind w:firstLine="1300" w:firstLineChars="500"/>
              <w:rPr>
                <w:color w:val="auto"/>
              </w:rPr>
            </w:pPr>
            <w:r>
              <w:rPr>
                <w:color w:val="auto"/>
              </w:rPr>
              <w:t>C</w:t>
            </w:r>
            <w:r>
              <w:rPr>
                <w:color w:val="auto"/>
                <w:vertAlign w:val="subscript"/>
              </w:rPr>
              <w:t>si</w:t>
            </w:r>
            <w:r>
              <w:rPr>
                <w:color w:val="auto"/>
              </w:rPr>
              <w:t>—第i个水质因子的标准浓度值，（mg/L）。</w:t>
            </w:r>
          </w:p>
          <w:p w14:paraId="41603CAB">
            <w:pPr>
              <w:pStyle w:val="68"/>
              <w:ind w:firstLine="520"/>
              <w:rPr>
                <w:color w:val="auto"/>
              </w:rPr>
            </w:pPr>
            <w:r>
              <w:rPr>
                <w:rFonts w:hint="eastAsia"/>
                <w:color w:val="auto"/>
              </w:rPr>
              <w:t>②</w:t>
            </w:r>
            <w:r>
              <w:rPr>
                <w:color w:val="auto"/>
              </w:rPr>
              <w:t>对于评价标准为区间的水质因子（如pH值），其标准指数计算方法见公式如下：</w:t>
            </w:r>
          </w:p>
          <w:p w14:paraId="2404333B">
            <w:pPr>
              <w:pStyle w:val="68"/>
              <w:ind w:firstLine="520"/>
              <w:jc w:val="center"/>
              <w:rPr>
                <w:color w:val="auto"/>
              </w:rPr>
            </w:pPr>
            <w:r>
              <w:rPr>
                <w:color w:val="auto"/>
              </w:rPr>
              <w:t>P</w:t>
            </w:r>
            <w:r>
              <w:rPr>
                <w:color w:val="auto"/>
                <w:vertAlign w:val="subscript"/>
              </w:rPr>
              <w:t>pH</w:t>
            </w:r>
            <w:r>
              <w:rPr>
                <w:color w:val="auto"/>
              </w:rPr>
              <w:t>=(7.0－pH)/(7.0－pH</w:t>
            </w:r>
            <w:r>
              <w:rPr>
                <w:color w:val="auto"/>
                <w:vertAlign w:val="subscript"/>
              </w:rPr>
              <w:t>sd</w:t>
            </w:r>
            <w:r>
              <w:rPr>
                <w:color w:val="auto"/>
              </w:rPr>
              <w:t>)  pH≤7.0</w:t>
            </w:r>
          </w:p>
          <w:p w14:paraId="502E205F">
            <w:pPr>
              <w:pStyle w:val="68"/>
              <w:ind w:firstLine="520"/>
              <w:jc w:val="center"/>
              <w:rPr>
                <w:color w:val="auto"/>
              </w:rPr>
            </w:pPr>
            <w:r>
              <w:rPr>
                <w:color w:val="auto"/>
              </w:rPr>
              <w:t>P</w:t>
            </w:r>
            <w:r>
              <w:rPr>
                <w:color w:val="auto"/>
                <w:vertAlign w:val="subscript"/>
              </w:rPr>
              <w:t>pH</w:t>
            </w:r>
            <w:r>
              <w:rPr>
                <w:color w:val="auto"/>
              </w:rPr>
              <w:t>=(pH－7.0)/(pH</w:t>
            </w:r>
            <w:r>
              <w:rPr>
                <w:color w:val="auto"/>
                <w:vertAlign w:val="subscript"/>
              </w:rPr>
              <w:t>su</w:t>
            </w:r>
            <w:r>
              <w:rPr>
                <w:color w:val="auto"/>
              </w:rPr>
              <w:t>－7.0)  pH＞7.0</w:t>
            </w:r>
          </w:p>
          <w:p w14:paraId="149CB05C">
            <w:pPr>
              <w:pStyle w:val="68"/>
              <w:ind w:firstLine="520"/>
              <w:rPr>
                <w:color w:val="auto"/>
              </w:rPr>
            </w:pPr>
            <w:r>
              <w:rPr>
                <w:color w:val="auto"/>
              </w:rPr>
              <w:t>式中：P</w:t>
            </w:r>
            <w:r>
              <w:rPr>
                <w:color w:val="auto"/>
                <w:vertAlign w:val="subscript"/>
              </w:rPr>
              <w:t>pH</w:t>
            </w:r>
            <w:r>
              <w:rPr>
                <w:color w:val="auto"/>
              </w:rPr>
              <w:t>—pH值的标准指数；</w:t>
            </w:r>
          </w:p>
          <w:p w14:paraId="5A2676B6">
            <w:pPr>
              <w:pStyle w:val="68"/>
              <w:ind w:firstLine="1300" w:firstLineChars="500"/>
              <w:rPr>
                <w:color w:val="auto"/>
              </w:rPr>
            </w:pPr>
            <w:r>
              <w:rPr>
                <w:color w:val="auto"/>
              </w:rPr>
              <w:t>pH—pH实测值；</w:t>
            </w:r>
          </w:p>
          <w:p w14:paraId="10A5144A">
            <w:pPr>
              <w:pStyle w:val="68"/>
              <w:ind w:firstLine="1300" w:firstLineChars="500"/>
              <w:rPr>
                <w:color w:val="auto"/>
              </w:rPr>
            </w:pPr>
            <w:r>
              <w:rPr>
                <w:color w:val="auto"/>
              </w:rPr>
              <w:t>pH</w:t>
            </w:r>
            <w:r>
              <w:rPr>
                <w:color w:val="auto"/>
                <w:vertAlign w:val="subscript"/>
              </w:rPr>
              <w:t>sd</w:t>
            </w:r>
            <w:r>
              <w:rPr>
                <w:color w:val="auto"/>
              </w:rPr>
              <w:t>—标准中规定的pH下限；</w:t>
            </w:r>
          </w:p>
          <w:p w14:paraId="28080B23">
            <w:pPr>
              <w:pStyle w:val="68"/>
              <w:ind w:firstLine="1300" w:firstLineChars="500"/>
              <w:rPr>
                <w:color w:val="auto"/>
              </w:rPr>
            </w:pPr>
            <w:r>
              <w:rPr>
                <w:color w:val="auto"/>
              </w:rPr>
              <w:t>pH</w:t>
            </w:r>
            <w:r>
              <w:rPr>
                <w:color w:val="auto"/>
                <w:vertAlign w:val="subscript"/>
              </w:rPr>
              <w:t>su</w:t>
            </w:r>
            <w:r>
              <w:rPr>
                <w:color w:val="auto"/>
              </w:rPr>
              <w:t>—标准中规定的pH上限。</w:t>
            </w:r>
          </w:p>
          <w:p w14:paraId="57A016A7">
            <w:pPr>
              <w:adjustRightInd w:val="0"/>
              <w:snapToGrid w:val="0"/>
              <w:spacing w:line="460" w:lineRule="exact"/>
              <w:ind w:firstLine="520" w:firstLineChars="200"/>
              <w:rPr>
                <w:sz w:val="26"/>
                <w:szCs w:val="26"/>
              </w:rPr>
            </w:pPr>
            <w:r>
              <w:rPr>
                <w:rFonts w:hint="eastAsia"/>
                <w:sz w:val="26"/>
                <w:szCs w:val="26"/>
              </w:rPr>
              <w:t>（3）监测结果</w:t>
            </w:r>
          </w:p>
          <w:p w14:paraId="3391F5D0">
            <w:pPr>
              <w:adjustRightInd w:val="0"/>
              <w:snapToGrid w:val="0"/>
              <w:spacing w:line="460" w:lineRule="exact"/>
              <w:ind w:firstLine="520" w:firstLineChars="200"/>
              <w:rPr>
                <w:sz w:val="26"/>
                <w:szCs w:val="26"/>
              </w:rPr>
            </w:pPr>
            <w:r>
              <w:rPr>
                <w:rFonts w:hint="eastAsia"/>
                <w:sz w:val="26"/>
                <w:szCs w:val="26"/>
              </w:rPr>
              <w:t>地下水</w:t>
            </w:r>
            <w:r>
              <w:rPr>
                <w:sz w:val="26"/>
                <w:szCs w:val="26"/>
              </w:rPr>
              <w:t>具体监测</w:t>
            </w:r>
            <w:r>
              <w:rPr>
                <w:rFonts w:hint="eastAsia"/>
                <w:sz w:val="26"/>
                <w:szCs w:val="26"/>
              </w:rPr>
              <w:t>结果统计</w:t>
            </w:r>
            <w:r>
              <w:rPr>
                <w:sz w:val="26"/>
                <w:szCs w:val="26"/>
              </w:rPr>
              <w:t>见下表</w:t>
            </w:r>
            <w:r>
              <w:rPr>
                <w:rFonts w:hint="eastAsia"/>
                <w:sz w:val="26"/>
                <w:szCs w:val="26"/>
              </w:rPr>
              <w:t>3</w:t>
            </w:r>
            <w:r>
              <w:rPr>
                <w:sz w:val="26"/>
                <w:szCs w:val="26"/>
              </w:rPr>
              <w:t>.1</w:t>
            </w:r>
            <w:r>
              <w:rPr>
                <w:rFonts w:hint="eastAsia"/>
                <w:sz w:val="26"/>
                <w:szCs w:val="26"/>
              </w:rPr>
              <w:t>-</w:t>
            </w:r>
            <w:r>
              <w:rPr>
                <w:sz w:val="26"/>
                <w:szCs w:val="26"/>
              </w:rPr>
              <w:t>5</w:t>
            </w:r>
            <w:r>
              <w:rPr>
                <w:rFonts w:hint="eastAsia"/>
                <w:sz w:val="26"/>
                <w:szCs w:val="26"/>
              </w:rPr>
              <w:t>和表3</w:t>
            </w:r>
            <w:r>
              <w:rPr>
                <w:sz w:val="26"/>
                <w:szCs w:val="26"/>
              </w:rPr>
              <w:t>.1</w:t>
            </w:r>
            <w:r>
              <w:rPr>
                <w:rFonts w:hint="eastAsia"/>
                <w:sz w:val="26"/>
                <w:szCs w:val="26"/>
              </w:rPr>
              <w:t>-</w:t>
            </w:r>
            <w:r>
              <w:rPr>
                <w:sz w:val="26"/>
                <w:szCs w:val="26"/>
              </w:rPr>
              <w:t>6</w:t>
            </w:r>
            <w:r>
              <w:rPr>
                <w:rFonts w:hint="eastAsia"/>
                <w:sz w:val="26"/>
                <w:szCs w:val="26"/>
              </w:rPr>
              <w:t>。</w:t>
            </w:r>
          </w:p>
          <w:p w14:paraId="018FEA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6"/>
                <w:szCs w:val="26"/>
              </w:rPr>
            </w:pPr>
            <w:r>
              <w:rPr>
                <w:color w:val="auto"/>
                <w:sz w:val="22"/>
                <w:szCs w:val="22"/>
              </w:rPr>
              <w:t>表3.1</w:t>
            </w:r>
            <w:r>
              <w:rPr>
                <w:rFonts w:hint="eastAsia"/>
                <w:color w:val="auto"/>
                <w:sz w:val="22"/>
                <w:szCs w:val="22"/>
              </w:rPr>
              <w:t>-</w:t>
            </w:r>
            <w:r>
              <w:rPr>
                <w:color w:val="auto"/>
                <w:sz w:val="22"/>
                <w:szCs w:val="22"/>
              </w:rPr>
              <w:t>5</w:t>
            </w:r>
            <w:r>
              <w:rPr>
                <w:rFonts w:hint="eastAsia"/>
                <w:color w:val="auto"/>
                <w:sz w:val="22"/>
                <w:szCs w:val="22"/>
                <w:lang w:val="en-US" w:eastAsia="zh-CN"/>
              </w:rPr>
              <w:t xml:space="preserve">  </w:t>
            </w:r>
            <w:r>
              <w:rPr>
                <w:color w:val="auto"/>
                <w:sz w:val="22"/>
                <w:szCs w:val="22"/>
              </w:rPr>
              <w:t>地下水八大离子监测结果</w:t>
            </w:r>
            <w:r>
              <w:rPr>
                <w:rFonts w:hint="eastAsia"/>
                <w:color w:val="auto"/>
                <w:sz w:val="22"/>
                <w:szCs w:val="22"/>
                <w:lang w:val="en-US" w:eastAsia="zh-CN"/>
              </w:rPr>
              <w:t xml:space="preserve">  </w:t>
            </w:r>
            <w:r>
              <w:rPr>
                <w:color w:val="auto"/>
                <w:sz w:val="22"/>
                <w:szCs w:val="22"/>
              </w:rPr>
              <w:t>单位：mg/L</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709"/>
              <w:gridCol w:w="709"/>
              <w:gridCol w:w="709"/>
              <w:gridCol w:w="709"/>
              <w:gridCol w:w="709"/>
              <w:gridCol w:w="709"/>
              <w:gridCol w:w="709"/>
              <w:gridCol w:w="740"/>
              <w:gridCol w:w="773"/>
            </w:tblGrid>
            <w:tr w14:paraId="69A2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34" w:type="pct"/>
                  <w:tcBorders>
                    <w:tl2br w:val="single" w:color="000000" w:sz="4" w:space="0"/>
                  </w:tcBorders>
                  <w:noWrap/>
                  <w:vAlign w:val="center"/>
                </w:tcPr>
                <w:p w14:paraId="092ADEF2">
                  <w:pPr>
                    <w:pStyle w:val="66"/>
                    <w:jc w:val="right"/>
                    <w:rPr>
                      <w:color w:val="auto"/>
                    </w:rPr>
                  </w:pPr>
                  <w:r>
                    <w:rPr>
                      <w:color w:val="auto"/>
                    </w:rPr>
                    <w:t>监测项目</w:t>
                  </w:r>
                </w:p>
                <w:p w14:paraId="4CB79333">
                  <w:pPr>
                    <w:pStyle w:val="66"/>
                    <w:jc w:val="left"/>
                    <w:rPr>
                      <w:color w:val="auto"/>
                    </w:rPr>
                  </w:pPr>
                  <w:r>
                    <w:rPr>
                      <w:color w:val="auto"/>
                    </w:rPr>
                    <w:t>监测点位</w:t>
                  </w:r>
                </w:p>
              </w:tc>
              <w:tc>
                <w:tcPr>
                  <w:tcW w:w="445" w:type="pct"/>
                  <w:noWrap/>
                  <w:vAlign w:val="center"/>
                </w:tcPr>
                <w:p w14:paraId="3996F417">
                  <w:pPr>
                    <w:pStyle w:val="66"/>
                    <w:rPr>
                      <w:color w:val="auto"/>
                    </w:rPr>
                  </w:pPr>
                  <w:r>
                    <w:rPr>
                      <w:color w:val="auto"/>
                    </w:rPr>
                    <w:t>项目</w:t>
                  </w:r>
                </w:p>
              </w:tc>
              <w:tc>
                <w:tcPr>
                  <w:tcW w:w="445" w:type="pct"/>
                  <w:noWrap/>
                  <w:vAlign w:val="center"/>
                </w:tcPr>
                <w:p w14:paraId="6F1EEF5E">
                  <w:pPr>
                    <w:pStyle w:val="66"/>
                    <w:rPr>
                      <w:color w:val="auto"/>
                    </w:rPr>
                  </w:pPr>
                  <w:r>
                    <w:rPr>
                      <w:color w:val="auto"/>
                    </w:rPr>
                    <w:t>K</w:t>
                  </w:r>
                  <w:r>
                    <w:rPr>
                      <w:rFonts w:hint="eastAsia"/>
                      <w:color w:val="auto"/>
                      <w:vertAlign w:val="superscript"/>
                    </w:rPr>
                    <w:t>+</w:t>
                  </w:r>
                </w:p>
              </w:tc>
              <w:tc>
                <w:tcPr>
                  <w:tcW w:w="445" w:type="pct"/>
                  <w:noWrap/>
                  <w:vAlign w:val="center"/>
                </w:tcPr>
                <w:p w14:paraId="10D1E143">
                  <w:pPr>
                    <w:pStyle w:val="66"/>
                    <w:rPr>
                      <w:color w:val="auto"/>
                    </w:rPr>
                  </w:pPr>
                  <w:r>
                    <w:rPr>
                      <w:color w:val="auto"/>
                    </w:rPr>
                    <w:t>Na</w:t>
                  </w:r>
                  <w:r>
                    <w:rPr>
                      <w:rFonts w:hint="eastAsia"/>
                      <w:color w:val="auto"/>
                      <w:vertAlign w:val="superscript"/>
                    </w:rPr>
                    <w:t>+</w:t>
                  </w:r>
                </w:p>
              </w:tc>
              <w:tc>
                <w:tcPr>
                  <w:tcW w:w="445" w:type="pct"/>
                  <w:vAlign w:val="center"/>
                </w:tcPr>
                <w:p w14:paraId="5EBB8168">
                  <w:pPr>
                    <w:pStyle w:val="66"/>
                    <w:rPr>
                      <w:color w:val="auto"/>
                    </w:rPr>
                  </w:pPr>
                  <w:r>
                    <w:rPr>
                      <w:color w:val="auto"/>
                    </w:rPr>
                    <w:t>Ca</w:t>
                  </w:r>
                  <w:r>
                    <w:rPr>
                      <w:color w:val="auto"/>
                      <w:vertAlign w:val="superscript"/>
                    </w:rPr>
                    <w:t>2</w:t>
                  </w:r>
                  <w:r>
                    <w:rPr>
                      <w:rFonts w:hint="eastAsia"/>
                      <w:color w:val="auto"/>
                      <w:vertAlign w:val="superscript"/>
                    </w:rPr>
                    <w:t>+</w:t>
                  </w:r>
                </w:p>
              </w:tc>
              <w:tc>
                <w:tcPr>
                  <w:tcW w:w="445" w:type="pct"/>
                  <w:vAlign w:val="center"/>
                </w:tcPr>
                <w:p w14:paraId="5A606A37">
                  <w:pPr>
                    <w:pStyle w:val="66"/>
                    <w:rPr>
                      <w:color w:val="auto"/>
                    </w:rPr>
                  </w:pPr>
                  <w:r>
                    <w:rPr>
                      <w:color w:val="auto"/>
                    </w:rPr>
                    <w:t>Mg</w:t>
                  </w:r>
                  <w:r>
                    <w:rPr>
                      <w:color w:val="auto"/>
                      <w:vertAlign w:val="superscript"/>
                    </w:rPr>
                    <w:t>2</w:t>
                  </w:r>
                  <w:r>
                    <w:rPr>
                      <w:rFonts w:hint="eastAsia"/>
                      <w:color w:val="auto"/>
                      <w:vertAlign w:val="superscript"/>
                    </w:rPr>
                    <w:t>+</w:t>
                  </w:r>
                </w:p>
              </w:tc>
              <w:tc>
                <w:tcPr>
                  <w:tcW w:w="445" w:type="pct"/>
                  <w:vAlign w:val="center"/>
                </w:tcPr>
                <w:p w14:paraId="3FD7AE5A">
                  <w:pPr>
                    <w:pStyle w:val="66"/>
                    <w:rPr>
                      <w:color w:val="auto"/>
                    </w:rPr>
                  </w:pPr>
                  <w:r>
                    <w:rPr>
                      <w:color w:val="auto"/>
                    </w:rPr>
                    <w:t>Cl</w:t>
                  </w:r>
                  <w:r>
                    <w:rPr>
                      <w:rFonts w:hint="eastAsia"/>
                      <w:color w:val="auto"/>
                      <w:position w:val="7"/>
                      <w:vertAlign w:val="superscript"/>
                    </w:rPr>
                    <w:t>-</w:t>
                  </w:r>
                </w:p>
              </w:tc>
              <w:tc>
                <w:tcPr>
                  <w:tcW w:w="445" w:type="pct"/>
                  <w:vAlign w:val="center"/>
                </w:tcPr>
                <w:p w14:paraId="50487B86">
                  <w:pPr>
                    <w:pStyle w:val="66"/>
                    <w:rPr>
                      <w:color w:val="auto"/>
                    </w:rPr>
                  </w:pPr>
                  <w:r>
                    <w:rPr>
                      <w:color w:val="auto"/>
                    </w:rPr>
                    <w:t>SO</w:t>
                  </w:r>
                  <w:r>
                    <w:rPr>
                      <w:color w:val="auto"/>
                      <w:vertAlign w:val="subscript"/>
                    </w:rPr>
                    <w:t>4</w:t>
                  </w:r>
                  <w:r>
                    <w:rPr>
                      <w:color w:val="auto"/>
                      <w:vertAlign w:val="superscript"/>
                    </w:rPr>
                    <w:t>2</w:t>
                  </w:r>
                  <w:r>
                    <w:rPr>
                      <w:rFonts w:hint="eastAsia"/>
                      <w:color w:val="auto"/>
                      <w:vertAlign w:val="superscript"/>
                    </w:rPr>
                    <w:t>-</w:t>
                  </w:r>
                </w:p>
              </w:tc>
              <w:tc>
                <w:tcPr>
                  <w:tcW w:w="464" w:type="pct"/>
                  <w:vAlign w:val="center"/>
                </w:tcPr>
                <w:p w14:paraId="07B7B2CD">
                  <w:pPr>
                    <w:pStyle w:val="66"/>
                    <w:rPr>
                      <w:color w:val="auto"/>
                    </w:rPr>
                  </w:pPr>
                  <w:r>
                    <w:rPr>
                      <w:rFonts w:hint="eastAsia"/>
                      <w:color w:val="auto"/>
                    </w:rPr>
                    <w:t>C</w:t>
                  </w:r>
                  <w:r>
                    <w:rPr>
                      <w:color w:val="auto"/>
                    </w:rPr>
                    <w:t>O</w:t>
                  </w:r>
                  <w:r>
                    <w:rPr>
                      <w:color w:val="auto"/>
                      <w:vertAlign w:val="subscript"/>
                    </w:rPr>
                    <w:t>3</w:t>
                  </w:r>
                  <w:r>
                    <w:rPr>
                      <w:color w:val="auto"/>
                      <w:vertAlign w:val="superscript"/>
                    </w:rPr>
                    <w:t>2-</w:t>
                  </w:r>
                </w:p>
              </w:tc>
              <w:tc>
                <w:tcPr>
                  <w:tcW w:w="485" w:type="pct"/>
                  <w:vAlign w:val="center"/>
                </w:tcPr>
                <w:p w14:paraId="2D532443">
                  <w:pPr>
                    <w:pStyle w:val="66"/>
                    <w:rPr>
                      <w:color w:val="auto"/>
                    </w:rPr>
                  </w:pPr>
                  <w:r>
                    <w:rPr>
                      <w:color w:val="auto"/>
                    </w:rPr>
                    <w:t>HCO</w:t>
                  </w:r>
                  <w:r>
                    <w:rPr>
                      <w:color w:val="auto"/>
                      <w:vertAlign w:val="subscript"/>
                    </w:rPr>
                    <w:t>3</w:t>
                  </w:r>
                  <w:r>
                    <w:rPr>
                      <w:color w:val="auto"/>
                      <w:vertAlign w:val="superscript"/>
                    </w:rPr>
                    <w:t>-</w:t>
                  </w:r>
                </w:p>
              </w:tc>
            </w:tr>
            <w:tr w14:paraId="26D9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34" w:type="pct"/>
                  <w:noWrap/>
                  <w:vAlign w:val="center"/>
                </w:tcPr>
                <w:p w14:paraId="291B30C9">
                  <w:pPr>
                    <w:pStyle w:val="66"/>
                    <w:rPr>
                      <w:color w:val="auto"/>
                    </w:rPr>
                  </w:pPr>
                  <w:r>
                    <w:rPr>
                      <w:rFonts w:hint="eastAsia"/>
                      <w:color w:val="auto"/>
                    </w:rPr>
                    <w:t>项目</w:t>
                  </w:r>
                  <w:r>
                    <w:rPr>
                      <w:rFonts w:hint="eastAsia"/>
                      <w:color w:val="auto"/>
                      <w:lang w:val="en-US" w:eastAsia="zh-CN"/>
                    </w:rPr>
                    <w:t>东</w:t>
                  </w:r>
                  <w:r>
                    <w:rPr>
                      <w:rFonts w:hint="eastAsia"/>
                      <w:color w:val="auto"/>
                    </w:rPr>
                    <w:t>侧</w:t>
                  </w:r>
                </w:p>
              </w:tc>
              <w:tc>
                <w:tcPr>
                  <w:tcW w:w="445" w:type="pct"/>
                  <w:noWrap/>
                  <w:vAlign w:val="center"/>
                </w:tcPr>
                <w:p w14:paraId="132B5814">
                  <w:pPr>
                    <w:pStyle w:val="66"/>
                    <w:rPr>
                      <w:color w:val="auto"/>
                    </w:rPr>
                  </w:pPr>
                  <w:r>
                    <w:rPr>
                      <w:color w:val="auto"/>
                    </w:rPr>
                    <w:t>浓度值</w:t>
                  </w:r>
                </w:p>
              </w:tc>
              <w:tc>
                <w:tcPr>
                  <w:tcW w:w="445" w:type="pct"/>
                  <w:noWrap/>
                  <w:vAlign w:val="center"/>
                </w:tcPr>
                <w:p w14:paraId="00DEAE91">
                  <w:pPr>
                    <w:jc w:val="center"/>
                    <w:rPr>
                      <w:rFonts w:hint="default" w:eastAsia="宋体"/>
                      <w:kern w:val="0"/>
                      <w:sz w:val="22"/>
                      <w:szCs w:val="28"/>
                      <w:lang w:val="en-US" w:eastAsia="zh-CN"/>
                    </w:rPr>
                  </w:pPr>
                  <w:r>
                    <w:rPr>
                      <w:rFonts w:hint="eastAsia"/>
                      <w:szCs w:val="21"/>
                      <w:lang w:val="en-US" w:eastAsia="zh-CN"/>
                    </w:rPr>
                    <w:t>2.86</w:t>
                  </w:r>
                </w:p>
              </w:tc>
              <w:tc>
                <w:tcPr>
                  <w:tcW w:w="445" w:type="pct"/>
                  <w:noWrap/>
                  <w:vAlign w:val="center"/>
                </w:tcPr>
                <w:p w14:paraId="79DBA619">
                  <w:pPr>
                    <w:jc w:val="center"/>
                    <w:rPr>
                      <w:rFonts w:hint="default" w:eastAsia="宋体"/>
                      <w:kern w:val="0"/>
                      <w:sz w:val="22"/>
                      <w:szCs w:val="28"/>
                      <w:lang w:val="en-US" w:eastAsia="zh-CN"/>
                    </w:rPr>
                  </w:pPr>
                  <w:r>
                    <w:rPr>
                      <w:rFonts w:hint="eastAsia"/>
                      <w:kern w:val="0"/>
                      <w:sz w:val="22"/>
                      <w:szCs w:val="28"/>
                      <w:lang w:val="en-US" w:eastAsia="zh-CN"/>
                    </w:rPr>
                    <w:t>20.6</w:t>
                  </w:r>
                </w:p>
              </w:tc>
              <w:tc>
                <w:tcPr>
                  <w:tcW w:w="445" w:type="pct"/>
                  <w:vAlign w:val="center"/>
                </w:tcPr>
                <w:p w14:paraId="7A7FFA7A">
                  <w:pPr>
                    <w:jc w:val="center"/>
                    <w:rPr>
                      <w:rFonts w:hint="default" w:eastAsia="宋体"/>
                      <w:kern w:val="0"/>
                      <w:sz w:val="22"/>
                      <w:szCs w:val="28"/>
                      <w:lang w:val="en-US" w:eastAsia="zh-CN"/>
                    </w:rPr>
                  </w:pPr>
                  <w:r>
                    <w:rPr>
                      <w:rFonts w:hint="eastAsia"/>
                      <w:kern w:val="0"/>
                      <w:sz w:val="22"/>
                      <w:szCs w:val="28"/>
                      <w:lang w:val="en-US" w:eastAsia="zh-CN"/>
                    </w:rPr>
                    <w:t>66.8</w:t>
                  </w:r>
                </w:p>
              </w:tc>
              <w:tc>
                <w:tcPr>
                  <w:tcW w:w="445" w:type="pct"/>
                  <w:vAlign w:val="center"/>
                </w:tcPr>
                <w:p w14:paraId="1AB90732">
                  <w:pPr>
                    <w:jc w:val="center"/>
                    <w:rPr>
                      <w:rFonts w:hint="default" w:eastAsia="宋体"/>
                      <w:kern w:val="0"/>
                      <w:sz w:val="22"/>
                      <w:szCs w:val="28"/>
                      <w:lang w:val="en-US" w:eastAsia="zh-CN"/>
                    </w:rPr>
                  </w:pPr>
                  <w:r>
                    <w:rPr>
                      <w:rFonts w:hint="eastAsia"/>
                      <w:kern w:val="0"/>
                      <w:sz w:val="22"/>
                      <w:szCs w:val="28"/>
                      <w:lang w:val="en-US" w:eastAsia="zh-CN"/>
                    </w:rPr>
                    <w:t>15.8</w:t>
                  </w:r>
                </w:p>
              </w:tc>
              <w:tc>
                <w:tcPr>
                  <w:tcW w:w="445" w:type="pct"/>
                  <w:vAlign w:val="center"/>
                </w:tcPr>
                <w:p w14:paraId="4755B9CB">
                  <w:pPr>
                    <w:jc w:val="center"/>
                    <w:rPr>
                      <w:rFonts w:hint="default" w:eastAsia="宋体"/>
                      <w:kern w:val="0"/>
                      <w:sz w:val="22"/>
                      <w:szCs w:val="28"/>
                      <w:lang w:val="en-US" w:eastAsia="zh-CN"/>
                    </w:rPr>
                  </w:pPr>
                  <w:r>
                    <w:rPr>
                      <w:rFonts w:hint="eastAsia"/>
                      <w:kern w:val="0"/>
                      <w:sz w:val="22"/>
                      <w:szCs w:val="28"/>
                    </w:rPr>
                    <w:t>2</w:t>
                  </w:r>
                  <w:r>
                    <w:rPr>
                      <w:rFonts w:hint="eastAsia"/>
                      <w:kern w:val="0"/>
                      <w:sz w:val="22"/>
                      <w:szCs w:val="28"/>
                      <w:lang w:val="en-US" w:eastAsia="zh-CN"/>
                    </w:rPr>
                    <w:t>5.3</w:t>
                  </w:r>
                </w:p>
              </w:tc>
              <w:tc>
                <w:tcPr>
                  <w:tcW w:w="445" w:type="pct"/>
                  <w:vAlign w:val="center"/>
                </w:tcPr>
                <w:p w14:paraId="3EC5762A">
                  <w:pPr>
                    <w:jc w:val="center"/>
                    <w:rPr>
                      <w:rFonts w:hint="default" w:eastAsia="宋体"/>
                      <w:kern w:val="0"/>
                      <w:sz w:val="22"/>
                      <w:szCs w:val="28"/>
                      <w:lang w:val="en-US" w:eastAsia="zh-CN"/>
                    </w:rPr>
                  </w:pPr>
                  <w:r>
                    <w:rPr>
                      <w:rFonts w:hint="eastAsia"/>
                      <w:kern w:val="0"/>
                      <w:sz w:val="22"/>
                      <w:szCs w:val="28"/>
                      <w:lang w:val="en-US" w:eastAsia="zh-CN"/>
                    </w:rPr>
                    <w:t>36.3</w:t>
                  </w:r>
                </w:p>
              </w:tc>
              <w:tc>
                <w:tcPr>
                  <w:tcW w:w="464" w:type="pct"/>
                  <w:vAlign w:val="center"/>
                </w:tcPr>
                <w:p w14:paraId="385305CC">
                  <w:pPr>
                    <w:jc w:val="center"/>
                    <w:rPr>
                      <w:kern w:val="0"/>
                      <w:sz w:val="22"/>
                      <w:szCs w:val="28"/>
                    </w:rPr>
                  </w:pPr>
                  <w:r>
                    <w:rPr>
                      <w:rFonts w:hint="eastAsia"/>
                      <w:kern w:val="0"/>
                      <w:sz w:val="22"/>
                      <w:szCs w:val="28"/>
                    </w:rPr>
                    <w:t>5L</w:t>
                  </w:r>
                </w:p>
              </w:tc>
              <w:tc>
                <w:tcPr>
                  <w:tcW w:w="485" w:type="pct"/>
                  <w:vAlign w:val="center"/>
                </w:tcPr>
                <w:p w14:paraId="64122319">
                  <w:pPr>
                    <w:jc w:val="center"/>
                    <w:rPr>
                      <w:rFonts w:hint="default" w:eastAsia="宋体"/>
                      <w:kern w:val="0"/>
                      <w:sz w:val="22"/>
                      <w:szCs w:val="28"/>
                      <w:lang w:val="en-US" w:eastAsia="zh-CN"/>
                    </w:rPr>
                  </w:pPr>
                  <w:r>
                    <w:rPr>
                      <w:rFonts w:hint="eastAsia"/>
                      <w:kern w:val="0"/>
                      <w:sz w:val="22"/>
                      <w:szCs w:val="28"/>
                      <w:lang w:val="en-US" w:eastAsia="zh-CN"/>
                    </w:rPr>
                    <w:t>254</w:t>
                  </w:r>
                </w:p>
              </w:tc>
            </w:tr>
          </w:tbl>
          <w:p w14:paraId="1FA80B19">
            <w:pPr>
              <w:pStyle w:val="64"/>
              <w:keepNext w:val="0"/>
              <w:keepLines w:val="0"/>
              <w:pageBreakBefore w:val="0"/>
              <w:widowControl w:val="0"/>
              <w:kinsoku/>
              <w:wordWrap/>
              <w:overflowPunct/>
              <w:topLinePunct w:val="0"/>
              <w:autoSpaceDE/>
              <w:autoSpaceDN/>
              <w:bidi w:val="0"/>
              <w:adjustRightInd/>
              <w:snapToGrid w:val="0"/>
              <w:spacing w:line="240" w:lineRule="auto"/>
              <w:ind w:firstLine="440"/>
              <w:textAlignment w:val="auto"/>
            </w:pPr>
            <w:r>
              <w:rPr>
                <w:sz w:val="22"/>
                <w:szCs w:val="22"/>
              </w:rPr>
              <w:t>注</w:t>
            </w:r>
            <w:r>
              <w:rPr>
                <w:rFonts w:hint="eastAsia"/>
                <w:sz w:val="22"/>
                <w:szCs w:val="22"/>
              </w:rPr>
              <w:t>：①</w:t>
            </w:r>
            <w:r>
              <w:rPr>
                <w:sz w:val="22"/>
                <w:szCs w:val="22"/>
              </w:rPr>
              <w:t xml:space="preserve"> “L”</w:t>
            </w:r>
            <w:r>
              <w:rPr>
                <w:rFonts w:hint="eastAsia"/>
                <w:sz w:val="22"/>
                <w:szCs w:val="22"/>
              </w:rPr>
              <w:t>表示检测值小于方法检出限；</w:t>
            </w:r>
          </w:p>
          <w:p w14:paraId="7A8E1A62">
            <w:pPr>
              <w:pStyle w:val="64"/>
              <w:keepNext w:val="0"/>
              <w:keepLines w:val="0"/>
              <w:pageBreakBefore w:val="0"/>
              <w:widowControl w:val="0"/>
              <w:kinsoku/>
              <w:wordWrap/>
              <w:overflowPunct/>
              <w:topLinePunct w:val="0"/>
              <w:autoSpaceDE/>
              <w:autoSpaceDN/>
              <w:bidi w:val="0"/>
              <w:adjustRightInd/>
              <w:snapToGrid w:val="0"/>
              <w:spacing w:line="460" w:lineRule="exact"/>
              <w:textAlignment w:val="auto"/>
            </w:pPr>
            <w:r>
              <w:rPr>
                <w:rFonts w:hint="eastAsia"/>
              </w:rPr>
              <w:t>由上表3</w:t>
            </w:r>
            <w:r>
              <w:t>.1</w:t>
            </w:r>
            <w:r>
              <w:rPr>
                <w:rFonts w:hint="eastAsia"/>
              </w:rPr>
              <w:t>-</w:t>
            </w:r>
            <w:r>
              <w:t>5</w:t>
            </w:r>
            <w:r>
              <w:rPr>
                <w:rFonts w:hint="eastAsia"/>
              </w:rPr>
              <w:t>可知，按照地下水化学类型命名规则，区域地下水水质类型为重碳酸盐-钙水-A。</w:t>
            </w:r>
          </w:p>
          <w:p w14:paraId="4B06A163">
            <w:pPr>
              <w:adjustRightInd w:val="0"/>
              <w:snapToGrid w:val="0"/>
              <w:spacing w:line="460" w:lineRule="exact"/>
              <w:ind w:firstLine="520" w:firstLineChars="200"/>
              <w:rPr>
                <w:sz w:val="26"/>
                <w:szCs w:val="26"/>
              </w:rPr>
            </w:pPr>
          </w:p>
          <w:p w14:paraId="6DC7F3C4">
            <w:pPr>
              <w:pStyle w:val="7"/>
              <w:rPr>
                <w:sz w:val="26"/>
                <w:szCs w:val="26"/>
              </w:rPr>
            </w:pPr>
          </w:p>
          <w:p w14:paraId="55F45D73">
            <w:pPr>
              <w:pStyle w:val="7"/>
              <w:rPr>
                <w:sz w:val="26"/>
                <w:szCs w:val="26"/>
              </w:rPr>
            </w:pPr>
          </w:p>
          <w:p w14:paraId="6E314CAA">
            <w:pPr>
              <w:pStyle w:val="7"/>
              <w:rPr>
                <w:sz w:val="26"/>
                <w:szCs w:val="26"/>
              </w:rPr>
            </w:pPr>
          </w:p>
          <w:p w14:paraId="27A37988">
            <w:pPr>
              <w:pStyle w:val="7"/>
              <w:rPr>
                <w:sz w:val="26"/>
                <w:szCs w:val="26"/>
              </w:rPr>
            </w:pPr>
          </w:p>
          <w:p w14:paraId="1F2B0786">
            <w:pPr>
              <w:pStyle w:val="7"/>
              <w:rPr>
                <w:sz w:val="26"/>
                <w:szCs w:val="26"/>
              </w:rPr>
            </w:pPr>
          </w:p>
          <w:p w14:paraId="467DA843">
            <w:pPr>
              <w:pStyle w:val="7"/>
              <w:rPr>
                <w:sz w:val="26"/>
                <w:szCs w:val="26"/>
              </w:rPr>
            </w:pPr>
          </w:p>
          <w:p w14:paraId="169DBF41">
            <w:pPr>
              <w:pStyle w:val="7"/>
              <w:rPr>
                <w:sz w:val="26"/>
                <w:szCs w:val="26"/>
              </w:rPr>
            </w:pPr>
          </w:p>
          <w:p w14:paraId="53CAA73D">
            <w:pPr>
              <w:pStyle w:val="7"/>
              <w:rPr>
                <w:sz w:val="26"/>
                <w:szCs w:val="26"/>
              </w:rPr>
            </w:pPr>
          </w:p>
          <w:p w14:paraId="23A9B631">
            <w:pPr>
              <w:pStyle w:val="7"/>
              <w:rPr>
                <w:sz w:val="26"/>
                <w:szCs w:val="26"/>
              </w:rPr>
            </w:pPr>
          </w:p>
          <w:p w14:paraId="6492ED6F">
            <w:pPr>
              <w:pStyle w:val="7"/>
              <w:rPr>
                <w:sz w:val="26"/>
                <w:szCs w:val="26"/>
              </w:rPr>
            </w:pPr>
          </w:p>
          <w:p w14:paraId="6339D431">
            <w:pPr>
              <w:pStyle w:val="7"/>
              <w:rPr>
                <w:sz w:val="26"/>
                <w:szCs w:val="26"/>
              </w:rPr>
            </w:pPr>
          </w:p>
          <w:p w14:paraId="44C8314E">
            <w:pPr>
              <w:pStyle w:val="7"/>
              <w:rPr>
                <w:sz w:val="26"/>
                <w:szCs w:val="26"/>
              </w:rPr>
            </w:pPr>
          </w:p>
          <w:p w14:paraId="049A45D6">
            <w:pPr>
              <w:pStyle w:val="7"/>
              <w:rPr>
                <w:sz w:val="26"/>
                <w:szCs w:val="26"/>
              </w:rPr>
            </w:pPr>
          </w:p>
          <w:p w14:paraId="1A475F30">
            <w:pPr>
              <w:pStyle w:val="7"/>
              <w:rPr>
                <w:sz w:val="26"/>
                <w:szCs w:val="26"/>
              </w:rPr>
            </w:pPr>
          </w:p>
          <w:p w14:paraId="79885CE7">
            <w:pPr>
              <w:pStyle w:val="7"/>
              <w:rPr>
                <w:sz w:val="26"/>
                <w:szCs w:val="26"/>
              </w:rPr>
            </w:pPr>
          </w:p>
          <w:p w14:paraId="52B2A499">
            <w:pPr>
              <w:pStyle w:val="7"/>
              <w:rPr>
                <w:sz w:val="26"/>
                <w:szCs w:val="26"/>
              </w:rPr>
            </w:pPr>
          </w:p>
          <w:p w14:paraId="01DDDF61">
            <w:pPr>
              <w:pStyle w:val="7"/>
              <w:rPr>
                <w:sz w:val="26"/>
                <w:szCs w:val="26"/>
              </w:rPr>
            </w:pPr>
          </w:p>
          <w:p w14:paraId="64F2D899">
            <w:pPr>
              <w:pStyle w:val="7"/>
              <w:rPr>
                <w:sz w:val="26"/>
                <w:szCs w:val="26"/>
              </w:rPr>
            </w:pPr>
          </w:p>
        </w:tc>
      </w:tr>
    </w:tbl>
    <w:p w14:paraId="7A560F8F">
      <w:pPr>
        <w:jc w:val="center"/>
        <w:outlineLvl w:val="0"/>
        <w:rPr>
          <w:rFonts w:eastAsia="黑体"/>
          <w:snapToGrid w:val="0"/>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71F263F">
      <w:pPr>
        <w:pStyle w:val="6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color w:val="FF0000"/>
        </w:rPr>
      </w:pPr>
      <w:r>
        <w:rPr>
          <w:rFonts w:hint="eastAsia"/>
          <w:color w:val="auto"/>
          <w:sz w:val="22"/>
          <w:szCs w:val="16"/>
        </w:rPr>
        <w:t>表</w:t>
      </w:r>
      <w:r>
        <w:rPr>
          <w:color w:val="auto"/>
          <w:sz w:val="22"/>
          <w:szCs w:val="16"/>
        </w:rPr>
        <w:t>3.1</w:t>
      </w:r>
      <w:r>
        <w:rPr>
          <w:rFonts w:hint="eastAsia"/>
          <w:color w:val="auto"/>
          <w:sz w:val="22"/>
          <w:szCs w:val="16"/>
        </w:rPr>
        <w:t>-</w:t>
      </w:r>
      <w:r>
        <w:rPr>
          <w:color w:val="auto"/>
          <w:sz w:val="22"/>
          <w:szCs w:val="16"/>
        </w:rPr>
        <w:t>6</w:t>
      </w:r>
      <w:r>
        <w:rPr>
          <w:rFonts w:hint="eastAsia"/>
          <w:color w:val="auto"/>
          <w:sz w:val="22"/>
          <w:szCs w:val="16"/>
          <w:lang w:val="en-US" w:eastAsia="zh-CN"/>
        </w:rPr>
        <w:t xml:space="preserve">  </w:t>
      </w:r>
      <w:r>
        <w:rPr>
          <w:rFonts w:hint="eastAsia"/>
          <w:color w:val="auto"/>
          <w:sz w:val="22"/>
          <w:szCs w:val="16"/>
        </w:rPr>
        <w:t>地下水环境现状监测数据统计结果表</w:t>
      </w:r>
    </w:p>
    <w:tbl>
      <w:tblPr>
        <w:tblStyle w:val="1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81"/>
        <w:gridCol w:w="1363"/>
        <w:gridCol w:w="1263"/>
        <w:gridCol w:w="1096"/>
        <w:gridCol w:w="1096"/>
        <w:gridCol w:w="1096"/>
        <w:gridCol w:w="1096"/>
        <w:gridCol w:w="1096"/>
        <w:gridCol w:w="1096"/>
        <w:gridCol w:w="1096"/>
        <w:gridCol w:w="1022"/>
        <w:gridCol w:w="1022"/>
      </w:tblGrid>
      <w:tr w14:paraId="75BA4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48" w:type="pct"/>
            <w:gridSpan w:val="2"/>
            <w:vMerge w:val="restart"/>
            <w:tcBorders>
              <w:tl2br w:val="single" w:color="auto" w:sz="6" w:space="0"/>
            </w:tcBorders>
            <w:vAlign w:val="center"/>
          </w:tcPr>
          <w:p w14:paraId="45D7B60E">
            <w:pPr>
              <w:adjustRightInd w:val="0"/>
              <w:jc w:val="center"/>
              <w:rPr>
                <w:sz w:val="22"/>
                <w:szCs w:val="22"/>
              </w:rPr>
            </w:pPr>
            <w:r>
              <w:rPr>
                <w:rFonts w:hint="eastAsia"/>
                <w:sz w:val="22"/>
                <w:szCs w:val="22"/>
              </w:rPr>
              <w:t xml:space="preserve">       </w:t>
            </w:r>
          </w:p>
          <w:p w14:paraId="529DBB69">
            <w:pPr>
              <w:adjustRightInd w:val="0"/>
              <w:jc w:val="center"/>
              <w:rPr>
                <w:sz w:val="22"/>
                <w:szCs w:val="22"/>
              </w:rPr>
            </w:pPr>
            <w:r>
              <w:rPr>
                <w:rFonts w:hint="eastAsia"/>
                <w:sz w:val="22"/>
                <w:szCs w:val="22"/>
              </w:rPr>
              <w:t xml:space="preserve"> </w:t>
            </w:r>
            <w:r>
              <w:rPr>
                <w:sz w:val="22"/>
                <w:szCs w:val="22"/>
              </w:rPr>
              <w:t xml:space="preserve">     项目</w:t>
            </w:r>
          </w:p>
          <w:p w14:paraId="29E5AEA2">
            <w:pPr>
              <w:adjustRightInd w:val="0"/>
              <w:snapToGrid w:val="0"/>
              <w:rPr>
                <w:sz w:val="22"/>
                <w:szCs w:val="22"/>
              </w:rPr>
            </w:pPr>
          </w:p>
          <w:p w14:paraId="67DE52B8">
            <w:pPr>
              <w:adjustRightInd w:val="0"/>
              <w:snapToGrid w:val="0"/>
              <w:rPr>
                <w:sz w:val="22"/>
                <w:szCs w:val="22"/>
              </w:rPr>
            </w:pPr>
            <w:r>
              <w:rPr>
                <w:sz w:val="22"/>
                <w:szCs w:val="22"/>
              </w:rPr>
              <w:t>采样点</w:t>
            </w:r>
          </w:p>
        </w:tc>
        <w:tc>
          <w:tcPr>
            <w:tcW w:w="477" w:type="pct"/>
            <w:vAlign w:val="center"/>
          </w:tcPr>
          <w:p w14:paraId="28ED75BC">
            <w:pPr>
              <w:jc w:val="center"/>
              <w:rPr>
                <w:sz w:val="22"/>
                <w:szCs w:val="22"/>
              </w:rPr>
            </w:pPr>
            <w:r>
              <w:rPr>
                <w:sz w:val="22"/>
                <w:szCs w:val="22"/>
              </w:rPr>
              <w:t>pH</w:t>
            </w:r>
          </w:p>
        </w:tc>
        <w:tc>
          <w:tcPr>
            <w:tcW w:w="414" w:type="pct"/>
            <w:vAlign w:val="center"/>
          </w:tcPr>
          <w:p w14:paraId="2835570C">
            <w:pPr>
              <w:jc w:val="center"/>
              <w:rPr>
                <w:sz w:val="22"/>
                <w:szCs w:val="22"/>
              </w:rPr>
            </w:pPr>
            <w:r>
              <w:rPr>
                <w:sz w:val="22"/>
                <w:szCs w:val="22"/>
              </w:rPr>
              <w:t>氨氮</w:t>
            </w:r>
          </w:p>
        </w:tc>
        <w:tc>
          <w:tcPr>
            <w:tcW w:w="414" w:type="pct"/>
            <w:vAlign w:val="center"/>
          </w:tcPr>
          <w:p w14:paraId="16EDFE63">
            <w:pPr>
              <w:jc w:val="center"/>
              <w:rPr>
                <w:sz w:val="22"/>
                <w:szCs w:val="22"/>
              </w:rPr>
            </w:pPr>
            <w:r>
              <w:rPr>
                <w:rFonts w:hint="eastAsia"/>
                <w:sz w:val="22"/>
                <w:szCs w:val="22"/>
              </w:rPr>
              <w:t>硝酸盐</w:t>
            </w:r>
          </w:p>
        </w:tc>
        <w:tc>
          <w:tcPr>
            <w:tcW w:w="414" w:type="pct"/>
            <w:vAlign w:val="center"/>
          </w:tcPr>
          <w:p w14:paraId="0463F882">
            <w:pPr>
              <w:jc w:val="center"/>
              <w:rPr>
                <w:sz w:val="22"/>
                <w:szCs w:val="22"/>
              </w:rPr>
            </w:pPr>
            <w:r>
              <w:rPr>
                <w:rFonts w:hint="eastAsia"/>
                <w:sz w:val="22"/>
                <w:szCs w:val="22"/>
              </w:rPr>
              <w:t>亚硝酸盐</w:t>
            </w:r>
          </w:p>
        </w:tc>
        <w:tc>
          <w:tcPr>
            <w:tcW w:w="414" w:type="pct"/>
            <w:vAlign w:val="center"/>
          </w:tcPr>
          <w:p w14:paraId="7146E67A">
            <w:pPr>
              <w:jc w:val="center"/>
              <w:rPr>
                <w:sz w:val="22"/>
                <w:szCs w:val="22"/>
              </w:rPr>
            </w:pPr>
            <w:r>
              <w:rPr>
                <w:rFonts w:hint="eastAsia"/>
                <w:sz w:val="22"/>
                <w:szCs w:val="22"/>
              </w:rPr>
              <w:t>挥发性酚类</w:t>
            </w:r>
          </w:p>
        </w:tc>
        <w:tc>
          <w:tcPr>
            <w:tcW w:w="414" w:type="pct"/>
            <w:vAlign w:val="center"/>
          </w:tcPr>
          <w:p w14:paraId="55A26793">
            <w:pPr>
              <w:jc w:val="center"/>
              <w:rPr>
                <w:sz w:val="22"/>
                <w:szCs w:val="22"/>
              </w:rPr>
            </w:pPr>
            <w:r>
              <w:rPr>
                <w:rFonts w:hint="eastAsia"/>
                <w:sz w:val="22"/>
                <w:szCs w:val="22"/>
              </w:rPr>
              <w:t>氰化物</w:t>
            </w:r>
          </w:p>
        </w:tc>
        <w:tc>
          <w:tcPr>
            <w:tcW w:w="414" w:type="pct"/>
            <w:vAlign w:val="center"/>
          </w:tcPr>
          <w:p w14:paraId="07BAFC0B">
            <w:pPr>
              <w:jc w:val="center"/>
              <w:rPr>
                <w:sz w:val="22"/>
                <w:szCs w:val="22"/>
              </w:rPr>
            </w:pPr>
            <w:r>
              <w:rPr>
                <w:rFonts w:hint="eastAsia"/>
                <w:sz w:val="22"/>
                <w:szCs w:val="22"/>
              </w:rPr>
              <w:t>氟化物</w:t>
            </w:r>
          </w:p>
        </w:tc>
        <w:tc>
          <w:tcPr>
            <w:tcW w:w="414" w:type="pct"/>
            <w:vAlign w:val="center"/>
          </w:tcPr>
          <w:p w14:paraId="78C8A681">
            <w:pPr>
              <w:jc w:val="center"/>
              <w:rPr>
                <w:sz w:val="22"/>
                <w:szCs w:val="22"/>
              </w:rPr>
            </w:pPr>
            <w:r>
              <w:rPr>
                <w:rFonts w:hint="eastAsia"/>
                <w:sz w:val="22"/>
                <w:szCs w:val="22"/>
              </w:rPr>
              <w:t>耗氧量</w:t>
            </w:r>
          </w:p>
        </w:tc>
        <w:tc>
          <w:tcPr>
            <w:tcW w:w="386" w:type="pct"/>
            <w:vAlign w:val="center"/>
          </w:tcPr>
          <w:p w14:paraId="2EF397F3">
            <w:pPr>
              <w:jc w:val="center"/>
              <w:rPr>
                <w:sz w:val="22"/>
                <w:szCs w:val="22"/>
              </w:rPr>
            </w:pPr>
            <w:r>
              <w:rPr>
                <w:rFonts w:hint="eastAsia"/>
                <w:sz w:val="22"/>
                <w:szCs w:val="22"/>
              </w:rPr>
              <w:t>铅</w:t>
            </w:r>
          </w:p>
        </w:tc>
        <w:tc>
          <w:tcPr>
            <w:tcW w:w="386" w:type="pct"/>
            <w:vAlign w:val="center"/>
          </w:tcPr>
          <w:p w14:paraId="06C56EB6">
            <w:pPr>
              <w:jc w:val="center"/>
              <w:rPr>
                <w:sz w:val="22"/>
                <w:szCs w:val="22"/>
              </w:rPr>
            </w:pPr>
            <w:r>
              <w:rPr>
                <w:rFonts w:hint="eastAsia"/>
                <w:sz w:val="22"/>
                <w:szCs w:val="22"/>
              </w:rPr>
              <w:t>砷</w:t>
            </w:r>
          </w:p>
        </w:tc>
      </w:tr>
      <w:tr w14:paraId="7B540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848" w:type="pct"/>
            <w:gridSpan w:val="2"/>
            <w:vMerge w:val="continue"/>
            <w:tcBorders>
              <w:tl2br w:val="single" w:color="auto" w:sz="6" w:space="0"/>
            </w:tcBorders>
            <w:vAlign w:val="center"/>
          </w:tcPr>
          <w:p w14:paraId="1E1901C6">
            <w:pPr>
              <w:jc w:val="center"/>
              <w:rPr>
                <w:sz w:val="22"/>
                <w:szCs w:val="22"/>
              </w:rPr>
            </w:pPr>
          </w:p>
        </w:tc>
        <w:tc>
          <w:tcPr>
            <w:tcW w:w="477" w:type="pct"/>
            <w:vAlign w:val="center"/>
          </w:tcPr>
          <w:p w14:paraId="65AF5014">
            <w:pPr>
              <w:jc w:val="center"/>
              <w:rPr>
                <w:sz w:val="22"/>
                <w:szCs w:val="22"/>
              </w:rPr>
            </w:pPr>
            <w:r>
              <w:rPr>
                <w:sz w:val="22"/>
                <w:szCs w:val="22"/>
              </w:rPr>
              <w:t>/</w:t>
            </w:r>
          </w:p>
        </w:tc>
        <w:tc>
          <w:tcPr>
            <w:tcW w:w="414" w:type="pct"/>
            <w:vAlign w:val="center"/>
          </w:tcPr>
          <w:p w14:paraId="5F2F8ECE">
            <w:pPr>
              <w:jc w:val="center"/>
              <w:rPr>
                <w:sz w:val="22"/>
                <w:szCs w:val="22"/>
              </w:rPr>
            </w:pPr>
            <w:r>
              <w:rPr>
                <w:sz w:val="22"/>
                <w:szCs w:val="22"/>
              </w:rPr>
              <w:t>mg/L</w:t>
            </w:r>
          </w:p>
        </w:tc>
        <w:tc>
          <w:tcPr>
            <w:tcW w:w="414" w:type="pct"/>
            <w:vAlign w:val="center"/>
          </w:tcPr>
          <w:p w14:paraId="6F83041B">
            <w:pPr>
              <w:jc w:val="center"/>
              <w:rPr>
                <w:sz w:val="22"/>
                <w:szCs w:val="22"/>
              </w:rPr>
            </w:pPr>
            <w:r>
              <w:rPr>
                <w:sz w:val="22"/>
                <w:szCs w:val="22"/>
              </w:rPr>
              <w:t>mg/L</w:t>
            </w:r>
          </w:p>
        </w:tc>
        <w:tc>
          <w:tcPr>
            <w:tcW w:w="414" w:type="pct"/>
            <w:vAlign w:val="center"/>
          </w:tcPr>
          <w:p w14:paraId="2A8E91FD">
            <w:pPr>
              <w:jc w:val="center"/>
              <w:rPr>
                <w:sz w:val="22"/>
                <w:szCs w:val="22"/>
              </w:rPr>
            </w:pPr>
            <w:r>
              <w:rPr>
                <w:sz w:val="22"/>
                <w:szCs w:val="22"/>
              </w:rPr>
              <w:t>mg/L</w:t>
            </w:r>
          </w:p>
        </w:tc>
        <w:tc>
          <w:tcPr>
            <w:tcW w:w="414" w:type="pct"/>
            <w:vAlign w:val="center"/>
          </w:tcPr>
          <w:p w14:paraId="2B9921FB">
            <w:pPr>
              <w:jc w:val="center"/>
              <w:rPr>
                <w:sz w:val="22"/>
                <w:szCs w:val="22"/>
              </w:rPr>
            </w:pPr>
            <w:r>
              <w:rPr>
                <w:sz w:val="22"/>
                <w:szCs w:val="22"/>
              </w:rPr>
              <w:t>mg/L</w:t>
            </w:r>
          </w:p>
        </w:tc>
        <w:tc>
          <w:tcPr>
            <w:tcW w:w="414" w:type="pct"/>
            <w:vAlign w:val="center"/>
          </w:tcPr>
          <w:p w14:paraId="2471CFF6">
            <w:pPr>
              <w:jc w:val="center"/>
              <w:rPr>
                <w:sz w:val="22"/>
                <w:szCs w:val="22"/>
              </w:rPr>
            </w:pPr>
            <w:r>
              <w:rPr>
                <w:sz w:val="22"/>
                <w:szCs w:val="22"/>
              </w:rPr>
              <w:t>mg/L</w:t>
            </w:r>
          </w:p>
        </w:tc>
        <w:tc>
          <w:tcPr>
            <w:tcW w:w="414" w:type="pct"/>
            <w:vAlign w:val="center"/>
          </w:tcPr>
          <w:p w14:paraId="4CAD5422">
            <w:pPr>
              <w:jc w:val="center"/>
              <w:rPr>
                <w:sz w:val="22"/>
                <w:szCs w:val="22"/>
              </w:rPr>
            </w:pPr>
            <w:r>
              <w:rPr>
                <w:sz w:val="22"/>
                <w:szCs w:val="22"/>
              </w:rPr>
              <w:t>mg/L</w:t>
            </w:r>
          </w:p>
        </w:tc>
        <w:tc>
          <w:tcPr>
            <w:tcW w:w="414" w:type="pct"/>
            <w:vAlign w:val="center"/>
          </w:tcPr>
          <w:p w14:paraId="3FA8DC7B">
            <w:pPr>
              <w:jc w:val="center"/>
              <w:rPr>
                <w:sz w:val="22"/>
                <w:szCs w:val="22"/>
              </w:rPr>
            </w:pPr>
            <w:r>
              <w:rPr>
                <w:sz w:val="22"/>
                <w:szCs w:val="22"/>
              </w:rPr>
              <w:t>mg/L</w:t>
            </w:r>
          </w:p>
        </w:tc>
        <w:tc>
          <w:tcPr>
            <w:tcW w:w="386" w:type="pct"/>
            <w:vAlign w:val="center"/>
          </w:tcPr>
          <w:p w14:paraId="14345B94">
            <w:pPr>
              <w:jc w:val="center"/>
              <w:rPr>
                <w:sz w:val="22"/>
                <w:szCs w:val="22"/>
              </w:rPr>
            </w:pPr>
            <w:r>
              <w:rPr>
                <w:sz w:val="22"/>
                <w:szCs w:val="22"/>
              </w:rPr>
              <w:t>mg/L</w:t>
            </w:r>
          </w:p>
        </w:tc>
        <w:tc>
          <w:tcPr>
            <w:tcW w:w="386" w:type="pct"/>
            <w:vAlign w:val="center"/>
          </w:tcPr>
          <w:p w14:paraId="00DF6B25">
            <w:pPr>
              <w:jc w:val="center"/>
              <w:rPr>
                <w:sz w:val="22"/>
                <w:szCs w:val="22"/>
              </w:rPr>
            </w:pPr>
            <w:r>
              <w:rPr>
                <w:sz w:val="22"/>
                <w:szCs w:val="22"/>
              </w:rPr>
              <w:t>mg/L</w:t>
            </w:r>
          </w:p>
        </w:tc>
      </w:tr>
      <w:tr w14:paraId="6AE08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48" w:type="pct"/>
            <w:gridSpan w:val="2"/>
            <w:vAlign w:val="center"/>
          </w:tcPr>
          <w:p w14:paraId="72CCEEAE">
            <w:pPr>
              <w:jc w:val="center"/>
              <w:rPr>
                <w:sz w:val="22"/>
                <w:szCs w:val="22"/>
              </w:rPr>
            </w:pPr>
            <w:r>
              <w:rPr>
                <w:sz w:val="22"/>
                <w:szCs w:val="22"/>
              </w:rPr>
              <w:t>标准值（Ⅲ类）</w:t>
            </w:r>
          </w:p>
        </w:tc>
        <w:tc>
          <w:tcPr>
            <w:tcW w:w="477" w:type="pct"/>
            <w:vAlign w:val="center"/>
          </w:tcPr>
          <w:p w14:paraId="66F7749A">
            <w:pPr>
              <w:jc w:val="center"/>
              <w:rPr>
                <w:sz w:val="22"/>
                <w:szCs w:val="22"/>
              </w:rPr>
            </w:pPr>
            <w:r>
              <w:rPr>
                <w:sz w:val="22"/>
                <w:szCs w:val="22"/>
              </w:rPr>
              <w:t>6.5~8.5</w:t>
            </w:r>
          </w:p>
        </w:tc>
        <w:tc>
          <w:tcPr>
            <w:tcW w:w="414" w:type="pct"/>
            <w:vAlign w:val="center"/>
          </w:tcPr>
          <w:p w14:paraId="5FEE2CB8">
            <w:pPr>
              <w:jc w:val="center"/>
              <w:rPr>
                <w:sz w:val="22"/>
                <w:szCs w:val="22"/>
              </w:rPr>
            </w:pPr>
            <w:r>
              <w:rPr>
                <w:sz w:val="22"/>
                <w:szCs w:val="22"/>
              </w:rPr>
              <w:t>0.50</w:t>
            </w:r>
          </w:p>
        </w:tc>
        <w:tc>
          <w:tcPr>
            <w:tcW w:w="414" w:type="pct"/>
            <w:vAlign w:val="center"/>
          </w:tcPr>
          <w:p w14:paraId="08AF6FCF">
            <w:pPr>
              <w:jc w:val="center"/>
              <w:rPr>
                <w:sz w:val="22"/>
                <w:szCs w:val="22"/>
              </w:rPr>
            </w:pPr>
            <w:r>
              <w:rPr>
                <w:sz w:val="22"/>
                <w:szCs w:val="22"/>
              </w:rPr>
              <w:t>20.0</w:t>
            </w:r>
          </w:p>
        </w:tc>
        <w:tc>
          <w:tcPr>
            <w:tcW w:w="414" w:type="pct"/>
            <w:vAlign w:val="center"/>
          </w:tcPr>
          <w:p w14:paraId="7123E143">
            <w:pPr>
              <w:jc w:val="center"/>
              <w:rPr>
                <w:sz w:val="22"/>
                <w:szCs w:val="22"/>
              </w:rPr>
            </w:pPr>
            <w:r>
              <w:rPr>
                <w:sz w:val="22"/>
                <w:szCs w:val="22"/>
              </w:rPr>
              <w:t>1.00</w:t>
            </w:r>
          </w:p>
        </w:tc>
        <w:tc>
          <w:tcPr>
            <w:tcW w:w="414" w:type="pct"/>
            <w:vAlign w:val="center"/>
          </w:tcPr>
          <w:p w14:paraId="619149B6">
            <w:pPr>
              <w:jc w:val="center"/>
              <w:rPr>
                <w:sz w:val="22"/>
                <w:szCs w:val="22"/>
              </w:rPr>
            </w:pPr>
            <w:r>
              <w:rPr>
                <w:sz w:val="22"/>
                <w:szCs w:val="22"/>
              </w:rPr>
              <w:t>0.002</w:t>
            </w:r>
          </w:p>
        </w:tc>
        <w:tc>
          <w:tcPr>
            <w:tcW w:w="414" w:type="pct"/>
            <w:vAlign w:val="center"/>
          </w:tcPr>
          <w:p w14:paraId="274758F1">
            <w:pPr>
              <w:jc w:val="center"/>
              <w:rPr>
                <w:sz w:val="22"/>
                <w:szCs w:val="22"/>
              </w:rPr>
            </w:pPr>
            <w:r>
              <w:rPr>
                <w:sz w:val="22"/>
                <w:szCs w:val="22"/>
              </w:rPr>
              <w:t>0.05</w:t>
            </w:r>
          </w:p>
        </w:tc>
        <w:tc>
          <w:tcPr>
            <w:tcW w:w="414" w:type="pct"/>
            <w:vAlign w:val="center"/>
          </w:tcPr>
          <w:p w14:paraId="721C150A">
            <w:pPr>
              <w:jc w:val="center"/>
              <w:rPr>
                <w:sz w:val="22"/>
                <w:szCs w:val="22"/>
              </w:rPr>
            </w:pPr>
            <w:r>
              <w:rPr>
                <w:sz w:val="22"/>
                <w:szCs w:val="22"/>
              </w:rPr>
              <w:t>1.0</w:t>
            </w:r>
          </w:p>
        </w:tc>
        <w:tc>
          <w:tcPr>
            <w:tcW w:w="414" w:type="pct"/>
            <w:vAlign w:val="center"/>
          </w:tcPr>
          <w:p w14:paraId="355E8962">
            <w:pPr>
              <w:jc w:val="center"/>
              <w:rPr>
                <w:sz w:val="22"/>
                <w:szCs w:val="22"/>
              </w:rPr>
            </w:pPr>
            <w:r>
              <w:rPr>
                <w:sz w:val="22"/>
                <w:szCs w:val="22"/>
              </w:rPr>
              <w:t>3.0</w:t>
            </w:r>
          </w:p>
        </w:tc>
        <w:tc>
          <w:tcPr>
            <w:tcW w:w="386" w:type="pct"/>
            <w:vAlign w:val="center"/>
          </w:tcPr>
          <w:p w14:paraId="7D2970F2">
            <w:pPr>
              <w:jc w:val="center"/>
              <w:rPr>
                <w:sz w:val="22"/>
                <w:szCs w:val="22"/>
              </w:rPr>
            </w:pPr>
            <w:r>
              <w:rPr>
                <w:rFonts w:hint="eastAsia"/>
                <w:sz w:val="22"/>
                <w:szCs w:val="22"/>
              </w:rPr>
              <w:t>0</w:t>
            </w:r>
            <w:r>
              <w:rPr>
                <w:sz w:val="22"/>
                <w:szCs w:val="22"/>
              </w:rPr>
              <w:t>.01</w:t>
            </w:r>
          </w:p>
        </w:tc>
        <w:tc>
          <w:tcPr>
            <w:tcW w:w="386" w:type="pct"/>
            <w:vAlign w:val="center"/>
          </w:tcPr>
          <w:p w14:paraId="51413067">
            <w:pPr>
              <w:jc w:val="center"/>
              <w:rPr>
                <w:sz w:val="22"/>
                <w:szCs w:val="22"/>
              </w:rPr>
            </w:pPr>
            <w:r>
              <w:rPr>
                <w:sz w:val="22"/>
                <w:szCs w:val="22"/>
              </w:rPr>
              <w:t>0.01</w:t>
            </w:r>
          </w:p>
        </w:tc>
      </w:tr>
      <w:tr w14:paraId="59441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33" w:type="pct"/>
            <w:vMerge w:val="restart"/>
            <w:vAlign w:val="center"/>
          </w:tcPr>
          <w:p w14:paraId="48F11931">
            <w:pPr>
              <w:jc w:val="center"/>
              <w:rPr>
                <w:sz w:val="22"/>
                <w:szCs w:val="22"/>
              </w:rPr>
            </w:pPr>
            <w:r>
              <w:rPr>
                <w:rFonts w:hint="eastAsia"/>
                <w:sz w:val="22"/>
                <w:szCs w:val="22"/>
              </w:rPr>
              <w:t>项目</w:t>
            </w:r>
            <w:r>
              <w:rPr>
                <w:rFonts w:hint="eastAsia"/>
                <w:sz w:val="22"/>
                <w:szCs w:val="22"/>
                <w:lang w:val="en-US" w:eastAsia="zh-CN"/>
              </w:rPr>
              <w:t>东</w:t>
            </w:r>
            <w:r>
              <w:rPr>
                <w:rFonts w:hint="eastAsia"/>
                <w:sz w:val="22"/>
                <w:szCs w:val="22"/>
              </w:rPr>
              <w:t>侧</w:t>
            </w:r>
          </w:p>
        </w:tc>
        <w:tc>
          <w:tcPr>
            <w:tcW w:w="515" w:type="pct"/>
            <w:vAlign w:val="center"/>
          </w:tcPr>
          <w:p w14:paraId="3B10ACC1">
            <w:pPr>
              <w:jc w:val="center"/>
              <w:rPr>
                <w:sz w:val="22"/>
                <w:szCs w:val="22"/>
              </w:rPr>
            </w:pPr>
            <w:r>
              <w:rPr>
                <w:sz w:val="22"/>
                <w:szCs w:val="22"/>
              </w:rPr>
              <w:t>浓度值</w:t>
            </w:r>
          </w:p>
        </w:tc>
        <w:tc>
          <w:tcPr>
            <w:tcW w:w="477" w:type="pct"/>
            <w:vAlign w:val="center"/>
          </w:tcPr>
          <w:p w14:paraId="24F79C36">
            <w:pPr>
              <w:jc w:val="center"/>
              <w:rPr>
                <w:rFonts w:hint="default" w:eastAsia="宋体"/>
                <w:sz w:val="22"/>
                <w:szCs w:val="22"/>
                <w:lang w:val="en-US" w:eastAsia="zh-CN"/>
              </w:rPr>
            </w:pPr>
            <w:r>
              <w:rPr>
                <w:rFonts w:hint="eastAsia"/>
                <w:sz w:val="22"/>
                <w:szCs w:val="22"/>
                <w:lang w:val="en-US" w:eastAsia="zh-CN"/>
              </w:rPr>
              <w:t>7.7</w:t>
            </w:r>
          </w:p>
        </w:tc>
        <w:tc>
          <w:tcPr>
            <w:tcW w:w="414" w:type="pct"/>
            <w:vAlign w:val="center"/>
          </w:tcPr>
          <w:p w14:paraId="37420EFC">
            <w:pPr>
              <w:jc w:val="center"/>
              <w:rPr>
                <w:rFonts w:hint="default" w:eastAsia="宋体"/>
                <w:sz w:val="22"/>
                <w:szCs w:val="22"/>
                <w:lang w:val="en-US" w:eastAsia="zh-CN"/>
              </w:rPr>
            </w:pPr>
            <w:r>
              <w:rPr>
                <w:rFonts w:hint="eastAsia"/>
                <w:sz w:val="22"/>
                <w:szCs w:val="22"/>
                <w:lang w:val="en-US" w:eastAsia="zh-CN"/>
              </w:rPr>
              <w:t>0.282</w:t>
            </w:r>
          </w:p>
        </w:tc>
        <w:tc>
          <w:tcPr>
            <w:tcW w:w="414" w:type="pct"/>
            <w:vAlign w:val="center"/>
          </w:tcPr>
          <w:p w14:paraId="2DB36548">
            <w:pPr>
              <w:jc w:val="center"/>
              <w:rPr>
                <w:rFonts w:hint="default" w:eastAsia="宋体"/>
                <w:sz w:val="22"/>
                <w:szCs w:val="22"/>
                <w:lang w:val="en-US" w:eastAsia="zh-CN"/>
              </w:rPr>
            </w:pPr>
            <w:r>
              <w:rPr>
                <w:rFonts w:hint="eastAsia"/>
                <w:sz w:val="22"/>
                <w:szCs w:val="22"/>
                <w:lang w:val="en-US" w:eastAsia="zh-CN"/>
              </w:rPr>
              <w:t>1.57</w:t>
            </w:r>
          </w:p>
        </w:tc>
        <w:tc>
          <w:tcPr>
            <w:tcW w:w="414" w:type="pct"/>
            <w:vAlign w:val="center"/>
          </w:tcPr>
          <w:p w14:paraId="4D4A2B2E">
            <w:pPr>
              <w:jc w:val="center"/>
              <w:rPr>
                <w:rFonts w:hint="default" w:eastAsia="宋体"/>
                <w:sz w:val="22"/>
                <w:szCs w:val="22"/>
                <w:lang w:val="en-US" w:eastAsia="zh-CN"/>
              </w:rPr>
            </w:pPr>
            <w:r>
              <w:rPr>
                <w:rFonts w:hint="eastAsia"/>
                <w:sz w:val="22"/>
                <w:szCs w:val="22"/>
                <w:lang w:val="en-US" w:eastAsia="zh-CN"/>
              </w:rPr>
              <w:t>0.003L</w:t>
            </w:r>
          </w:p>
        </w:tc>
        <w:tc>
          <w:tcPr>
            <w:tcW w:w="414" w:type="pct"/>
            <w:vAlign w:val="center"/>
          </w:tcPr>
          <w:p w14:paraId="1BEA4A1C">
            <w:pPr>
              <w:jc w:val="center"/>
              <w:rPr>
                <w:rFonts w:hint="default" w:eastAsia="宋体"/>
                <w:sz w:val="22"/>
                <w:szCs w:val="22"/>
                <w:lang w:val="en-US" w:eastAsia="zh-CN"/>
              </w:rPr>
            </w:pPr>
            <w:r>
              <w:rPr>
                <w:rFonts w:hint="eastAsia"/>
                <w:sz w:val="22"/>
                <w:szCs w:val="22"/>
                <w:lang w:val="en-US" w:eastAsia="zh-CN"/>
              </w:rPr>
              <w:t>0.0003L</w:t>
            </w:r>
          </w:p>
        </w:tc>
        <w:tc>
          <w:tcPr>
            <w:tcW w:w="414" w:type="pct"/>
            <w:vAlign w:val="center"/>
          </w:tcPr>
          <w:p w14:paraId="65F6D1CD">
            <w:pPr>
              <w:jc w:val="center"/>
              <w:rPr>
                <w:rFonts w:hint="default" w:eastAsia="宋体"/>
                <w:sz w:val="22"/>
                <w:szCs w:val="22"/>
                <w:lang w:val="en-US" w:eastAsia="zh-CN"/>
              </w:rPr>
            </w:pPr>
            <w:r>
              <w:rPr>
                <w:rFonts w:hint="eastAsia"/>
                <w:sz w:val="22"/>
                <w:szCs w:val="22"/>
                <w:lang w:val="en-US" w:eastAsia="zh-CN"/>
              </w:rPr>
              <w:t>0.002L</w:t>
            </w:r>
          </w:p>
        </w:tc>
        <w:tc>
          <w:tcPr>
            <w:tcW w:w="414" w:type="pct"/>
            <w:vAlign w:val="center"/>
          </w:tcPr>
          <w:p w14:paraId="7D7648E1">
            <w:pPr>
              <w:jc w:val="center"/>
              <w:rPr>
                <w:rFonts w:hint="default" w:eastAsia="宋体"/>
                <w:sz w:val="22"/>
                <w:szCs w:val="22"/>
                <w:lang w:val="en-US" w:eastAsia="zh-CN"/>
              </w:rPr>
            </w:pPr>
            <w:r>
              <w:rPr>
                <w:rFonts w:hint="eastAsia"/>
                <w:sz w:val="22"/>
                <w:szCs w:val="22"/>
                <w:lang w:val="en-US" w:eastAsia="zh-CN"/>
              </w:rPr>
              <w:t>0.240</w:t>
            </w:r>
          </w:p>
        </w:tc>
        <w:tc>
          <w:tcPr>
            <w:tcW w:w="414" w:type="pct"/>
            <w:vAlign w:val="center"/>
          </w:tcPr>
          <w:p w14:paraId="4229C5B8">
            <w:pPr>
              <w:jc w:val="center"/>
              <w:rPr>
                <w:rFonts w:hint="default" w:eastAsia="宋体"/>
                <w:sz w:val="22"/>
                <w:szCs w:val="22"/>
                <w:lang w:val="en-US" w:eastAsia="zh-CN"/>
              </w:rPr>
            </w:pPr>
            <w:r>
              <w:rPr>
                <w:rFonts w:hint="eastAsia"/>
                <w:sz w:val="22"/>
                <w:szCs w:val="22"/>
                <w:lang w:val="en-US" w:eastAsia="zh-CN"/>
              </w:rPr>
              <w:t>2.32</w:t>
            </w:r>
          </w:p>
        </w:tc>
        <w:tc>
          <w:tcPr>
            <w:tcW w:w="386" w:type="pct"/>
            <w:vAlign w:val="center"/>
          </w:tcPr>
          <w:p w14:paraId="5F6F5075">
            <w:pPr>
              <w:jc w:val="center"/>
              <w:rPr>
                <w:rFonts w:hint="default" w:eastAsia="宋体"/>
                <w:sz w:val="22"/>
                <w:szCs w:val="22"/>
                <w:lang w:val="en-US" w:eastAsia="zh-CN"/>
              </w:rPr>
            </w:pPr>
            <w:r>
              <w:rPr>
                <w:rFonts w:hint="eastAsia"/>
                <w:sz w:val="22"/>
                <w:szCs w:val="22"/>
                <w:lang w:val="en-US" w:eastAsia="zh-CN"/>
              </w:rPr>
              <w:t>0.00074</w:t>
            </w:r>
          </w:p>
        </w:tc>
        <w:tc>
          <w:tcPr>
            <w:tcW w:w="386" w:type="pct"/>
            <w:vAlign w:val="center"/>
          </w:tcPr>
          <w:p w14:paraId="0CFCC091">
            <w:pPr>
              <w:jc w:val="center"/>
              <w:rPr>
                <w:sz w:val="22"/>
                <w:szCs w:val="22"/>
              </w:rPr>
            </w:pPr>
            <w:r>
              <w:rPr>
                <w:rFonts w:hint="eastAsia" w:ascii="Times New Roman" w:hAnsi="Times New Roman" w:cs="Times New Roman"/>
                <w:color w:val="auto"/>
                <w:kern w:val="2"/>
                <w:sz w:val="22"/>
                <w:szCs w:val="22"/>
                <w:highlight w:val="none"/>
                <w:lang w:val="en-US" w:eastAsia="zh-CN" w:bidi="ar-SA"/>
              </w:rPr>
              <w:t>3</w:t>
            </w:r>
            <w:r>
              <w:rPr>
                <w:rFonts w:hint="default" w:ascii="Times New Roman" w:hAnsi="Times New Roman" w:cs="Times New Roman"/>
                <w:color w:val="auto"/>
                <w:sz w:val="22"/>
                <w:szCs w:val="22"/>
                <w:highlight w:val="none"/>
                <w:lang w:val="en-US" w:eastAsia="zh-CN"/>
              </w:rPr>
              <w:t>×10</w:t>
            </w:r>
            <w:r>
              <w:rPr>
                <w:rFonts w:hint="default" w:ascii="Times New Roman" w:hAnsi="Times New Roman" w:cs="Times New Roman"/>
                <w:color w:val="auto"/>
                <w:sz w:val="22"/>
                <w:szCs w:val="22"/>
                <w:highlight w:val="none"/>
                <w:vertAlign w:val="superscript"/>
                <w:lang w:val="en-US" w:eastAsia="zh-CN"/>
              </w:rPr>
              <w:t>-4</w:t>
            </w:r>
            <w:r>
              <w:rPr>
                <w:rFonts w:hint="eastAsia" w:ascii="Times New Roman" w:hAnsi="Times New Roman" w:cs="Times New Roman"/>
                <w:color w:val="auto"/>
                <w:sz w:val="22"/>
                <w:szCs w:val="22"/>
                <w:highlight w:val="none"/>
                <w:vertAlign w:val="baseline"/>
                <w:lang w:val="en-US" w:eastAsia="zh-CN"/>
              </w:rPr>
              <w:t>L</w:t>
            </w:r>
          </w:p>
        </w:tc>
      </w:tr>
      <w:tr w14:paraId="054EE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33" w:type="pct"/>
            <w:vMerge w:val="continue"/>
            <w:vAlign w:val="center"/>
          </w:tcPr>
          <w:p w14:paraId="4994FB2D">
            <w:pPr>
              <w:jc w:val="center"/>
              <w:rPr>
                <w:sz w:val="22"/>
                <w:szCs w:val="22"/>
              </w:rPr>
            </w:pPr>
          </w:p>
        </w:tc>
        <w:tc>
          <w:tcPr>
            <w:tcW w:w="515" w:type="pct"/>
            <w:shd w:val="clear" w:color="auto" w:fill="auto"/>
            <w:vAlign w:val="center"/>
          </w:tcPr>
          <w:p w14:paraId="4DC8AAC7">
            <w:pPr>
              <w:jc w:val="center"/>
              <w:rPr>
                <w:rFonts w:ascii="Times New Roman" w:hAnsi="Times New Roman" w:eastAsia="宋体" w:cs="Times New Roman"/>
                <w:kern w:val="2"/>
                <w:sz w:val="22"/>
                <w:szCs w:val="22"/>
                <w:lang w:val="en-US" w:eastAsia="zh-CN" w:bidi="ar-SA"/>
              </w:rPr>
            </w:pPr>
            <w:r>
              <w:rPr>
                <w:sz w:val="22"/>
                <w:szCs w:val="22"/>
              </w:rPr>
              <w:t>Pi值</w:t>
            </w:r>
          </w:p>
        </w:tc>
        <w:tc>
          <w:tcPr>
            <w:tcW w:w="477" w:type="pct"/>
            <w:shd w:val="clear" w:color="auto" w:fill="auto"/>
            <w:vAlign w:val="center"/>
          </w:tcPr>
          <w:p w14:paraId="20A13A28">
            <w:pPr>
              <w:jc w:val="center"/>
              <w:rPr>
                <w:rFonts w:hint="default" w:ascii="Times New Roman" w:hAnsi="Times New Roman" w:eastAsia="宋体" w:cs="Times New Roman"/>
                <w:kern w:val="2"/>
                <w:sz w:val="22"/>
                <w:szCs w:val="22"/>
                <w:lang w:val="en-US" w:eastAsia="zh-CN" w:bidi="ar-SA"/>
              </w:rPr>
            </w:pPr>
            <w:r>
              <w:rPr>
                <w:sz w:val="22"/>
                <w:szCs w:val="22"/>
              </w:rPr>
              <w:t>0.</w:t>
            </w:r>
            <w:r>
              <w:rPr>
                <w:rFonts w:hint="eastAsia"/>
                <w:sz w:val="22"/>
                <w:szCs w:val="22"/>
                <w:lang w:val="en-US" w:eastAsia="zh-CN"/>
              </w:rPr>
              <w:t>35</w:t>
            </w:r>
          </w:p>
        </w:tc>
        <w:tc>
          <w:tcPr>
            <w:tcW w:w="414" w:type="pct"/>
            <w:shd w:val="clear" w:color="auto" w:fill="auto"/>
            <w:vAlign w:val="center"/>
          </w:tcPr>
          <w:p w14:paraId="56B7721C">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0.564</w:t>
            </w:r>
          </w:p>
        </w:tc>
        <w:tc>
          <w:tcPr>
            <w:tcW w:w="414" w:type="pct"/>
            <w:shd w:val="clear" w:color="auto" w:fill="auto"/>
            <w:vAlign w:val="center"/>
          </w:tcPr>
          <w:p w14:paraId="2D4635F6">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0.0785</w:t>
            </w:r>
          </w:p>
        </w:tc>
        <w:tc>
          <w:tcPr>
            <w:tcW w:w="414" w:type="pct"/>
            <w:shd w:val="clear" w:color="auto" w:fill="auto"/>
            <w:vAlign w:val="center"/>
          </w:tcPr>
          <w:p w14:paraId="76987C7E">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414" w:type="pct"/>
            <w:shd w:val="clear" w:color="auto" w:fill="auto"/>
            <w:vAlign w:val="center"/>
          </w:tcPr>
          <w:p w14:paraId="65427B66">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414" w:type="pct"/>
            <w:shd w:val="clear" w:color="auto" w:fill="auto"/>
            <w:vAlign w:val="center"/>
          </w:tcPr>
          <w:p w14:paraId="436FCF03">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414" w:type="pct"/>
            <w:shd w:val="clear" w:color="auto" w:fill="auto"/>
            <w:vAlign w:val="center"/>
          </w:tcPr>
          <w:p w14:paraId="4612AC0E">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0.24</w:t>
            </w:r>
          </w:p>
        </w:tc>
        <w:tc>
          <w:tcPr>
            <w:tcW w:w="414" w:type="pct"/>
            <w:shd w:val="clear" w:color="auto" w:fill="auto"/>
            <w:vAlign w:val="center"/>
          </w:tcPr>
          <w:p w14:paraId="7098491E">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0.773</w:t>
            </w:r>
          </w:p>
        </w:tc>
        <w:tc>
          <w:tcPr>
            <w:tcW w:w="386" w:type="pct"/>
            <w:shd w:val="clear" w:color="auto" w:fill="auto"/>
            <w:vAlign w:val="center"/>
          </w:tcPr>
          <w:p w14:paraId="38D699CD">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0.074</w:t>
            </w:r>
          </w:p>
        </w:tc>
        <w:tc>
          <w:tcPr>
            <w:tcW w:w="386" w:type="pct"/>
            <w:shd w:val="clear" w:color="auto" w:fill="auto"/>
            <w:vAlign w:val="center"/>
          </w:tcPr>
          <w:p w14:paraId="60D6BC3C">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r>
      <w:tr w14:paraId="74661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33" w:type="pct"/>
            <w:vMerge w:val="continue"/>
            <w:vAlign w:val="center"/>
          </w:tcPr>
          <w:p w14:paraId="411A0E21">
            <w:pPr>
              <w:jc w:val="center"/>
              <w:rPr>
                <w:sz w:val="22"/>
                <w:szCs w:val="22"/>
              </w:rPr>
            </w:pPr>
          </w:p>
        </w:tc>
        <w:tc>
          <w:tcPr>
            <w:tcW w:w="515" w:type="pct"/>
            <w:vAlign w:val="center"/>
          </w:tcPr>
          <w:p w14:paraId="364B8F24">
            <w:pPr>
              <w:jc w:val="center"/>
              <w:rPr>
                <w:rFonts w:hint="default" w:eastAsia="宋体"/>
                <w:sz w:val="22"/>
                <w:szCs w:val="22"/>
                <w:lang w:val="en-US" w:eastAsia="zh-CN"/>
              </w:rPr>
            </w:pPr>
            <w:r>
              <w:rPr>
                <w:rFonts w:hint="eastAsia"/>
                <w:sz w:val="22"/>
                <w:szCs w:val="22"/>
                <w:lang w:val="en-US" w:eastAsia="zh-CN"/>
              </w:rPr>
              <w:t>是否达标</w:t>
            </w:r>
          </w:p>
        </w:tc>
        <w:tc>
          <w:tcPr>
            <w:tcW w:w="477" w:type="pct"/>
            <w:vAlign w:val="center"/>
          </w:tcPr>
          <w:p w14:paraId="2660C576">
            <w:pPr>
              <w:jc w:val="center"/>
              <w:rPr>
                <w:rFonts w:hint="eastAsia" w:eastAsia="宋体"/>
                <w:sz w:val="22"/>
                <w:szCs w:val="22"/>
                <w:lang w:val="en-US" w:eastAsia="zh-CN"/>
              </w:rPr>
            </w:pPr>
            <w:r>
              <w:rPr>
                <w:rFonts w:hint="eastAsia"/>
                <w:sz w:val="22"/>
                <w:szCs w:val="22"/>
                <w:lang w:val="en-US" w:eastAsia="zh-CN"/>
              </w:rPr>
              <w:t>达标</w:t>
            </w:r>
          </w:p>
        </w:tc>
        <w:tc>
          <w:tcPr>
            <w:tcW w:w="414" w:type="pct"/>
            <w:vAlign w:val="center"/>
          </w:tcPr>
          <w:p w14:paraId="0F1A9DBF">
            <w:pPr>
              <w:jc w:val="center"/>
              <w:rPr>
                <w:sz w:val="22"/>
                <w:szCs w:val="22"/>
              </w:rPr>
            </w:pPr>
            <w:r>
              <w:rPr>
                <w:rFonts w:hint="eastAsia"/>
                <w:sz w:val="22"/>
                <w:szCs w:val="22"/>
                <w:lang w:val="en-US" w:eastAsia="zh-CN"/>
              </w:rPr>
              <w:t>达标</w:t>
            </w:r>
          </w:p>
        </w:tc>
        <w:tc>
          <w:tcPr>
            <w:tcW w:w="414" w:type="pct"/>
            <w:vAlign w:val="center"/>
          </w:tcPr>
          <w:p w14:paraId="741F441C">
            <w:pPr>
              <w:jc w:val="center"/>
              <w:rPr>
                <w:sz w:val="22"/>
                <w:szCs w:val="22"/>
              </w:rPr>
            </w:pPr>
            <w:r>
              <w:rPr>
                <w:rFonts w:hint="eastAsia"/>
                <w:sz w:val="22"/>
                <w:szCs w:val="22"/>
                <w:lang w:val="en-US" w:eastAsia="zh-CN"/>
              </w:rPr>
              <w:t>达标</w:t>
            </w:r>
          </w:p>
        </w:tc>
        <w:tc>
          <w:tcPr>
            <w:tcW w:w="414" w:type="pct"/>
            <w:vAlign w:val="center"/>
          </w:tcPr>
          <w:p w14:paraId="3BBF5F75">
            <w:pPr>
              <w:jc w:val="center"/>
              <w:rPr>
                <w:sz w:val="22"/>
                <w:szCs w:val="22"/>
              </w:rPr>
            </w:pPr>
            <w:r>
              <w:rPr>
                <w:rFonts w:hint="eastAsia"/>
                <w:sz w:val="22"/>
                <w:szCs w:val="22"/>
                <w:lang w:val="en-US" w:eastAsia="zh-CN"/>
              </w:rPr>
              <w:t>达标</w:t>
            </w:r>
          </w:p>
        </w:tc>
        <w:tc>
          <w:tcPr>
            <w:tcW w:w="414" w:type="pct"/>
            <w:vAlign w:val="center"/>
          </w:tcPr>
          <w:p w14:paraId="7BB19B7E">
            <w:pPr>
              <w:jc w:val="center"/>
              <w:rPr>
                <w:sz w:val="22"/>
                <w:szCs w:val="22"/>
              </w:rPr>
            </w:pPr>
            <w:r>
              <w:rPr>
                <w:rFonts w:hint="eastAsia"/>
                <w:sz w:val="22"/>
                <w:szCs w:val="22"/>
                <w:lang w:val="en-US" w:eastAsia="zh-CN"/>
              </w:rPr>
              <w:t>达标</w:t>
            </w:r>
          </w:p>
        </w:tc>
        <w:tc>
          <w:tcPr>
            <w:tcW w:w="414" w:type="pct"/>
            <w:vAlign w:val="center"/>
          </w:tcPr>
          <w:p w14:paraId="64F373B0">
            <w:pPr>
              <w:jc w:val="center"/>
              <w:rPr>
                <w:sz w:val="22"/>
                <w:szCs w:val="22"/>
              </w:rPr>
            </w:pPr>
            <w:r>
              <w:rPr>
                <w:rFonts w:hint="eastAsia"/>
                <w:sz w:val="22"/>
                <w:szCs w:val="22"/>
                <w:lang w:val="en-US" w:eastAsia="zh-CN"/>
              </w:rPr>
              <w:t>达标</w:t>
            </w:r>
          </w:p>
        </w:tc>
        <w:tc>
          <w:tcPr>
            <w:tcW w:w="414" w:type="pct"/>
            <w:vAlign w:val="center"/>
          </w:tcPr>
          <w:p w14:paraId="398B38C9">
            <w:pPr>
              <w:jc w:val="center"/>
              <w:rPr>
                <w:sz w:val="22"/>
                <w:szCs w:val="22"/>
              </w:rPr>
            </w:pPr>
            <w:r>
              <w:rPr>
                <w:rFonts w:hint="eastAsia"/>
                <w:sz w:val="22"/>
                <w:szCs w:val="22"/>
                <w:lang w:val="en-US" w:eastAsia="zh-CN"/>
              </w:rPr>
              <w:t>达标</w:t>
            </w:r>
          </w:p>
        </w:tc>
        <w:tc>
          <w:tcPr>
            <w:tcW w:w="414" w:type="pct"/>
            <w:vAlign w:val="center"/>
          </w:tcPr>
          <w:p w14:paraId="52EA5E63">
            <w:pPr>
              <w:jc w:val="center"/>
              <w:rPr>
                <w:sz w:val="22"/>
                <w:szCs w:val="22"/>
              </w:rPr>
            </w:pPr>
            <w:r>
              <w:rPr>
                <w:rFonts w:hint="eastAsia"/>
                <w:sz w:val="22"/>
                <w:szCs w:val="22"/>
                <w:lang w:val="en-US" w:eastAsia="zh-CN"/>
              </w:rPr>
              <w:t>达标</w:t>
            </w:r>
          </w:p>
        </w:tc>
        <w:tc>
          <w:tcPr>
            <w:tcW w:w="386" w:type="pct"/>
            <w:vAlign w:val="center"/>
          </w:tcPr>
          <w:p w14:paraId="2893CB54">
            <w:pPr>
              <w:jc w:val="center"/>
              <w:rPr>
                <w:sz w:val="22"/>
                <w:szCs w:val="22"/>
              </w:rPr>
            </w:pPr>
            <w:r>
              <w:rPr>
                <w:rFonts w:hint="eastAsia"/>
                <w:sz w:val="22"/>
                <w:szCs w:val="22"/>
                <w:lang w:val="en-US" w:eastAsia="zh-CN"/>
              </w:rPr>
              <w:t>达标</w:t>
            </w:r>
          </w:p>
        </w:tc>
        <w:tc>
          <w:tcPr>
            <w:tcW w:w="386" w:type="pct"/>
            <w:vAlign w:val="center"/>
          </w:tcPr>
          <w:p w14:paraId="3A4119C3">
            <w:pPr>
              <w:jc w:val="center"/>
              <w:rPr>
                <w:sz w:val="22"/>
                <w:szCs w:val="22"/>
              </w:rPr>
            </w:pPr>
            <w:r>
              <w:rPr>
                <w:rFonts w:hint="eastAsia"/>
                <w:sz w:val="22"/>
                <w:szCs w:val="22"/>
                <w:lang w:val="en-US" w:eastAsia="zh-CN"/>
              </w:rPr>
              <w:t>达标</w:t>
            </w:r>
          </w:p>
        </w:tc>
      </w:tr>
      <w:tr w14:paraId="77E51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48" w:type="pct"/>
            <w:gridSpan w:val="2"/>
            <w:vMerge w:val="restart"/>
            <w:tcBorders>
              <w:tl2br w:val="single" w:color="auto" w:sz="6" w:space="0"/>
            </w:tcBorders>
            <w:vAlign w:val="center"/>
          </w:tcPr>
          <w:p w14:paraId="5AEBD5CA">
            <w:pPr>
              <w:adjustRightInd w:val="0"/>
              <w:jc w:val="center"/>
              <w:rPr>
                <w:sz w:val="22"/>
                <w:szCs w:val="22"/>
              </w:rPr>
            </w:pPr>
            <w:r>
              <w:rPr>
                <w:rFonts w:hint="eastAsia"/>
                <w:sz w:val="22"/>
                <w:szCs w:val="22"/>
              </w:rPr>
              <w:t xml:space="preserve">       </w:t>
            </w:r>
          </w:p>
          <w:p w14:paraId="34E0F0E3">
            <w:pPr>
              <w:adjustRightInd w:val="0"/>
              <w:jc w:val="center"/>
              <w:rPr>
                <w:sz w:val="22"/>
                <w:szCs w:val="22"/>
              </w:rPr>
            </w:pPr>
            <w:r>
              <w:rPr>
                <w:rFonts w:hint="eastAsia"/>
                <w:sz w:val="22"/>
                <w:szCs w:val="22"/>
              </w:rPr>
              <w:t xml:space="preserve"> </w:t>
            </w:r>
            <w:r>
              <w:rPr>
                <w:sz w:val="22"/>
                <w:szCs w:val="22"/>
              </w:rPr>
              <w:t xml:space="preserve">     项目</w:t>
            </w:r>
          </w:p>
          <w:p w14:paraId="44173E21">
            <w:pPr>
              <w:adjustRightInd w:val="0"/>
              <w:jc w:val="center"/>
              <w:rPr>
                <w:sz w:val="22"/>
                <w:szCs w:val="22"/>
              </w:rPr>
            </w:pPr>
          </w:p>
          <w:p w14:paraId="598C79C1">
            <w:pPr>
              <w:adjustRightInd w:val="0"/>
              <w:snapToGrid w:val="0"/>
              <w:rPr>
                <w:sz w:val="22"/>
                <w:szCs w:val="22"/>
              </w:rPr>
            </w:pPr>
            <w:r>
              <w:rPr>
                <w:sz w:val="22"/>
                <w:szCs w:val="22"/>
              </w:rPr>
              <w:t>采样点</w:t>
            </w:r>
          </w:p>
        </w:tc>
        <w:tc>
          <w:tcPr>
            <w:tcW w:w="477" w:type="pct"/>
            <w:vAlign w:val="center"/>
          </w:tcPr>
          <w:p w14:paraId="00D1337F">
            <w:pPr>
              <w:jc w:val="center"/>
              <w:rPr>
                <w:sz w:val="22"/>
                <w:szCs w:val="22"/>
              </w:rPr>
            </w:pPr>
            <w:r>
              <w:rPr>
                <w:rFonts w:hint="eastAsia"/>
                <w:sz w:val="22"/>
                <w:szCs w:val="22"/>
              </w:rPr>
              <w:t>汞</w:t>
            </w:r>
          </w:p>
        </w:tc>
        <w:tc>
          <w:tcPr>
            <w:tcW w:w="414" w:type="pct"/>
            <w:vAlign w:val="center"/>
          </w:tcPr>
          <w:p w14:paraId="63EB8935">
            <w:pPr>
              <w:jc w:val="center"/>
              <w:rPr>
                <w:sz w:val="22"/>
                <w:szCs w:val="22"/>
              </w:rPr>
            </w:pPr>
            <w:r>
              <w:rPr>
                <w:rFonts w:hint="eastAsia"/>
                <w:sz w:val="22"/>
                <w:szCs w:val="22"/>
              </w:rPr>
              <w:t>镉</w:t>
            </w:r>
          </w:p>
        </w:tc>
        <w:tc>
          <w:tcPr>
            <w:tcW w:w="414" w:type="pct"/>
            <w:vAlign w:val="center"/>
          </w:tcPr>
          <w:p w14:paraId="05EA32C4">
            <w:pPr>
              <w:jc w:val="center"/>
              <w:rPr>
                <w:sz w:val="22"/>
                <w:szCs w:val="22"/>
              </w:rPr>
            </w:pPr>
            <w:r>
              <w:rPr>
                <w:rFonts w:hint="eastAsia"/>
                <w:sz w:val="22"/>
                <w:szCs w:val="22"/>
              </w:rPr>
              <w:t>铁</w:t>
            </w:r>
          </w:p>
        </w:tc>
        <w:tc>
          <w:tcPr>
            <w:tcW w:w="414" w:type="pct"/>
            <w:vAlign w:val="center"/>
          </w:tcPr>
          <w:p w14:paraId="7C7E2E02">
            <w:pPr>
              <w:jc w:val="center"/>
              <w:rPr>
                <w:sz w:val="22"/>
                <w:szCs w:val="22"/>
              </w:rPr>
            </w:pPr>
            <w:r>
              <w:rPr>
                <w:rFonts w:hint="eastAsia"/>
                <w:sz w:val="22"/>
                <w:szCs w:val="22"/>
              </w:rPr>
              <w:t>锰</w:t>
            </w:r>
          </w:p>
        </w:tc>
        <w:tc>
          <w:tcPr>
            <w:tcW w:w="414" w:type="pct"/>
            <w:vAlign w:val="center"/>
          </w:tcPr>
          <w:p w14:paraId="55024508">
            <w:pPr>
              <w:jc w:val="center"/>
              <w:rPr>
                <w:sz w:val="22"/>
                <w:szCs w:val="22"/>
              </w:rPr>
            </w:pPr>
            <w:r>
              <w:rPr>
                <w:sz w:val="22"/>
                <w:szCs w:val="22"/>
              </w:rPr>
              <w:t>六价铬</w:t>
            </w:r>
          </w:p>
        </w:tc>
        <w:tc>
          <w:tcPr>
            <w:tcW w:w="414" w:type="pct"/>
            <w:vAlign w:val="center"/>
          </w:tcPr>
          <w:p w14:paraId="3E58E747">
            <w:pPr>
              <w:jc w:val="center"/>
              <w:rPr>
                <w:sz w:val="22"/>
                <w:szCs w:val="22"/>
              </w:rPr>
            </w:pPr>
            <w:r>
              <w:rPr>
                <w:rFonts w:hint="eastAsia"/>
                <w:sz w:val="22"/>
                <w:szCs w:val="22"/>
              </w:rPr>
              <w:t>总硬度</w:t>
            </w:r>
          </w:p>
        </w:tc>
        <w:tc>
          <w:tcPr>
            <w:tcW w:w="414" w:type="pct"/>
            <w:vAlign w:val="center"/>
          </w:tcPr>
          <w:p w14:paraId="11B4FB74">
            <w:pPr>
              <w:jc w:val="center"/>
              <w:rPr>
                <w:sz w:val="22"/>
                <w:szCs w:val="22"/>
              </w:rPr>
            </w:pPr>
            <w:r>
              <w:rPr>
                <w:rFonts w:hint="eastAsia"/>
                <w:sz w:val="22"/>
                <w:szCs w:val="22"/>
              </w:rPr>
              <w:t>溶解性总固体</w:t>
            </w:r>
          </w:p>
        </w:tc>
        <w:tc>
          <w:tcPr>
            <w:tcW w:w="414" w:type="pct"/>
            <w:vAlign w:val="center"/>
          </w:tcPr>
          <w:p w14:paraId="7EFAD91D">
            <w:pPr>
              <w:jc w:val="center"/>
              <w:rPr>
                <w:sz w:val="22"/>
                <w:szCs w:val="22"/>
              </w:rPr>
            </w:pPr>
            <w:r>
              <w:rPr>
                <w:sz w:val="22"/>
                <w:szCs w:val="22"/>
              </w:rPr>
              <w:t>总大肠菌群</w:t>
            </w:r>
          </w:p>
        </w:tc>
        <w:tc>
          <w:tcPr>
            <w:tcW w:w="386" w:type="pct"/>
            <w:vAlign w:val="center"/>
          </w:tcPr>
          <w:p w14:paraId="74F7E2D9">
            <w:pPr>
              <w:jc w:val="center"/>
              <w:rPr>
                <w:sz w:val="22"/>
                <w:szCs w:val="22"/>
              </w:rPr>
            </w:pPr>
            <w:r>
              <w:rPr>
                <w:rFonts w:hint="eastAsia"/>
                <w:sz w:val="22"/>
                <w:szCs w:val="22"/>
              </w:rPr>
              <w:t>细菌总数</w:t>
            </w:r>
          </w:p>
        </w:tc>
        <w:tc>
          <w:tcPr>
            <w:tcW w:w="386" w:type="pct"/>
            <w:vAlign w:val="center"/>
          </w:tcPr>
          <w:p w14:paraId="69F6B9CE">
            <w:pPr>
              <w:jc w:val="center"/>
              <w:rPr>
                <w:sz w:val="22"/>
                <w:szCs w:val="22"/>
              </w:rPr>
            </w:pPr>
            <w:r>
              <w:rPr>
                <w:rFonts w:hint="eastAsia"/>
                <w:sz w:val="22"/>
                <w:szCs w:val="22"/>
              </w:rPr>
              <w:t>石油类</w:t>
            </w:r>
          </w:p>
        </w:tc>
      </w:tr>
      <w:tr w14:paraId="03057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48" w:type="pct"/>
            <w:gridSpan w:val="2"/>
            <w:vMerge w:val="continue"/>
            <w:tcBorders>
              <w:tl2br w:val="single" w:color="auto" w:sz="6" w:space="0"/>
            </w:tcBorders>
            <w:vAlign w:val="center"/>
          </w:tcPr>
          <w:p w14:paraId="2C826077">
            <w:pPr>
              <w:jc w:val="center"/>
              <w:rPr>
                <w:sz w:val="22"/>
                <w:szCs w:val="22"/>
              </w:rPr>
            </w:pPr>
          </w:p>
        </w:tc>
        <w:tc>
          <w:tcPr>
            <w:tcW w:w="477" w:type="pct"/>
            <w:vAlign w:val="center"/>
          </w:tcPr>
          <w:p w14:paraId="0EB3FD77">
            <w:pPr>
              <w:jc w:val="center"/>
              <w:rPr>
                <w:sz w:val="22"/>
                <w:szCs w:val="22"/>
              </w:rPr>
            </w:pPr>
            <w:r>
              <w:rPr>
                <w:sz w:val="22"/>
                <w:szCs w:val="22"/>
              </w:rPr>
              <w:t>mg/L</w:t>
            </w:r>
          </w:p>
        </w:tc>
        <w:tc>
          <w:tcPr>
            <w:tcW w:w="414" w:type="pct"/>
            <w:vAlign w:val="center"/>
          </w:tcPr>
          <w:p w14:paraId="58894B7E">
            <w:pPr>
              <w:jc w:val="center"/>
              <w:rPr>
                <w:sz w:val="22"/>
                <w:szCs w:val="22"/>
              </w:rPr>
            </w:pPr>
            <w:r>
              <w:rPr>
                <w:sz w:val="22"/>
                <w:szCs w:val="22"/>
              </w:rPr>
              <w:t>mg/L</w:t>
            </w:r>
          </w:p>
        </w:tc>
        <w:tc>
          <w:tcPr>
            <w:tcW w:w="414" w:type="pct"/>
            <w:vAlign w:val="center"/>
          </w:tcPr>
          <w:p w14:paraId="6148CF90">
            <w:pPr>
              <w:jc w:val="center"/>
              <w:rPr>
                <w:sz w:val="22"/>
                <w:szCs w:val="22"/>
              </w:rPr>
            </w:pPr>
            <w:r>
              <w:rPr>
                <w:sz w:val="22"/>
                <w:szCs w:val="22"/>
              </w:rPr>
              <w:t>mg/L</w:t>
            </w:r>
          </w:p>
        </w:tc>
        <w:tc>
          <w:tcPr>
            <w:tcW w:w="414" w:type="pct"/>
            <w:vAlign w:val="center"/>
          </w:tcPr>
          <w:p w14:paraId="75C49362">
            <w:pPr>
              <w:jc w:val="center"/>
              <w:rPr>
                <w:sz w:val="22"/>
                <w:szCs w:val="22"/>
              </w:rPr>
            </w:pPr>
            <w:r>
              <w:rPr>
                <w:sz w:val="22"/>
                <w:szCs w:val="22"/>
              </w:rPr>
              <w:t>mg/L</w:t>
            </w:r>
          </w:p>
        </w:tc>
        <w:tc>
          <w:tcPr>
            <w:tcW w:w="414" w:type="pct"/>
            <w:vAlign w:val="center"/>
          </w:tcPr>
          <w:p w14:paraId="7A54F598">
            <w:pPr>
              <w:jc w:val="center"/>
              <w:rPr>
                <w:sz w:val="22"/>
                <w:szCs w:val="22"/>
              </w:rPr>
            </w:pPr>
            <w:r>
              <w:rPr>
                <w:sz w:val="22"/>
                <w:szCs w:val="22"/>
              </w:rPr>
              <w:t>mg/L</w:t>
            </w:r>
          </w:p>
        </w:tc>
        <w:tc>
          <w:tcPr>
            <w:tcW w:w="414" w:type="pct"/>
            <w:vAlign w:val="center"/>
          </w:tcPr>
          <w:p w14:paraId="6D6EEC98">
            <w:pPr>
              <w:jc w:val="center"/>
              <w:rPr>
                <w:sz w:val="22"/>
                <w:szCs w:val="22"/>
              </w:rPr>
            </w:pPr>
            <w:r>
              <w:rPr>
                <w:sz w:val="22"/>
                <w:szCs w:val="22"/>
              </w:rPr>
              <w:t>mg/L</w:t>
            </w:r>
          </w:p>
        </w:tc>
        <w:tc>
          <w:tcPr>
            <w:tcW w:w="414" w:type="pct"/>
            <w:vAlign w:val="center"/>
          </w:tcPr>
          <w:p w14:paraId="12923343">
            <w:pPr>
              <w:jc w:val="center"/>
              <w:rPr>
                <w:sz w:val="22"/>
                <w:szCs w:val="22"/>
              </w:rPr>
            </w:pPr>
            <w:r>
              <w:rPr>
                <w:sz w:val="22"/>
                <w:szCs w:val="22"/>
              </w:rPr>
              <w:t>mg/L</w:t>
            </w:r>
          </w:p>
        </w:tc>
        <w:tc>
          <w:tcPr>
            <w:tcW w:w="414" w:type="pct"/>
            <w:vAlign w:val="center"/>
          </w:tcPr>
          <w:p w14:paraId="2D7596C0">
            <w:pPr>
              <w:jc w:val="center"/>
              <w:rPr>
                <w:sz w:val="22"/>
                <w:szCs w:val="22"/>
              </w:rPr>
            </w:pPr>
            <w:r>
              <w:rPr>
                <w:sz w:val="22"/>
                <w:szCs w:val="22"/>
              </w:rPr>
              <w:t>个/mL</w:t>
            </w:r>
          </w:p>
        </w:tc>
        <w:tc>
          <w:tcPr>
            <w:tcW w:w="386" w:type="pct"/>
            <w:vAlign w:val="center"/>
          </w:tcPr>
          <w:p w14:paraId="080D4465">
            <w:pPr>
              <w:jc w:val="center"/>
              <w:rPr>
                <w:sz w:val="22"/>
                <w:szCs w:val="22"/>
              </w:rPr>
            </w:pPr>
            <w:r>
              <w:rPr>
                <w:sz w:val="22"/>
                <w:szCs w:val="22"/>
              </w:rPr>
              <w:t>个/mL</w:t>
            </w:r>
          </w:p>
        </w:tc>
        <w:tc>
          <w:tcPr>
            <w:tcW w:w="386" w:type="pct"/>
            <w:vAlign w:val="center"/>
          </w:tcPr>
          <w:p w14:paraId="0BEA7F25">
            <w:pPr>
              <w:jc w:val="center"/>
              <w:rPr>
                <w:sz w:val="22"/>
                <w:szCs w:val="22"/>
              </w:rPr>
            </w:pPr>
            <w:r>
              <w:rPr>
                <w:sz w:val="22"/>
                <w:szCs w:val="22"/>
              </w:rPr>
              <w:t>mg/L</w:t>
            </w:r>
          </w:p>
        </w:tc>
      </w:tr>
      <w:tr w14:paraId="13496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48" w:type="pct"/>
            <w:gridSpan w:val="2"/>
            <w:vAlign w:val="center"/>
          </w:tcPr>
          <w:p w14:paraId="76532C59">
            <w:pPr>
              <w:jc w:val="center"/>
              <w:rPr>
                <w:sz w:val="22"/>
                <w:szCs w:val="22"/>
              </w:rPr>
            </w:pPr>
            <w:r>
              <w:rPr>
                <w:sz w:val="22"/>
                <w:szCs w:val="22"/>
              </w:rPr>
              <w:t>标准值（Ⅲ类）</w:t>
            </w:r>
          </w:p>
        </w:tc>
        <w:tc>
          <w:tcPr>
            <w:tcW w:w="477" w:type="pct"/>
            <w:vAlign w:val="center"/>
          </w:tcPr>
          <w:p w14:paraId="2F22E341">
            <w:pPr>
              <w:jc w:val="center"/>
              <w:rPr>
                <w:sz w:val="22"/>
                <w:szCs w:val="22"/>
              </w:rPr>
            </w:pPr>
            <w:r>
              <w:rPr>
                <w:sz w:val="22"/>
                <w:szCs w:val="22"/>
              </w:rPr>
              <w:t>0.001</w:t>
            </w:r>
          </w:p>
        </w:tc>
        <w:tc>
          <w:tcPr>
            <w:tcW w:w="414" w:type="pct"/>
            <w:vAlign w:val="center"/>
          </w:tcPr>
          <w:p w14:paraId="55D7495C">
            <w:pPr>
              <w:jc w:val="center"/>
              <w:rPr>
                <w:sz w:val="22"/>
                <w:szCs w:val="22"/>
              </w:rPr>
            </w:pPr>
            <w:r>
              <w:rPr>
                <w:rFonts w:hint="eastAsia"/>
                <w:sz w:val="22"/>
                <w:szCs w:val="22"/>
              </w:rPr>
              <w:t>0</w:t>
            </w:r>
            <w:r>
              <w:rPr>
                <w:sz w:val="22"/>
                <w:szCs w:val="22"/>
              </w:rPr>
              <w:t>.005</w:t>
            </w:r>
          </w:p>
        </w:tc>
        <w:tc>
          <w:tcPr>
            <w:tcW w:w="414" w:type="pct"/>
            <w:vAlign w:val="center"/>
          </w:tcPr>
          <w:p w14:paraId="03DC6383">
            <w:pPr>
              <w:jc w:val="center"/>
              <w:rPr>
                <w:sz w:val="22"/>
                <w:szCs w:val="22"/>
              </w:rPr>
            </w:pPr>
            <w:r>
              <w:rPr>
                <w:rFonts w:hint="eastAsia"/>
                <w:sz w:val="22"/>
                <w:szCs w:val="22"/>
              </w:rPr>
              <w:t>0</w:t>
            </w:r>
            <w:r>
              <w:rPr>
                <w:sz w:val="22"/>
                <w:szCs w:val="22"/>
              </w:rPr>
              <w:t>.3</w:t>
            </w:r>
          </w:p>
        </w:tc>
        <w:tc>
          <w:tcPr>
            <w:tcW w:w="414" w:type="pct"/>
            <w:vAlign w:val="center"/>
          </w:tcPr>
          <w:p w14:paraId="53C3A981">
            <w:pPr>
              <w:jc w:val="center"/>
              <w:rPr>
                <w:sz w:val="22"/>
                <w:szCs w:val="22"/>
              </w:rPr>
            </w:pPr>
            <w:r>
              <w:rPr>
                <w:rFonts w:hint="eastAsia"/>
                <w:sz w:val="22"/>
                <w:szCs w:val="22"/>
              </w:rPr>
              <w:t>0</w:t>
            </w:r>
            <w:r>
              <w:rPr>
                <w:sz w:val="22"/>
                <w:szCs w:val="22"/>
              </w:rPr>
              <w:t>.10</w:t>
            </w:r>
          </w:p>
        </w:tc>
        <w:tc>
          <w:tcPr>
            <w:tcW w:w="414" w:type="pct"/>
            <w:vAlign w:val="center"/>
          </w:tcPr>
          <w:p w14:paraId="7CC970A3">
            <w:pPr>
              <w:jc w:val="center"/>
              <w:rPr>
                <w:sz w:val="22"/>
                <w:szCs w:val="22"/>
              </w:rPr>
            </w:pPr>
            <w:r>
              <w:rPr>
                <w:sz w:val="22"/>
                <w:szCs w:val="22"/>
              </w:rPr>
              <w:t>0.05</w:t>
            </w:r>
          </w:p>
        </w:tc>
        <w:tc>
          <w:tcPr>
            <w:tcW w:w="414" w:type="pct"/>
            <w:vAlign w:val="center"/>
          </w:tcPr>
          <w:p w14:paraId="3F0F9150">
            <w:pPr>
              <w:jc w:val="center"/>
              <w:rPr>
                <w:sz w:val="22"/>
                <w:szCs w:val="22"/>
              </w:rPr>
            </w:pPr>
            <w:r>
              <w:rPr>
                <w:sz w:val="22"/>
                <w:szCs w:val="22"/>
              </w:rPr>
              <w:t>450</w:t>
            </w:r>
          </w:p>
        </w:tc>
        <w:tc>
          <w:tcPr>
            <w:tcW w:w="414" w:type="pct"/>
            <w:vAlign w:val="center"/>
          </w:tcPr>
          <w:p w14:paraId="74D472F8">
            <w:pPr>
              <w:jc w:val="center"/>
              <w:rPr>
                <w:sz w:val="22"/>
                <w:szCs w:val="22"/>
              </w:rPr>
            </w:pPr>
            <w:r>
              <w:rPr>
                <w:sz w:val="22"/>
                <w:szCs w:val="22"/>
              </w:rPr>
              <w:t>1000</w:t>
            </w:r>
          </w:p>
        </w:tc>
        <w:tc>
          <w:tcPr>
            <w:tcW w:w="414" w:type="pct"/>
            <w:vAlign w:val="center"/>
          </w:tcPr>
          <w:p w14:paraId="0237283D">
            <w:pPr>
              <w:jc w:val="center"/>
              <w:rPr>
                <w:sz w:val="22"/>
                <w:szCs w:val="22"/>
              </w:rPr>
            </w:pPr>
            <w:r>
              <w:rPr>
                <w:sz w:val="22"/>
                <w:szCs w:val="22"/>
              </w:rPr>
              <w:t>3.0</w:t>
            </w:r>
          </w:p>
        </w:tc>
        <w:tc>
          <w:tcPr>
            <w:tcW w:w="386" w:type="pct"/>
            <w:vAlign w:val="center"/>
          </w:tcPr>
          <w:p w14:paraId="6BEF51AF">
            <w:pPr>
              <w:jc w:val="center"/>
              <w:rPr>
                <w:sz w:val="22"/>
                <w:szCs w:val="22"/>
              </w:rPr>
            </w:pPr>
            <w:r>
              <w:rPr>
                <w:rFonts w:hint="eastAsia"/>
                <w:sz w:val="22"/>
                <w:szCs w:val="22"/>
              </w:rPr>
              <w:t>1</w:t>
            </w:r>
            <w:r>
              <w:rPr>
                <w:sz w:val="22"/>
                <w:szCs w:val="22"/>
              </w:rPr>
              <w:t>00</w:t>
            </w:r>
          </w:p>
        </w:tc>
        <w:tc>
          <w:tcPr>
            <w:tcW w:w="386" w:type="pct"/>
            <w:vAlign w:val="center"/>
          </w:tcPr>
          <w:p w14:paraId="6D9B8165">
            <w:pPr>
              <w:jc w:val="center"/>
              <w:rPr>
                <w:sz w:val="22"/>
                <w:szCs w:val="22"/>
              </w:rPr>
            </w:pPr>
            <w:r>
              <w:rPr>
                <w:sz w:val="22"/>
                <w:szCs w:val="22"/>
              </w:rPr>
              <w:t>0.05</w:t>
            </w:r>
            <w:r>
              <w:rPr>
                <w:rFonts w:hint="eastAsia"/>
                <w:sz w:val="22"/>
                <w:szCs w:val="22"/>
              </w:rPr>
              <w:t>*</w:t>
            </w:r>
          </w:p>
        </w:tc>
      </w:tr>
      <w:tr w14:paraId="2944C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33" w:type="pct"/>
            <w:vMerge w:val="restart"/>
            <w:vAlign w:val="center"/>
          </w:tcPr>
          <w:p w14:paraId="2A2E532D">
            <w:pPr>
              <w:jc w:val="center"/>
              <w:rPr>
                <w:sz w:val="22"/>
                <w:szCs w:val="22"/>
              </w:rPr>
            </w:pPr>
            <w:r>
              <w:rPr>
                <w:rFonts w:hint="eastAsia"/>
                <w:sz w:val="22"/>
                <w:szCs w:val="22"/>
              </w:rPr>
              <w:t>项目</w:t>
            </w:r>
            <w:r>
              <w:rPr>
                <w:rFonts w:hint="eastAsia"/>
                <w:sz w:val="22"/>
                <w:szCs w:val="22"/>
                <w:lang w:val="en-US" w:eastAsia="zh-CN"/>
              </w:rPr>
              <w:t>东</w:t>
            </w:r>
            <w:r>
              <w:rPr>
                <w:rFonts w:hint="eastAsia"/>
                <w:sz w:val="22"/>
                <w:szCs w:val="22"/>
              </w:rPr>
              <w:t>侧</w:t>
            </w:r>
          </w:p>
        </w:tc>
        <w:tc>
          <w:tcPr>
            <w:tcW w:w="515" w:type="pct"/>
            <w:vAlign w:val="center"/>
          </w:tcPr>
          <w:p w14:paraId="4D49FD36">
            <w:pPr>
              <w:jc w:val="center"/>
              <w:rPr>
                <w:sz w:val="22"/>
                <w:szCs w:val="22"/>
              </w:rPr>
            </w:pPr>
            <w:r>
              <w:rPr>
                <w:sz w:val="22"/>
                <w:szCs w:val="22"/>
              </w:rPr>
              <w:t>浓度值</w:t>
            </w:r>
          </w:p>
        </w:tc>
        <w:tc>
          <w:tcPr>
            <w:tcW w:w="477" w:type="pct"/>
            <w:vAlign w:val="center"/>
          </w:tcPr>
          <w:p w14:paraId="26964B47">
            <w:pPr>
              <w:jc w:val="center"/>
              <w:rPr>
                <w:sz w:val="22"/>
                <w:szCs w:val="22"/>
              </w:rPr>
            </w:pPr>
            <w:r>
              <w:rPr>
                <w:rFonts w:hint="eastAsia" w:ascii="Times New Roman" w:hAnsi="Times New Roman" w:cs="Times New Roman"/>
                <w:color w:val="auto"/>
                <w:kern w:val="2"/>
                <w:sz w:val="22"/>
                <w:szCs w:val="22"/>
                <w:highlight w:val="none"/>
                <w:lang w:val="en-US" w:eastAsia="zh-CN" w:bidi="ar-SA"/>
              </w:rPr>
              <w:t>4</w:t>
            </w:r>
            <w:r>
              <w:rPr>
                <w:rFonts w:hint="default" w:ascii="Times New Roman" w:hAnsi="Times New Roman" w:cs="Times New Roman"/>
                <w:color w:val="auto"/>
                <w:sz w:val="22"/>
                <w:szCs w:val="22"/>
                <w:highlight w:val="none"/>
                <w:lang w:val="en-US" w:eastAsia="zh-CN"/>
              </w:rPr>
              <w:t>×10</w:t>
            </w:r>
            <w:r>
              <w:rPr>
                <w:rFonts w:hint="default" w:ascii="Times New Roman" w:hAnsi="Times New Roman" w:cs="Times New Roman"/>
                <w:color w:val="auto"/>
                <w:sz w:val="22"/>
                <w:szCs w:val="22"/>
                <w:highlight w:val="none"/>
                <w:vertAlign w:val="superscript"/>
                <w:lang w:val="en-US" w:eastAsia="zh-CN"/>
              </w:rPr>
              <w:t>-</w:t>
            </w:r>
            <w:r>
              <w:rPr>
                <w:rFonts w:hint="eastAsia" w:ascii="Times New Roman" w:hAnsi="Times New Roman" w:cs="Times New Roman"/>
                <w:color w:val="auto"/>
                <w:sz w:val="22"/>
                <w:szCs w:val="22"/>
                <w:highlight w:val="none"/>
                <w:vertAlign w:val="superscript"/>
                <w:lang w:val="en-US" w:eastAsia="zh-CN"/>
              </w:rPr>
              <w:t>5</w:t>
            </w:r>
            <w:r>
              <w:rPr>
                <w:rFonts w:hint="eastAsia" w:ascii="Times New Roman" w:hAnsi="Times New Roman" w:cs="Times New Roman"/>
                <w:color w:val="auto"/>
                <w:sz w:val="22"/>
                <w:szCs w:val="22"/>
                <w:highlight w:val="none"/>
                <w:vertAlign w:val="baseline"/>
                <w:lang w:val="en-US" w:eastAsia="zh-CN"/>
              </w:rPr>
              <w:t>L</w:t>
            </w:r>
          </w:p>
        </w:tc>
        <w:tc>
          <w:tcPr>
            <w:tcW w:w="414" w:type="pct"/>
            <w:vAlign w:val="center"/>
          </w:tcPr>
          <w:p w14:paraId="5019C24C">
            <w:pPr>
              <w:jc w:val="center"/>
              <w:rPr>
                <w:rFonts w:hint="default" w:eastAsia="宋体"/>
                <w:sz w:val="22"/>
                <w:szCs w:val="22"/>
                <w:lang w:val="en-US" w:eastAsia="zh-CN"/>
              </w:rPr>
            </w:pPr>
            <w:r>
              <w:rPr>
                <w:rFonts w:hint="eastAsia"/>
                <w:sz w:val="22"/>
                <w:szCs w:val="22"/>
                <w:lang w:val="en-US" w:eastAsia="zh-CN"/>
              </w:rPr>
              <w:t>0.0004</w:t>
            </w:r>
          </w:p>
        </w:tc>
        <w:tc>
          <w:tcPr>
            <w:tcW w:w="414" w:type="pct"/>
            <w:vAlign w:val="center"/>
          </w:tcPr>
          <w:p w14:paraId="3D144D3E">
            <w:pPr>
              <w:jc w:val="center"/>
              <w:rPr>
                <w:rFonts w:hint="default" w:eastAsia="宋体"/>
                <w:sz w:val="22"/>
                <w:szCs w:val="22"/>
                <w:lang w:val="en-US" w:eastAsia="zh-CN"/>
              </w:rPr>
            </w:pPr>
            <w:r>
              <w:rPr>
                <w:rFonts w:hint="eastAsia"/>
                <w:sz w:val="22"/>
                <w:szCs w:val="22"/>
                <w:lang w:val="en-US" w:eastAsia="zh-CN"/>
              </w:rPr>
              <w:t>0.01L</w:t>
            </w:r>
          </w:p>
        </w:tc>
        <w:tc>
          <w:tcPr>
            <w:tcW w:w="414" w:type="pct"/>
            <w:vAlign w:val="center"/>
          </w:tcPr>
          <w:p w14:paraId="456D1982">
            <w:pPr>
              <w:jc w:val="center"/>
              <w:rPr>
                <w:rFonts w:hint="default" w:eastAsia="宋体"/>
                <w:sz w:val="22"/>
                <w:szCs w:val="22"/>
                <w:lang w:val="en-US" w:eastAsia="zh-CN"/>
              </w:rPr>
            </w:pPr>
            <w:r>
              <w:rPr>
                <w:rFonts w:hint="eastAsia"/>
                <w:sz w:val="22"/>
                <w:szCs w:val="22"/>
                <w:lang w:val="en-US" w:eastAsia="zh-CN"/>
              </w:rPr>
              <w:t>0.01L</w:t>
            </w:r>
          </w:p>
        </w:tc>
        <w:tc>
          <w:tcPr>
            <w:tcW w:w="414" w:type="pct"/>
            <w:vAlign w:val="center"/>
          </w:tcPr>
          <w:p w14:paraId="0FC2261E">
            <w:pPr>
              <w:jc w:val="center"/>
              <w:rPr>
                <w:rFonts w:hint="default" w:eastAsia="宋体"/>
                <w:sz w:val="22"/>
                <w:szCs w:val="22"/>
                <w:lang w:val="en-US" w:eastAsia="zh-CN"/>
              </w:rPr>
            </w:pPr>
            <w:r>
              <w:rPr>
                <w:rFonts w:hint="eastAsia"/>
                <w:sz w:val="22"/>
                <w:szCs w:val="22"/>
                <w:lang w:val="en-US" w:eastAsia="zh-CN"/>
              </w:rPr>
              <w:t>0.004L</w:t>
            </w:r>
          </w:p>
        </w:tc>
        <w:tc>
          <w:tcPr>
            <w:tcW w:w="414" w:type="pct"/>
            <w:vAlign w:val="center"/>
          </w:tcPr>
          <w:p w14:paraId="0FCD101C">
            <w:pPr>
              <w:jc w:val="center"/>
              <w:rPr>
                <w:rFonts w:hint="default" w:eastAsia="宋体"/>
                <w:sz w:val="22"/>
                <w:szCs w:val="22"/>
                <w:lang w:val="en-US" w:eastAsia="zh-CN"/>
              </w:rPr>
            </w:pPr>
            <w:r>
              <w:rPr>
                <w:rFonts w:hint="eastAsia"/>
                <w:sz w:val="22"/>
                <w:szCs w:val="22"/>
                <w:lang w:val="en-US" w:eastAsia="zh-CN"/>
              </w:rPr>
              <w:t>235</w:t>
            </w:r>
          </w:p>
        </w:tc>
        <w:tc>
          <w:tcPr>
            <w:tcW w:w="414" w:type="pct"/>
            <w:vAlign w:val="center"/>
          </w:tcPr>
          <w:p w14:paraId="04AEB962">
            <w:pPr>
              <w:jc w:val="center"/>
              <w:rPr>
                <w:rFonts w:hint="default" w:eastAsia="宋体"/>
                <w:sz w:val="22"/>
                <w:szCs w:val="22"/>
                <w:lang w:val="en-US" w:eastAsia="zh-CN"/>
              </w:rPr>
            </w:pPr>
            <w:r>
              <w:rPr>
                <w:rFonts w:hint="eastAsia"/>
                <w:sz w:val="22"/>
                <w:szCs w:val="22"/>
                <w:lang w:val="en-US" w:eastAsia="zh-CN"/>
              </w:rPr>
              <w:t>305</w:t>
            </w:r>
          </w:p>
        </w:tc>
        <w:tc>
          <w:tcPr>
            <w:tcW w:w="414" w:type="pct"/>
            <w:vAlign w:val="center"/>
          </w:tcPr>
          <w:p w14:paraId="7061CFCD">
            <w:pPr>
              <w:jc w:val="center"/>
              <w:rPr>
                <w:rFonts w:hint="default" w:eastAsia="宋体"/>
                <w:sz w:val="22"/>
                <w:szCs w:val="22"/>
                <w:lang w:val="en-US" w:eastAsia="zh-CN"/>
              </w:rPr>
            </w:pPr>
            <w:r>
              <w:rPr>
                <w:rFonts w:hint="eastAsia"/>
                <w:sz w:val="22"/>
                <w:szCs w:val="22"/>
                <w:lang w:val="en-US" w:eastAsia="zh-CN"/>
              </w:rPr>
              <w:t>＜2</w:t>
            </w:r>
          </w:p>
        </w:tc>
        <w:tc>
          <w:tcPr>
            <w:tcW w:w="386" w:type="pct"/>
            <w:vAlign w:val="center"/>
          </w:tcPr>
          <w:p w14:paraId="4F1E261A">
            <w:pPr>
              <w:jc w:val="center"/>
              <w:rPr>
                <w:rFonts w:hint="default" w:eastAsia="宋体"/>
                <w:sz w:val="22"/>
                <w:szCs w:val="22"/>
                <w:lang w:val="en-US" w:eastAsia="zh-CN"/>
              </w:rPr>
            </w:pPr>
            <w:r>
              <w:rPr>
                <w:rFonts w:hint="eastAsia"/>
                <w:sz w:val="22"/>
                <w:szCs w:val="22"/>
                <w:lang w:val="en-US" w:eastAsia="zh-CN"/>
              </w:rPr>
              <w:t>56</w:t>
            </w:r>
          </w:p>
        </w:tc>
        <w:tc>
          <w:tcPr>
            <w:tcW w:w="386" w:type="pct"/>
            <w:vAlign w:val="center"/>
          </w:tcPr>
          <w:p w14:paraId="122F306F">
            <w:pPr>
              <w:jc w:val="center"/>
              <w:rPr>
                <w:rFonts w:hint="default" w:eastAsia="宋体"/>
                <w:sz w:val="22"/>
                <w:szCs w:val="22"/>
                <w:lang w:val="en-US" w:eastAsia="zh-CN"/>
              </w:rPr>
            </w:pPr>
            <w:r>
              <w:rPr>
                <w:rFonts w:hint="eastAsia"/>
                <w:sz w:val="22"/>
                <w:szCs w:val="22"/>
                <w:lang w:val="en-US" w:eastAsia="zh-CN"/>
              </w:rPr>
              <w:t>0.04</w:t>
            </w:r>
          </w:p>
        </w:tc>
      </w:tr>
      <w:tr w14:paraId="70004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33" w:type="pct"/>
            <w:vMerge w:val="continue"/>
            <w:vAlign w:val="center"/>
          </w:tcPr>
          <w:p w14:paraId="4C400FB3">
            <w:pPr>
              <w:jc w:val="center"/>
              <w:rPr>
                <w:sz w:val="22"/>
                <w:szCs w:val="22"/>
              </w:rPr>
            </w:pPr>
          </w:p>
        </w:tc>
        <w:tc>
          <w:tcPr>
            <w:tcW w:w="515" w:type="pct"/>
            <w:shd w:val="clear" w:color="auto" w:fill="auto"/>
            <w:vAlign w:val="center"/>
          </w:tcPr>
          <w:p w14:paraId="4548384C">
            <w:pPr>
              <w:jc w:val="center"/>
              <w:rPr>
                <w:rFonts w:ascii="Times New Roman" w:hAnsi="Times New Roman" w:eastAsia="宋体" w:cs="Times New Roman"/>
                <w:kern w:val="2"/>
                <w:sz w:val="22"/>
                <w:szCs w:val="22"/>
                <w:lang w:val="en-US" w:eastAsia="zh-CN" w:bidi="ar-SA"/>
              </w:rPr>
            </w:pPr>
            <w:r>
              <w:rPr>
                <w:sz w:val="22"/>
                <w:szCs w:val="22"/>
              </w:rPr>
              <w:t>Pi值</w:t>
            </w:r>
          </w:p>
        </w:tc>
        <w:tc>
          <w:tcPr>
            <w:tcW w:w="477" w:type="pct"/>
            <w:shd w:val="clear" w:color="auto" w:fill="auto"/>
            <w:vAlign w:val="center"/>
          </w:tcPr>
          <w:p w14:paraId="10A7322E">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414" w:type="pct"/>
            <w:shd w:val="clear" w:color="auto" w:fill="auto"/>
            <w:vAlign w:val="center"/>
          </w:tcPr>
          <w:p w14:paraId="119B3991">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0.08</w:t>
            </w:r>
          </w:p>
        </w:tc>
        <w:tc>
          <w:tcPr>
            <w:tcW w:w="414" w:type="pct"/>
            <w:shd w:val="clear" w:color="auto" w:fill="auto"/>
            <w:vAlign w:val="center"/>
          </w:tcPr>
          <w:p w14:paraId="012D2949">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414" w:type="pct"/>
            <w:shd w:val="clear" w:color="auto" w:fill="auto"/>
            <w:vAlign w:val="center"/>
          </w:tcPr>
          <w:p w14:paraId="40C4CE8D">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414" w:type="pct"/>
            <w:shd w:val="clear" w:color="auto" w:fill="auto"/>
            <w:vAlign w:val="center"/>
          </w:tcPr>
          <w:p w14:paraId="053EC381">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414" w:type="pct"/>
            <w:shd w:val="clear" w:color="auto" w:fill="auto"/>
            <w:vAlign w:val="center"/>
          </w:tcPr>
          <w:p w14:paraId="1FF3C0CD">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0.5222</w:t>
            </w:r>
          </w:p>
        </w:tc>
        <w:tc>
          <w:tcPr>
            <w:tcW w:w="414" w:type="pct"/>
            <w:shd w:val="clear" w:color="auto" w:fill="auto"/>
            <w:vAlign w:val="center"/>
          </w:tcPr>
          <w:p w14:paraId="1ABEF660">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0.305</w:t>
            </w:r>
          </w:p>
        </w:tc>
        <w:tc>
          <w:tcPr>
            <w:tcW w:w="414" w:type="pct"/>
            <w:shd w:val="clear" w:color="auto" w:fill="auto"/>
            <w:vAlign w:val="center"/>
          </w:tcPr>
          <w:p w14:paraId="4E62CD62">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w:t>
            </w:r>
          </w:p>
        </w:tc>
        <w:tc>
          <w:tcPr>
            <w:tcW w:w="386" w:type="pct"/>
            <w:shd w:val="clear" w:color="auto" w:fill="auto"/>
            <w:vAlign w:val="center"/>
          </w:tcPr>
          <w:p w14:paraId="5D418D6C">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0.56</w:t>
            </w:r>
          </w:p>
        </w:tc>
        <w:tc>
          <w:tcPr>
            <w:tcW w:w="386" w:type="pct"/>
            <w:shd w:val="clear" w:color="auto" w:fill="auto"/>
            <w:vAlign w:val="center"/>
          </w:tcPr>
          <w:p w14:paraId="73BE61CC">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0.8</w:t>
            </w:r>
          </w:p>
        </w:tc>
      </w:tr>
      <w:tr w14:paraId="59893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33" w:type="pct"/>
            <w:vMerge w:val="continue"/>
            <w:vAlign w:val="center"/>
          </w:tcPr>
          <w:p w14:paraId="73F2EB0D">
            <w:pPr>
              <w:jc w:val="center"/>
              <w:rPr>
                <w:sz w:val="22"/>
                <w:szCs w:val="22"/>
              </w:rPr>
            </w:pPr>
          </w:p>
        </w:tc>
        <w:tc>
          <w:tcPr>
            <w:tcW w:w="515" w:type="pct"/>
            <w:vAlign w:val="center"/>
          </w:tcPr>
          <w:p w14:paraId="0B17A216">
            <w:pPr>
              <w:jc w:val="center"/>
              <w:rPr>
                <w:rFonts w:hint="default" w:eastAsia="宋体"/>
                <w:sz w:val="22"/>
                <w:szCs w:val="22"/>
                <w:lang w:val="en-US" w:eastAsia="zh-CN"/>
              </w:rPr>
            </w:pPr>
            <w:r>
              <w:rPr>
                <w:rFonts w:hint="eastAsia"/>
                <w:sz w:val="22"/>
                <w:szCs w:val="22"/>
                <w:lang w:val="en-US" w:eastAsia="zh-CN"/>
              </w:rPr>
              <w:t>是否达标</w:t>
            </w:r>
          </w:p>
        </w:tc>
        <w:tc>
          <w:tcPr>
            <w:tcW w:w="477" w:type="pct"/>
            <w:vAlign w:val="center"/>
          </w:tcPr>
          <w:p w14:paraId="2A35F5ED">
            <w:pPr>
              <w:jc w:val="center"/>
              <w:rPr>
                <w:sz w:val="22"/>
                <w:szCs w:val="22"/>
              </w:rPr>
            </w:pPr>
            <w:r>
              <w:rPr>
                <w:rFonts w:hint="eastAsia"/>
                <w:sz w:val="22"/>
                <w:szCs w:val="22"/>
                <w:lang w:val="en-US" w:eastAsia="zh-CN"/>
              </w:rPr>
              <w:t>达标</w:t>
            </w:r>
          </w:p>
        </w:tc>
        <w:tc>
          <w:tcPr>
            <w:tcW w:w="414" w:type="pct"/>
            <w:vAlign w:val="center"/>
          </w:tcPr>
          <w:p w14:paraId="07E6CD11">
            <w:pPr>
              <w:jc w:val="center"/>
              <w:rPr>
                <w:sz w:val="22"/>
                <w:szCs w:val="22"/>
              </w:rPr>
            </w:pPr>
            <w:r>
              <w:rPr>
                <w:rFonts w:hint="eastAsia"/>
                <w:sz w:val="22"/>
                <w:szCs w:val="22"/>
                <w:lang w:val="en-US" w:eastAsia="zh-CN"/>
              </w:rPr>
              <w:t>达标</w:t>
            </w:r>
          </w:p>
        </w:tc>
        <w:tc>
          <w:tcPr>
            <w:tcW w:w="414" w:type="pct"/>
            <w:vAlign w:val="center"/>
          </w:tcPr>
          <w:p w14:paraId="29CA8059">
            <w:pPr>
              <w:jc w:val="center"/>
              <w:rPr>
                <w:sz w:val="22"/>
                <w:szCs w:val="22"/>
              </w:rPr>
            </w:pPr>
            <w:r>
              <w:rPr>
                <w:rFonts w:hint="eastAsia"/>
                <w:sz w:val="22"/>
                <w:szCs w:val="22"/>
                <w:lang w:val="en-US" w:eastAsia="zh-CN"/>
              </w:rPr>
              <w:t>达标</w:t>
            </w:r>
          </w:p>
        </w:tc>
        <w:tc>
          <w:tcPr>
            <w:tcW w:w="414" w:type="pct"/>
            <w:vAlign w:val="center"/>
          </w:tcPr>
          <w:p w14:paraId="53980AEE">
            <w:pPr>
              <w:jc w:val="center"/>
              <w:rPr>
                <w:sz w:val="22"/>
                <w:szCs w:val="22"/>
              </w:rPr>
            </w:pPr>
            <w:r>
              <w:rPr>
                <w:rFonts w:hint="eastAsia"/>
                <w:sz w:val="22"/>
                <w:szCs w:val="22"/>
                <w:lang w:val="en-US" w:eastAsia="zh-CN"/>
              </w:rPr>
              <w:t>达标</w:t>
            </w:r>
          </w:p>
        </w:tc>
        <w:tc>
          <w:tcPr>
            <w:tcW w:w="414" w:type="pct"/>
            <w:vAlign w:val="center"/>
          </w:tcPr>
          <w:p w14:paraId="44540B10">
            <w:pPr>
              <w:jc w:val="center"/>
              <w:rPr>
                <w:sz w:val="22"/>
                <w:szCs w:val="22"/>
              </w:rPr>
            </w:pPr>
            <w:r>
              <w:rPr>
                <w:rFonts w:hint="eastAsia"/>
                <w:sz w:val="22"/>
                <w:szCs w:val="22"/>
                <w:lang w:val="en-US" w:eastAsia="zh-CN"/>
              </w:rPr>
              <w:t>达标</w:t>
            </w:r>
          </w:p>
        </w:tc>
        <w:tc>
          <w:tcPr>
            <w:tcW w:w="414" w:type="pct"/>
            <w:vAlign w:val="center"/>
          </w:tcPr>
          <w:p w14:paraId="4616C26A">
            <w:pPr>
              <w:jc w:val="center"/>
              <w:rPr>
                <w:sz w:val="22"/>
                <w:szCs w:val="22"/>
              </w:rPr>
            </w:pPr>
            <w:r>
              <w:rPr>
                <w:rFonts w:hint="eastAsia"/>
                <w:sz w:val="22"/>
                <w:szCs w:val="22"/>
                <w:lang w:val="en-US" w:eastAsia="zh-CN"/>
              </w:rPr>
              <w:t>达标</w:t>
            </w:r>
          </w:p>
        </w:tc>
        <w:tc>
          <w:tcPr>
            <w:tcW w:w="414" w:type="pct"/>
            <w:vAlign w:val="center"/>
          </w:tcPr>
          <w:p w14:paraId="14F3E117">
            <w:pPr>
              <w:jc w:val="center"/>
              <w:rPr>
                <w:sz w:val="22"/>
                <w:szCs w:val="22"/>
              </w:rPr>
            </w:pPr>
            <w:r>
              <w:rPr>
                <w:rFonts w:hint="eastAsia"/>
                <w:sz w:val="22"/>
                <w:szCs w:val="22"/>
                <w:lang w:val="en-US" w:eastAsia="zh-CN"/>
              </w:rPr>
              <w:t>达标</w:t>
            </w:r>
          </w:p>
        </w:tc>
        <w:tc>
          <w:tcPr>
            <w:tcW w:w="414" w:type="pct"/>
            <w:vAlign w:val="center"/>
          </w:tcPr>
          <w:p w14:paraId="225BBAF2">
            <w:pPr>
              <w:jc w:val="center"/>
              <w:rPr>
                <w:sz w:val="22"/>
                <w:szCs w:val="22"/>
              </w:rPr>
            </w:pPr>
            <w:r>
              <w:rPr>
                <w:rFonts w:hint="eastAsia"/>
                <w:sz w:val="22"/>
                <w:szCs w:val="22"/>
                <w:lang w:val="en-US" w:eastAsia="zh-CN"/>
              </w:rPr>
              <w:t>达标</w:t>
            </w:r>
          </w:p>
        </w:tc>
        <w:tc>
          <w:tcPr>
            <w:tcW w:w="386" w:type="pct"/>
            <w:vAlign w:val="center"/>
          </w:tcPr>
          <w:p w14:paraId="4DB3B40A">
            <w:pPr>
              <w:jc w:val="center"/>
              <w:rPr>
                <w:sz w:val="22"/>
                <w:szCs w:val="22"/>
              </w:rPr>
            </w:pPr>
            <w:r>
              <w:rPr>
                <w:rFonts w:hint="eastAsia"/>
                <w:sz w:val="22"/>
                <w:szCs w:val="22"/>
                <w:lang w:val="en-US" w:eastAsia="zh-CN"/>
              </w:rPr>
              <w:t>达标</w:t>
            </w:r>
          </w:p>
        </w:tc>
        <w:tc>
          <w:tcPr>
            <w:tcW w:w="386" w:type="pct"/>
            <w:vAlign w:val="center"/>
          </w:tcPr>
          <w:p w14:paraId="002F1F89">
            <w:pPr>
              <w:jc w:val="center"/>
              <w:rPr>
                <w:sz w:val="22"/>
                <w:szCs w:val="22"/>
              </w:rPr>
            </w:pPr>
            <w:r>
              <w:rPr>
                <w:rFonts w:hint="eastAsia"/>
                <w:sz w:val="22"/>
                <w:szCs w:val="22"/>
                <w:lang w:val="en-US" w:eastAsia="zh-CN"/>
              </w:rPr>
              <w:t>达标</w:t>
            </w:r>
          </w:p>
        </w:tc>
      </w:tr>
    </w:tbl>
    <w:p w14:paraId="61DC43A9">
      <w:pPr>
        <w:ind w:firstLine="420" w:firstLineChars="200"/>
        <w:rPr>
          <w:rFonts w:hint="eastAsia"/>
          <w:sz w:val="21"/>
          <w:szCs w:val="21"/>
        </w:rPr>
      </w:pPr>
      <w:r>
        <w:rPr>
          <w:sz w:val="21"/>
          <w:szCs w:val="21"/>
        </w:rPr>
        <w:t>注</w:t>
      </w:r>
      <w:r>
        <w:rPr>
          <w:rFonts w:hint="eastAsia"/>
          <w:sz w:val="21"/>
          <w:szCs w:val="21"/>
        </w:rPr>
        <w:t>：①</w:t>
      </w:r>
      <w:r>
        <w:rPr>
          <w:sz w:val="21"/>
          <w:szCs w:val="21"/>
        </w:rPr>
        <w:t xml:space="preserve"> “L”</w:t>
      </w:r>
      <w:r>
        <w:rPr>
          <w:rFonts w:hint="eastAsia"/>
          <w:sz w:val="21"/>
          <w:szCs w:val="21"/>
        </w:rPr>
        <w:t>表示检测值小于方法检出限；②*石油类参照执行《地表水环境质量标准》（GB3838-2002）</w:t>
      </w:r>
      <w:r>
        <w:rPr>
          <w:sz w:val="21"/>
          <w:szCs w:val="21"/>
        </w:rPr>
        <w:t>Ⅲ</w:t>
      </w:r>
      <w:r>
        <w:rPr>
          <w:rFonts w:hint="eastAsia"/>
          <w:sz w:val="21"/>
          <w:szCs w:val="21"/>
        </w:rPr>
        <w:t>类标准。</w:t>
      </w:r>
    </w:p>
    <w:p w14:paraId="3A232FED">
      <w:pPr>
        <w:pStyle w:val="7"/>
        <w:keepNext w:val="0"/>
        <w:keepLines w:val="0"/>
        <w:pageBreakBefore w:val="0"/>
        <w:widowControl/>
        <w:kinsoku/>
        <w:wordWrap/>
        <w:overflowPunct/>
        <w:topLinePunct w:val="0"/>
        <w:autoSpaceDE/>
        <w:autoSpaceDN/>
        <w:bidi w:val="0"/>
        <w:adjustRightInd/>
        <w:snapToGrid w:val="0"/>
        <w:spacing w:before="0" w:after="0" w:line="460" w:lineRule="exact"/>
        <w:ind w:right="0" w:firstLine="520" w:firstLineChars="200"/>
        <w:textAlignment w:val="auto"/>
        <w:rPr>
          <w:rFonts w:hint="eastAsia"/>
          <w:sz w:val="26"/>
          <w:szCs w:val="26"/>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r>
        <w:rPr>
          <w:rFonts w:hint="eastAsia"/>
          <w:sz w:val="26"/>
          <w:szCs w:val="26"/>
        </w:rPr>
        <w:t>由表</w:t>
      </w:r>
      <w:r>
        <w:rPr>
          <w:sz w:val="26"/>
          <w:szCs w:val="26"/>
        </w:rPr>
        <w:t>3.1</w:t>
      </w:r>
      <w:r>
        <w:rPr>
          <w:rFonts w:hint="eastAsia"/>
          <w:sz w:val="26"/>
          <w:szCs w:val="26"/>
        </w:rPr>
        <w:t>-</w:t>
      </w:r>
      <w:r>
        <w:rPr>
          <w:sz w:val="26"/>
          <w:szCs w:val="26"/>
        </w:rPr>
        <w:t>5</w:t>
      </w:r>
      <w:r>
        <w:rPr>
          <w:rFonts w:hint="eastAsia"/>
          <w:sz w:val="26"/>
          <w:szCs w:val="26"/>
        </w:rPr>
        <w:t>和表</w:t>
      </w:r>
      <w:r>
        <w:rPr>
          <w:sz w:val="26"/>
          <w:szCs w:val="26"/>
        </w:rPr>
        <w:t>3.1</w:t>
      </w:r>
      <w:r>
        <w:rPr>
          <w:rFonts w:hint="eastAsia"/>
          <w:sz w:val="26"/>
          <w:szCs w:val="26"/>
        </w:rPr>
        <w:t>-</w:t>
      </w:r>
      <w:r>
        <w:rPr>
          <w:sz w:val="26"/>
          <w:szCs w:val="26"/>
        </w:rPr>
        <w:t>6</w:t>
      </w:r>
      <w:r>
        <w:rPr>
          <w:rFonts w:hint="eastAsia"/>
          <w:sz w:val="26"/>
          <w:szCs w:val="26"/>
        </w:rPr>
        <w:t>可知，本项目所在各指标监测值均满足《地下水质量标准》（</w:t>
      </w:r>
      <w:r>
        <w:rPr>
          <w:sz w:val="26"/>
          <w:szCs w:val="26"/>
        </w:rPr>
        <w:t>GB/T14848-2017</w:t>
      </w:r>
      <w:r>
        <w:rPr>
          <w:rFonts w:hint="eastAsia"/>
          <w:sz w:val="26"/>
          <w:szCs w:val="26"/>
        </w:rPr>
        <w:t>）I</w:t>
      </w:r>
      <w:r>
        <w:rPr>
          <w:sz w:val="26"/>
          <w:szCs w:val="26"/>
        </w:rPr>
        <w:t>II</w:t>
      </w:r>
      <w:r>
        <w:rPr>
          <w:rFonts w:hint="eastAsia"/>
          <w:sz w:val="26"/>
          <w:szCs w:val="26"/>
        </w:rPr>
        <w:t>类标准值，监测结果说明该区域地下水环境质量较好。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270"/>
      </w:tblGrid>
      <w:tr w14:paraId="264B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2F356A4">
            <w:pPr>
              <w:adjustRightInd w:val="0"/>
              <w:snapToGrid w:val="0"/>
              <w:jc w:val="center"/>
              <w:rPr>
                <w:kern w:val="0"/>
                <w:sz w:val="26"/>
                <w:szCs w:val="26"/>
              </w:rPr>
            </w:pPr>
            <w:r>
              <w:rPr>
                <w:kern w:val="0"/>
                <w:sz w:val="26"/>
                <w:szCs w:val="26"/>
              </w:rPr>
              <w:t>区域</w:t>
            </w:r>
          </w:p>
          <w:p w14:paraId="3A284C7A">
            <w:pPr>
              <w:adjustRightInd w:val="0"/>
              <w:snapToGrid w:val="0"/>
              <w:jc w:val="center"/>
              <w:rPr>
                <w:kern w:val="0"/>
                <w:sz w:val="26"/>
                <w:szCs w:val="26"/>
              </w:rPr>
            </w:pPr>
            <w:r>
              <w:rPr>
                <w:kern w:val="0"/>
                <w:sz w:val="26"/>
                <w:szCs w:val="26"/>
              </w:rPr>
              <w:t>环境</w:t>
            </w:r>
          </w:p>
          <w:p w14:paraId="4973658D">
            <w:pPr>
              <w:adjustRightInd w:val="0"/>
              <w:snapToGrid w:val="0"/>
              <w:jc w:val="center"/>
              <w:rPr>
                <w:kern w:val="0"/>
                <w:sz w:val="26"/>
                <w:szCs w:val="26"/>
              </w:rPr>
            </w:pPr>
            <w:r>
              <w:rPr>
                <w:kern w:val="0"/>
                <w:sz w:val="26"/>
                <w:szCs w:val="26"/>
              </w:rPr>
              <w:t>质量</w:t>
            </w:r>
          </w:p>
          <w:p w14:paraId="45EACD5F">
            <w:pPr>
              <w:jc w:val="center"/>
              <w:outlineLvl w:val="0"/>
              <w:rPr>
                <w:rFonts w:eastAsia="黑体"/>
                <w:snapToGrid w:val="0"/>
                <w:sz w:val="36"/>
                <w:szCs w:val="36"/>
                <w:vertAlign w:val="baseline"/>
              </w:rPr>
            </w:pPr>
            <w:r>
              <w:rPr>
                <w:kern w:val="0"/>
                <w:sz w:val="26"/>
                <w:szCs w:val="26"/>
              </w:rPr>
              <w:t>现状</w:t>
            </w:r>
          </w:p>
        </w:tc>
        <w:tc>
          <w:tcPr>
            <w:tcW w:w="8270" w:type="dxa"/>
          </w:tcPr>
          <w:p w14:paraId="3D19AA82">
            <w:pPr>
              <w:adjustRightInd w:val="0"/>
              <w:snapToGrid w:val="0"/>
              <w:spacing w:line="460" w:lineRule="exact"/>
              <w:jc w:val="left"/>
              <w:rPr>
                <w:b/>
                <w:sz w:val="26"/>
                <w:szCs w:val="26"/>
              </w:rPr>
            </w:pPr>
            <w:r>
              <w:rPr>
                <w:b/>
                <w:sz w:val="26"/>
                <w:szCs w:val="26"/>
              </w:rPr>
              <w:t>3.1.4声环境</w:t>
            </w:r>
          </w:p>
          <w:p w14:paraId="216BA109">
            <w:pPr>
              <w:adjustRightInd w:val="0"/>
              <w:snapToGrid w:val="0"/>
              <w:spacing w:line="460" w:lineRule="exact"/>
              <w:ind w:firstLine="520" w:firstLineChars="200"/>
              <w:rPr>
                <w:color w:val="auto"/>
                <w:sz w:val="26"/>
                <w:szCs w:val="26"/>
              </w:rPr>
            </w:pPr>
            <w:r>
              <w:rPr>
                <w:rFonts w:hint="eastAsia"/>
                <w:sz w:val="26"/>
                <w:szCs w:val="26"/>
              </w:rPr>
              <w:t>本项目位</w:t>
            </w:r>
            <w:r>
              <w:rPr>
                <w:rFonts w:hint="eastAsia"/>
                <w:color w:val="auto"/>
                <w:sz w:val="26"/>
                <w:szCs w:val="26"/>
              </w:rPr>
              <w:t>于重庆市九龙坡区华福大道北段400号，评价委托了重庆港庆测控技术有限公司于2</w:t>
            </w:r>
            <w:r>
              <w:rPr>
                <w:color w:val="auto"/>
                <w:sz w:val="26"/>
                <w:szCs w:val="26"/>
              </w:rPr>
              <w:t>02</w:t>
            </w:r>
            <w:r>
              <w:rPr>
                <w:rFonts w:hint="eastAsia"/>
                <w:color w:val="auto"/>
                <w:sz w:val="26"/>
                <w:szCs w:val="26"/>
                <w:lang w:val="en-US" w:eastAsia="zh-CN"/>
              </w:rPr>
              <w:t>5</w:t>
            </w:r>
            <w:r>
              <w:rPr>
                <w:rFonts w:hint="eastAsia"/>
                <w:color w:val="auto"/>
                <w:sz w:val="26"/>
                <w:szCs w:val="26"/>
              </w:rPr>
              <w:t>年</w:t>
            </w:r>
            <w:r>
              <w:rPr>
                <w:rFonts w:hint="eastAsia"/>
                <w:color w:val="auto"/>
                <w:sz w:val="26"/>
                <w:szCs w:val="26"/>
                <w:lang w:val="en-US" w:eastAsia="zh-CN"/>
              </w:rPr>
              <w:t>9</w:t>
            </w:r>
            <w:r>
              <w:rPr>
                <w:rFonts w:hint="eastAsia"/>
                <w:color w:val="auto"/>
                <w:sz w:val="26"/>
                <w:szCs w:val="26"/>
              </w:rPr>
              <w:t>月1</w:t>
            </w:r>
            <w:r>
              <w:rPr>
                <w:rFonts w:hint="eastAsia"/>
                <w:color w:val="auto"/>
                <w:sz w:val="26"/>
                <w:szCs w:val="26"/>
                <w:lang w:val="en-US" w:eastAsia="zh-CN"/>
              </w:rPr>
              <w:t>5</w:t>
            </w:r>
            <w:r>
              <w:rPr>
                <w:rFonts w:hint="eastAsia"/>
                <w:color w:val="auto"/>
                <w:sz w:val="26"/>
                <w:szCs w:val="26"/>
              </w:rPr>
              <w:t>日对</w:t>
            </w:r>
            <w:r>
              <w:rPr>
                <w:rFonts w:hint="eastAsia"/>
                <w:sz w:val="26"/>
                <w:szCs w:val="26"/>
              </w:rPr>
              <w:t>项目所在地的声环境现状进行实测，监测期间，加油站为正常运行状态。</w:t>
            </w:r>
            <w:r>
              <w:rPr>
                <w:rFonts w:hint="eastAsia"/>
                <w:color w:val="auto"/>
                <w:sz w:val="26"/>
                <w:szCs w:val="26"/>
              </w:rPr>
              <w:t>监测报告编号为港庆（监）字〔2025〕第0</w:t>
            </w:r>
            <w:r>
              <w:rPr>
                <w:rFonts w:hint="eastAsia"/>
                <w:color w:val="auto"/>
                <w:sz w:val="26"/>
                <w:szCs w:val="26"/>
                <w:lang w:val="en-US" w:eastAsia="zh-CN"/>
              </w:rPr>
              <w:t>9017</w:t>
            </w:r>
            <w:r>
              <w:rPr>
                <w:rFonts w:hint="eastAsia"/>
                <w:color w:val="auto"/>
                <w:sz w:val="26"/>
                <w:szCs w:val="26"/>
              </w:rPr>
              <w:t>-HP号。</w:t>
            </w:r>
          </w:p>
          <w:p w14:paraId="206DC600">
            <w:pPr>
              <w:pStyle w:val="64"/>
            </w:pPr>
            <w:r>
              <w:t>（1）监测数据基本情况</w:t>
            </w:r>
          </w:p>
          <w:p w14:paraId="616ED4F2">
            <w:pPr>
              <w:pStyle w:val="64"/>
            </w:pPr>
            <w:r>
              <w:t>监测项目：昼间</w:t>
            </w:r>
            <w:r>
              <w:rPr>
                <w:rFonts w:hint="eastAsia"/>
              </w:rPr>
              <w:t>、</w:t>
            </w:r>
            <w:r>
              <w:t>夜间等效声级</w:t>
            </w:r>
            <w:r>
              <w:rPr>
                <w:rFonts w:hint="eastAsia"/>
              </w:rPr>
              <w:t>；</w:t>
            </w:r>
          </w:p>
          <w:p w14:paraId="3A7779C1">
            <w:pPr>
              <w:pStyle w:val="64"/>
            </w:pPr>
            <w:r>
              <w:t>监测点位</w:t>
            </w:r>
            <w:r>
              <w:rPr>
                <w:color w:val="auto"/>
              </w:rPr>
              <w:t>：</w:t>
            </w:r>
            <w:r>
              <w:rPr>
                <w:rFonts w:hint="eastAsia"/>
                <w:color w:val="auto"/>
              </w:rPr>
              <w:t>声环境现状质量监测共设置</w:t>
            </w:r>
            <w:r>
              <w:rPr>
                <w:rFonts w:hint="eastAsia"/>
                <w:color w:val="auto"/>
                <w:lang w:val="en-US" w:eastAsia="zh-CN"/>
              </w:rPr>
              <w:t>2</w:t>
            </w:r>
            <w:r>
              <w:rPr>
                <w:rFonts w:hint="eastAsia"/>
                <w:color w:val="auto"/>
              </w:rPr>
              <w:t>个监测点位，分别位于加油站东侧</w:t>
            </w:r>
            <w:r>
              <w:rPr>
                <w:rFonts w:hint="eastAsia"/>
                <w:color w:val="auto"/>
                <w:lang w:val="en-US" w:eastAsia="zh-CN"/>
              </w:rPr>
              <w:t>邻近华福大道</w:t>
            </w:r>
            <w:r>
              <w:rPr>
                <w:rFonts w:hint="eastAsia"/>
                <w:color w:val="auto"/>
              </w:rPr>
              <w:t>处、加油站</w:t>
            </w:r>
            <w:r>
              <w:rPr>
                <w:rFonts w:hint="eastAsia"/>
                <w:color w:val="auto"/>
                <w:lang w:val="en-US" w:eastAsia="zh-CN"/>
              </w:rPr>
              <w:t>西南</w:t>
            </w:r>
            <w:r>
              <w:rPr>
                <w:rFonts w:hint="eastAsia"/>
                <w:color w:val="auto"/>
              </w:rPr>
              <w:t>侧</w:t>
            </w:r>
            <w:r>
              <w:rPr>
                <w:rFonts w:hint="eastAsia"/>
                <w:color w:val="auto"/>
                <w:lang w:val="en-US" w:eastAsia="zh-CN"/>
              </w:rPr>
              <w:t>场界</w:t>
            </w:r>
            <w:r>
              <w:rPr>
                <w:rFonts w:hint="eastAsia"/>
                <w:color w:val="auto"/>
              </w:rPr>
              <w:t>处。</w:t>
            </w:r>
          </w:p>
          <w:p w14:paraId="7DA47264">
            <w:pPr>
              <w:pStyle w:val="64"/>
              <w:rPr>
                <w:color w:val="FF0000"/>
              </w:rPr>
            </w:pPr>
            <w:r>
              <w:t>监测时间：</w:t>
            </w:r>
            <w:r>
              <w:rPr>
                <w:color w:val="auto"/>
              </w:rPr>
              <w:t>20</w:t>
            </w:r>
            <w:r>
              <w:rPr>
                <w:rFonts w:hint="eastAsia"/>
                <w:color w:val="auto"/>
              </w:rPr>
              <w:t>2</w:t>
            </w:r>
            <w:r>
              <w:rPr>
                <w:rFonts w:hint="eastAsia"/>
                <w:color w:val="auto"/>
                <w:lang w:val="en-US" w:eastAsia="zh-CN"/>
              </w:rPr>
              <w:t>5</w:t>
            </w:r>
            <w:r>
              <w:rPr>
                <w:rFonts w:hint="eastAsia"/>
                <w:color w:val="auto"/>
              </w:rPr>
              <w:t>年</w:t>
            </w:r>
            <w:r>
              <w:rPr>
                <w:rFonts w:hint="eastAsia"/>
                <w:color w:val="auto"/>
                <w:lang w:val="en-US" w:eastAsia="zh-CN"/>
              </w:rPr>
              <w:t>9</w:t>
            </w:r>
            <w:r>
              <w:rPr>
                <w:rFonts w:hint="eastAsia"/>
                <w:color w:val="auto"/>
              </w:rPr>
              <w:t>月1</w:t>
            </w:r>
            <w:r>
              <w:rPr>
                <w:rFonts w:hint="eastAsia"/>
                <w:color w:val="auto"/>
                <w:lang w:val="en-US" w:eastAsia="zh-CN"/>
              </w:rPr>
              <w:t>5</w:t>
            </w:r>
            <w:r>
              <w:rPr>
                <w:rFonts w:hint="eastAsia"/>
                <w:color w:val="auto"/>
              </w:rPr>
              <w:t>日；</w:t>
            </w:r>
            <w:r>
              <w:rPr>
                <w:color w:val="FF0000"/>
              </w:rPr>
              <w:t xml:space="preserve"> </w:t>
            </w:r>
          </w:p>
          <w:p w14:paraId="4D266B5A">
            <w:pPr>
              <w:pStyle w:val="64"/>
            </w:pPr>
            <w:r>
              <w:t>监测频率：连续监测</w:t>
            </w:r>
            <w:r>
              <w:rPr>
                <w:rFonts w:hint="eastAsia"/>
                <w:lang w:val="en-US" w:eastAsia="zh-CN"/>
              </w:rPr>
              <w:t>一</w:t>
            </w:r>
            <w:r>
              <w:t>天，昼、夜各一次；</w:t>
            </w:r>
          </w:p>
          <w:p w14:paraId="4D039EE7">
            <w:pPr>
              <w:pStyle w:val="64"/>
            </w:pPr>
            <w:r>
              <w:t>监测分析方法：按照《声环境质量标准》（GB3096</w:t>
            </w:r>
            <w:r>
              <w:rPr>
                <w:rFonts w:hint="eastAsia"/>
              </w:rPr>
              <w:t>-</w:t>
            </w:r>
            <w:r>
              <w:t>2008）中规定的方法进行。</w:t>
            </w:r>
          </w:p>
          <w:p w14:paraId="2C72D158">
            <w:pPr>
              <w:pStyle w:val="64"/>
            </w:pPr>
            <w:r>
              <w:t>（2）监测结果及评价</w:t>
            </w:r>
          </w:p>
          <w:p w14:paraId="0BECC5BD">
            <w:pPr>
              <w:pStyle w:val="64"/>
            </w:pPr>
            <w:r>
              <w:t>噪声监测统计及评价结果见表3.1-7，监测点位见</w:t>
            </w:r>
            <w:r>
              <w:rPr>
                <w:b/>
                <w:u w:val="single"/>
              </w:rPr>
              <w:t>附图</w:t>
            </w:r>
            <w:r>
              <w:t>。</w:t>
            </w:r>
          </w:p>
          <w:p w14:paraId="5BD8D91C">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rPr>
            </w:pPr>
            <w:r>
              <w:rPr>
                <w:b w:val="0"/>
                <w:bCs/>
                <w:color w:val="auto"/>
                <w:sz w:val="22"/>
                <w:szCs w:val="21"/>
              </w:rPr>
              <w:t>表3.1-7</w:t>
            </w:r>
            <w:r>
              <w:rPr>
                <w:rFonts w:hint="eastAsia"/>
                <w:b w:val="0"/>
                <w:bCs/>
                <w:color w:val="auto"/>
                <w:sz w:val="22"/>
                <w:szCs w:val="21"/>
                <w:lang w:val="en-US" w:eastAsia="zh-CN"/>
              </w:rPr>
              <w:t xml:space="preserve">  </w:t>
            </w:r>
            <w:r>
              <w:rPr>
                <w:b w:val="0"/>
                <w:bCs/>
                <w:color w:val="auto"/>
                <w:sz w:val="22"/>
                <w:szCs w:val="21"/>
              </w:rPr>
              <w:t>噪声现状评价结果</w:t>
            </w:r>
            <w:r>
              <w:rPr>
                <w:rFonts w:hint="eastAsia"/>
                <w:b w:val="0"/>
                <w:bCs/>
                <w:color w:val="auto"/>
                <w:sz w:val="22"/>
                <w:szCs w:val="21"/>
                <w:lang w:val="en-US" w:eastAsia="zh-CN"/>
              </w:rPr>
              <w:t xml:space="preserve">  </w:t>
            </w:r>
            <w:r>
              <w:rPr>
                <w:b w:val="0"/>
                <w:bCs/>
                <w:color w:val="auto"/>
                <w:sz w:val="22"/>
                <w:szCs w:val="21"/>
              </w:rPr>
              <w:t>单位：dB（A）</w:t>
            </w:r>
          </w:p>
          <w:tbl>
            <w:tblPr>
              <w:tblStyle w:val="17"/>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726"/>
              <w:gridCol w:w="1442"/>
              <w:gridCol w:w="1149"/>
              <w:gridCol w:w="1148"/>
              <w:gridCol w:w="1148"/>
              <w:gridCol w:w="1149"/>
            </w:tblGrid>
            <w:tr w14:paraId="55CE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E184EB4">
                  <w:pPr>
                    <w:pStyle w:val="71"/>
                    <w:rPr>
                      <w:color w:val="auto"/>
                    </w:rPr>
                  </w:pPr>
                  <w:r>
                    <w:rPr>
                      <w:color w:val="auto"/>
                    </w:rPr>
                    <w:t>监测点</w:t>
                  </w:r>
                </w:p>
              </w:tc>
              <w:tc>
                <w:tcPr>
                  <w:tcW w:w="709" w:type="dxa"/>
                  <w:vAlign w:val="center"/>
                </w:tcPr>
                <w:p w14:paraId="2BB6458C">
                  <w:pPr>
                    <w:pStyle w:val="71"/>
                    <w:rPr>
                      <w:color w:val="auto"/>
                    </w:rPr>
                  </w:pPr>
                  <w:r>
                    <w:rPr>
                      <w:rFonts w:hint="eastAsia"/>
                      <w:color w:val="auto"/>
                    </w:rPr>
                    <w:t>方位</w:t>
                  </w:r>
                </w:p>
              </w:tc>
              <w:tc>
                <w:tcPr>
                  <w:tcW w:w="1434" w:type="dxa"/>
                  <w:vAlign w:val="center"/>
                </w:tcPr>
                <w:p w14:paraId="097CEEAF">
                  <w:pPr>
                    <w:pStyle w:val="71"/>
                    <w:rPr>
                      <w:color w:val="auto"/>
                    </w:rPr>
                  </w:pPr>
                  <w:r>
                    <w:rPr>
                      <w:rFonts w:hint="eastAsia"/>
                      <w:color w:val="auto"/>
                    </w:rPr>
                    <w:t>与本项目厂界最近距离</w:t>
                  </w:r>
                </w:p>
              </w:tc>
              <w:tc>
                <w:tcPr>
                  <w:tcW w:w="1138" w:type="dxa"/>
                  <w:vAlign w:val="center"/>
                </w:tcPr>
                <w:p w14:paraId="1AAA5B21">
                  <w:pPr>
                    <w:pStyle w:val="71"/>
                    <w:rPr>
                      <w:color w:val="auto"/>
                    </w:rPr>
                  </w:pPr>
                  <w:r>
                    <w:rPr>
                      <w:color w:val="auto"/>
                    </w:rPr>
                    <w:t>监测时间</w:t>
                  </w:r>
                </w:p>
              </w:tc>
              <w:tc>
                <w:tcPr>
                  <w:tcW w:w="1137" w:type="dxa"/>
                  <w:vAlign w:val="center"/>
                </w:tcPr>
                <w:p w14:paraId="67CA135A">
                  <w:pPr>
                    <w:pStyle w:val="71"/>
                    <w:rPr>
                      <w:color w:val="auto"/>
                    </w:rPr>
                  </w:pPr>
                  <w:r>
                    <w:rPr>
                      <w:color w:val="auto"/>
                    </w:rPr>
                    <w:t>监测结果</w:t>
                  </w:r>
                </w:p>
              </w:tc>
              <w:tc>
                <w:tcPr>
                  <w:tcW w:w="1137" w:type="dxa"/>
                  <w:vAlign w:val="center"/>
                </w:tcPr>
                <w:p w14:paraId="4671EFEC">
                  <w:pPr>
                    <w:pStyle w:val="71"/>
                    <w:rPr>
                      <w:color w:val="auto"/>
                    </w:rPr>
                  </w:pPr>
                  <w:r>
                    <w:rPr>
                      <w:color w:val="auto"/>
                    </w:rPr>
                    <w:t>标准值</w:t>
                  </w:r>
                </w:p>
              </w:tc>
              <w:tc>
                <w:tcPr>
                  <w:tcW w:w="1138" w:type="dxa"/>
                  <w:vAlign w:val="center"/>
                </w:tcPr>
                <w:p w14:paraId="4CBA8706">
                  <w:pPr>
                    <w:pStyle w:val="71"/>
                    <w:rPr>
                      <w:color w:val="auto"/>
                    </w:rPr>
                  </w:pPr>
                  <w:r>
                    <w:rPr>
                      <w:color w:val="auto"/>
                    </w:rPr>
                    <w:t>最大</w:t>
                  </w:r>
                </w:p>
                <w:p w14:paraId="452924FD">
                  <w:pPr>
                    <w:pStyle w:val="71"/>
                    <w:rPr>
                      <w:color w:val="auto"/>
                    </w:rPr>
                  </w:pPr>
                  <w:r>
                    <w:rPr>
                      <w:color w:val="auto"/>
                    </w:rPr>
                    <w:t>超标值</w:t>
                  </w:r>
                </w:p>
              </w:tc>
            </w:tr>
            <w:tr w14:paraId="7206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06696AA5">
                  <w:pPr>
                    <w:pStyle w:val="71"/>
                    <w:rPr>
                      <w:rFonts w:hint="default" w:eastAsia="宋体"/>
                      <w:color w:val="auto"/>
                      <w:lang w:val="en-US" w:eastAsia="zh-CN"/>
                    </w:rPr>
                  </w:pPr>
                  <w:r>
                    <w:rPr>
                      <w:rFonts w:hint="eastAsia"/>
                      <w:color w:val="auto"/>
                    </w:rPr>
                    <w:t>N</w:t>
                  </w:r>
                  <w:r>
                    <w:rPr>
                      <w:color w:val="auto"/>
                    </w:rPr>
                    <w:t>1</w:t>
                  </w:r>
                  <w:r>
                    <w:rPr>
                      <w:rFonts w:hint="eastAsia"/>
                      <w:color w:val="auto"/>
                      <w:lang w:val="en-US" w:eastAsia="zh-CN"/>
                    </w:rPr>
                    <w:t>华福大道处</w:t>
                  </w:r>
                </w:p>
              </w:tc>
              <w:tc>
                <w:tcPr>
                  <w:tcW w:w="709" w:type="dxa"/>
                  <w:vMerge w:val="restart"/>
                  <w:vAlign w:val="center"/>
                </w:tcPr>
                <w:p w14:paraId="3B4FEA00">
                  <w:pPr>
                    <w:pStyle w:val="71"/>
                    <w:rPr>
                      <w:color w:val="auto"/>
                    </w:rPr>
                  </w:pPr>
                  <w:r>
                    <w:rPr>
                      <w:rFonts w:hint="eastAsia"/>
                      <w:color w:val="auto"/>
                    </w:rPr>
                    <w:t>E</w:t>
                  </w:r>
                </w:p>
              </w:tc>
              <w:tc>
                <w:tcPr>
                  <w:tcW w:w="1434" w:type="dxa"/>
                  <w:vMerge w:val="restart"/>
                  <w:vAlign w:val="center"/>
                </w:tcPr>
                <w:p w14:paraId="069EAD86">
                  <w:pPr>
                    <w:pStyle w:val="71"/>
                    <w:rPr>
                      <w:color w:val="auto"/>
                    </w:rPr>
                  </w:pPr>
                  <w:r>
                    <w:rPr>
                      <w:rFonts w:hint="eastAsia"/>
                      <w:color w:val="auto"/>
                      <w:lang w:val="en-US" w:eastAsia="zh-CN"/>
                    </w:rPr>
                    <w:t>1</w:t>
                  </w:r>
                  <w:r>
                    <w:rPr>
                      <w:rFonts w:hint="eastAsia"/>
                      <w:color w:val="auto"/>
                    </w:rPr>
                    <w:t>m</w:t>
                  </w:r>
                </w:p>
              </w:tc>
              <w:tc>
                <w:tcPr>
                  <w:tcW w:w="1138" w:type="dxa"/>
                  <w:vAlign w:val="center"/>
                </w:tcPr>
                <w:p w14:paraId="14C18AA8">
                  <w:pPr>
                    <w:pStyle w:val="71"/>
                    <w:rPr>
                      <w:color w:val="auto"/>
                    </w:rPr>
                  </w:pPr>
                  <w:r>
                    <w:rPr>
                      <w:color w:val="auto"/>
                    </w:rPr>
                    <w:t>昼间</w:t>
                  </w:r>
                </w:p>
              </w:tc>
              <w:tc>
                <w:tcPr>
                  <w:tcW w:w="1137" w:type="dxa"/>
                  <w:vAlign w:val="center"/>
                </w:tcPr>
                <w:p w14:paraId="24C127A2">
                  <w:pPr>
                    <w:pStyle w:val="71"/>
                    <w:rPr>
                      <w:rFonts w:hint="default" w:eastAsia="宋体"/>
                      <w:color w:val="auto"/>
                      <w:lang w:val="en-US" w:eastAsia="zh-CN"/>
                    </w:rPr>
                  </w:pPr>
                  <w:r>
                    <w:rPr>
                      <w:rFonts w:hint="eastAsia"/>
                      <w:color w:val="auto"/>
                      <w:lang w:val="en-US" w:eastAsia="zh-CN"/>
                    </w:rPr>
                    <w:t>66</w:t>
                  </w:r>
                </w:p>
              </w:tc>
              <w:tc>
                <w:tcPr>
                  <w:tcW w:w="1137" w:type="dxa"/>
                  <w:vAlign w:val="center"/>
                </w:tcPr>
                <w:p w14:paraId="481AD131">
                  <w:pPr>
                    <w:pStyle w:val="71"/>
                    <w:rPr>
                      <w:rFonts w:hint="default" w:eastAsia="宋体"/>
                      <w:color w:val="auto"/>
                      <w:lang w:val="en-US" w:eastAsia="zh-CN"/>
                    </w:rPr>
                  </w:pPr>
                  <w:r>
                    <w:rPr>
                      <w:rFonts w:hint="eastAsia"/>
                      <w:color w:val="auto"/>
                      <w:lang w:val="en-US" w:eastAsia="zh-CN"/>
                    </w:rPr>
                    <w:t>70</w:t>
                  </w:r>
                </w:p>
              </w:tc>
              <w:tc>
                <w:tcPr>
                  <w:tcW w:w="1138" w:type="dxa"/>
                  <w:vAlign w:val="center"/>
                </w:tcPr>
                <w:p w14:paraId="696FD525">
                  <w:pPr>
                    <w:pStyle w:val="71"/>
                    <w:rPr>
                      <w:color w:val="auto"/>
                    </w:rPr>
                  </w:pPr>
                  <w:r>
                    <w:rPr>
                      <w:rFonts w:hint="eastAsia"/>
                      <w:color w:val="auto"/>
                    </w:rPr>
                    <w:t>/</w:t>
                  </w:r>
                </w:p>
              </w:tc>
            </w:tr>
            <w:tr w14:paraId="0507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1B046521">
                  <w:pPr>
                    <w:pStyle w:val="71"/>
                    <w:rPr>
                      <w:color w:val="auto"/>
                    </w:rPr>
                  </w:pPr>
                </w:p>
              </w:tc>
              <w:tc>
                <w:tcPr>
                  <w:tcW w:w="709" w:type="dxa"/>
                  <w:vMerge w:val="continue"/>
                  <w:vAlign w:val="center"/>
                </w:tcPr>
                <w:p w14:paraId="4135F0A2">
                  <w:pPr>
                    <w:pStyle w:val="71"/>
                    <w:rPr>
                      <w:color w:val="auto"/>
                    </w:rPr>
                  </w:pPr>
                </w:p>
              </w:tc>
              <w:tc>
                <w:tcPr>
                  <w:tcW w:w="1434" w:type="dxa"/>
                  <w:vMerge w:val="continue"/>
                  <w:vAlign w:val="center"/>
                </w:tcPr>
                <w:p w14:paraId="2A55E427">
                  <w:pPr>
                    <w:pStyle w:val="71"/>
                    <w:rPr>
                      <w:color w:val="auto"/>
                    </w:rPr>
                  </w:pPr>
                </w:p>
              </w:tc>
              <w:tc>
                <w:tcPr>
                  <w:tcW w:w="1138" w:type="dxa"/>
                  <w:vAlign w:val="center"/>
                </w:tcPr>
                <w:p w14:paraId="425F838B">
                  <w:pPr>
                    <w:pStyle w:val="71"/>
                    <w:rPr>
                      <w:color w:val="auto"/>
                    </w:rPr>
                  </w:pPr>
                  <w:r>
                    <w:rPr>
                      <w:color w:val="auto"/>
                    </w:rPr>
                    <w:t>夜间</w:t>
                  </w:r>
                </w:p>
              </w:tc>
              <w:tc>
                <w:tcPr>
                  <w:tcW w:w="1137" w:type="dxa"/>
                  <w:vAlign w:val="center"/>
                </w:tcPr>
                <w:p w14:paraId="2F1277D8">
                  <w:pPr>
                    <w:pStyle w:val="71"/>
                    <w:rPr>
                      <w:rFonts w:hint="default" w:eastAsia="宋体"/>
                      <w:color w:val="auto"/>
                      <w:lang w:val="en-US" w:eastAsia="zh-CN"/>
                    </w:rPr>
                  </w:pPr>
                  <w:r>
                    <w:rPr>
                      <w:rFonts w:hint="eastAsia"/>
                      <w:color w:val="auto"/>
                      <w:lang w:val="en-US" w:eastAsia="zh-CN"/>
                    </w:rPr>
                    <w:t>52</w:t>
                  </w:r>
                </w:p>
              </w:tc>
              <w:tc>
                <w:tcPr>
                  <w:tcW w:w="1137" w:type="dxa"/>
                  <w:vAlign w:val="center"/>
                </w:tcPr>
                <w:p w14:paraId="47597239">
                  <w:pPr>
                    <w:pStyle w:val="71"/>
                    <w:rPr>
                      <w:rFonts w:hint="default" w:eastAsia="宋体"/>
                      <w:color w:val="auto"/>
                      <w:lang w:val="en-US" w:eastAsia="zh-CN"/>
                    </w:rPr>
                  </w:pPr>
                  <w:r>
                    <w:rPr>
                      <w:rFonts w:hint="eastAsia"/>
                      <w:color w:val="auto"/>
                      <w:lang w:val="en-US" w:eastAsia="zh-CN"/>
                    </w:rPr>
                    <w:t>55</w:t>
                  </w:r>
                </w:p>
              </w:tc>
              <w:tc>
                <w:tcPr>
                  <w:tcW w:w="1138" w:type="dxa"/>
                  <w:vAlign w:val="center"/>
                </w:tcPr>
                <w:p w14:paraId="15C3FAA5">
                  <w:pPr>
                    <w:pStyle w:val="71"/>
                    <w:rPr>
                      <w:color w:val="auto"/>
                    </w:rPr>
                  </w:pPr>
                  <w:r>
                    <w:rPr>
                      <w:rFonts w:hint="eastAsia"/>
                      <w:color w:val="auto"/>
                    </w:rPr>
                    <w:t>/</w:t>
                  </w:r>
                </w:p>
              </w:tc>
            </w:tr>
            <w:tr w14:paraId="3A23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271" w:type="dxa"/>
                  <w:vMerge w:val="restart"/>
                  <w:vAlign w:val="center"/>
                </w:tcPr>
                <w:p w14:paraId="0D2FDAE3">
                  <w:pPr>
                    <w:pStyle w:val="71"/>
                    <w:rPr>
                      <w:color w:val="auto"/>
                    </w:rPr>
                  </w:pPr>
                  <w:r>
                    <w:rPr>
                      <w:rFonts w:hint="eastAsia"/>
                      <w:color w:val="auto"/>
                    </w:rPr>
                    <w:t>N</w:t>
                  </w:r>
                  <w:r>
                    <w:rPr>
                      <w:rFonts w:hint="eastAsia"/>
                      <w:color w:val="auto"/>
                      <w:lang w:val="en-US" w:eastAsia="zh-CN"/>
                    </w:rPr>
                    <w:t>2</w:t>
                  </w:r>
                  <w:r>
                    <w:rPr>
                      <w:rFonts w:hint="eastAsia"/>
                      <w:color w:val="auto"/>
                    </w:rPr>
                    <w:t>加油站</w:t>
                  </w:r>
                  <w:r>
                    <w:rPr>
                      <w:rFonts w:hint="eastAsia"/>
                      <w:color w:val="auto"/>
                      <w:lang w:val="en-US" w:eastAsia="zh-CN"/>
                    </w:rPr>
                    <w:t>西</w:t>
                  </w:r>
                  <w:r>
                    <w:rPr>
                      <w:rFonts w:hint="eastAsia"/>
                      <w:color w:val="auto"/>
                    </w:rPr>
                    <w:t>南侧</w:t>
                  </w:r>
                  <w:r>
                    <w:rPr>
                      <w:rFonts w:hint="eastAsia"/>
                      <w:color w:val="auto"/>
                      <w:lang w:val="en-US" w:eastAsia="zh-CN"/>
                    </w:rPr>
                    <w:t>场界</w:t>
                  </w:r>
                  <w:r>
                    <w:rPr>
                      <w:rFonts w:hint="eastAsia"/>
                      <w:color w:val="auto"/>
                    </w:rPr>
                    <w:t>处</w:t>
                  </w:r>
                </w:p>
              </w:tc>
              <w:tc>
                <w:tcPr>
                  <w:tcW w:w="709" w:type="dxa"/>
                  <w:vMerge w:val="restart"/>
                  <w:vAlign w:val="center"/>
                </w:tcPr>
                <w:p w14:paraId="6AD896EF">
                  <w:pPr>
                    <w:pStyle w:val="71"/>
                    <w:rPr>
                      <w:rFonts w:hint="default" w:eastAsia="宋体"/>
                      <w:color w:val="auto"/>
                      <w:lang w:val="en-US" w:eastAsia="zh-CN"/>
                    </w:rPr>
                  </w:pPr>
                  <w:r>
                    <w:rPr>
                      <w:rFonts w:hint="eastAsia"/>
                      <w:color w:val="auto"/>
                      <w:lang w:val="en-US" w:eastAsia="zh-CN"/>
                    </w:rPr>
                    <w:t>SW</w:t>
                  </w:r>
                </w:p>
              </w:tc>
              <w:tc>
                <w:tcPr>
                  <w:tcW w:w="1434" w:type="dxa"/>
                  <w:vMerge w:val="restart"/>
                  <w:vAlign w:val="center"/>
                </w:tcPr>
                <w:p w14:paraId="650145C4">
                  <w:pPr>
                    <w:pStyle w:val="71"/>
                    <w:rPr>
                      <w:color w:val="auto"/>
                    </w:rPr>
                  </w:pPr>
                  <w:r>
                    <w:rPr>
                      <w:rFonts w:hint="eastAsia"/>
                      <w:color w:val="auto"/>
                    </w:rPr>
                    <w:t>1m</w:t>
                  </w:r>
                </w:p>
              </w:tc>
              <w:tc>
                <w:tcPr>
                  <w:tcW w:w="1138" w:type="dxa"/>
                  <w:vAlign w:val="center"/>
                </w:tcPr>
                <w:p w14:paraId="53177246">
                  <w:pPr>
                    <w:pStyle w:val="71"/>
                    <w:rPr>
                      <w:color w:val="auto"/>
                    </w:rPr>
                  </w:pPr>
                  <w:r>
                    <w:rPr>
                      <w:color w:val="auto"/>
                    </w:rPr>
                    <w:t>昼间</w:t>
                  </w:r>
                </w:p>
              </w:tc>
              <w:tc>
                <w:tcPr>
                  <w:tcW w:w="1137" w:type="dxa"/>
                  <w:vAlign w:val="center"/>
                </w:tcPr>
                <w:p w14:paraId="118DF290">
                  <w:pPr>
                    <w:pStyle w:val="71"/>
                    <w:rPr>
                      <w:rFonts w:hint="default" w:eastAsia="宋体"/>
                      <w:color w:val="auto"/>
                      <w:lang w:val="en-US" w:eastAsia="zh-CN"/>
                    </w:rPr>
                  </w:pPr>
                  <w:r>
                    <w:rPr>
                      <w:rFonts w:hint="eastAsia"/>
                      <w:color w:val="auto"/>
                      <w:lang w:val="en-US" w:eastAsia="zh-CN"/>
                    </w:rPr>
                    <w:t>59</w:t>
                  </w:r>
                </w:p>
              </w:tc>
              <w:tc>
                <w:tcPr>
                  <w:tcW w:w="1137" w:type="dxa"/>
                  <w:vAlign w:val="center"/>
                </w:tcPr>
                <w:p w14:paraId="3EE5EB78">
                  <w:pPr>
                    <w:pStyle w:val="71"/>
                    <w:rPr>
                      <w:rFonts w:hint="default" w:eastAsia="宋体"/>
                      <w:color w:val="auto"/>
                      <w:lang w:val="en-US" w:eastAsia="zh-CN"/>
                    </w:rPr>
                  </w:pPr>
                  <w:r>
                    <w:rPr>
                      <w:rFonts w:hint="eastAsia"/>
                      <w:color w:val="auto"/>
                      <w:lang w:val="en-US" w:eastAsia="zh-CN"/>
                    </w:rPr>
                    <w:t>65</w:t>
                  </w:r>
                </w:p>
              </w:tc>
              <w:tc>
                <w:tcPr>
                  <w:tcW w:w="1138" w:type="dxa"/>
                  <w:vAlign w:val="center"/>
                </w:tcPr>
                <w:p w14:paraId="1FB00FB4">
                  <w:pPr>
                    <w:pStyle w:val="71"/>
                    <w:rPr>
                      <w:color w:val="auto"/>
                    </w:rPr>
                  </w:pPr>
                  <w:r>
                    <w:rPr>
                      <w:rFonts w:hint="eastAsia"/>
                      <w:color w:val="auto"/>
                    </w:rPr>
                    <w:t>/</w:t>
                  </w:r>
                </w:p>
              </w:tc>
            </w:tr>
            <w:tr w14:paraId="0549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277F5082">
                  <w:pPr>
                    <w:pStyle w:val="71"/>
                    <w:rPr>
                      <w:color w:val="auto"/>
                    </w:rPr>
                  </w:pPr>
                </w:p>
              </w:tc>
              <w:tc>
                <w:tcPr>
                  <w:tcW w:w="709" w:type="dxa"/>
                  <w:vMerge w:val="continue"/>
                  <w:vAlign w:val="center"/>
                </w:tcPr>
                <w:p w14:paraId="255E0857">
                  <w:pPr>
                    <w:pStyle w:val="71"/>
                    <w:rPr>
                      <w:color w:val="auto"/>
                    </w:rPr>
                  </w:pPr>
                </w:p>
              </w:tc>
              <w:tc>
                <w:tcPr>
                  <w:tcW w:w="1434" w:type="dxa"/>
                  <w:vMerge w:val="continue"/>
                  <w:vAlign w:val="center"/>
                </w:tcPr>
                <w:p w14:paraId="35C5418E">
                  <w:pPr>
                    <w:pStyle w:val="71"/>
                    <w:rPr>
                      <w:color w:val="auto"/>
                    </w:rPr>
                  </w:pPr>
                </w:p>
              </w:tc>
              <w:tc>
                <w:tcPr>
                  <w:tcW w:w="1138" w:type="dxa"/>
                  <w:vAlign w:val="center"/>
                </w:tcPr>
                <w:p w14:paraId="56E097A9">
                  <w:pPr>
                    <w:pStyle w:val="71"/>
                    <w:rPr>
                      <w:color w:val="auto"/>
                    </w:rPr>
                  </w:pPr>
                  <w:r>
                    <w:rPr>
                      <w:color w:val="auto"/>
                    </w:rPr>
                    <w:t>夜间</w:t>
                  </w:r>
                </w:p>
              </w:tc>
              <w:tc>
                <w:tcPr>
                  <w:tcW w:w="1137" w:type="dxa"/>
                  <w:vAlign w:val="center"/>
                </w:tcPr>
                <w:p w14:paraId="472C544F">
                  <w:pPr>
                    <w:pStyle w:val="71"/>
                    <w:rPr>
                      <w:rFonts w:hint="default" w:eastAsia="宋体"/>
                      <w:color w:val="auto"/>
                      <w:lang w:val="en-US" w:eastAsia="zh-CN"/>
                    </w:rPr>
                  </w:pPr>
                  <w:r>
                    <w:rPr>
                      <w:rFonts w:hint="eastAsia"/>
                      <w:color w:val="auto"/>
                      <w:lang w:val="en-US" w:eastAsia="zh-CN"/>
                    </w:rPr>
                    <w:t>52</w:t>
                  </w:r>
                </w:p>
              </w:tc>
              <w:tc>
                <w:tcPr>
                  <w:tcW w:w="1137" w:type="dxa"/>
                  <w:vAlign w:val="center"/>
                </w:tcPr>
                <w:p w14:paraId="199CA9E3">
                  <w:pPr>
                    <w:pStyle w:val="71"/>
                    <w:rPr>
                      <w:color w:val="auto"/>
                    </w:rPr>
                  </w:pPr>
                  <w:r>
                    <w:rPr>
                      <w:rFonts w:hint="eastAsia"/>
                      <w:color w:val="auto"/>
                    </w:rPr>
                    <w:t>55</w:t>
                  </w:r>
                </w:p>
              </w:tc>
              <w:tc>
                <w:tcPr>
                  <w:tcW w:w="1138" w:type="dxa"/>
                  <w:vAlign w:val="center"/>
                </w:tcPr>
                <w:p w14:paraId="25C47A75">
                  <w:pPr>
                    <w:pStyle w:val="71"/>
                    <w:rPr>
                      <w:color w:val="auto"/>
                    </w:rPr>
                  </w:pPr>
                  <w:r>
                    <w:rPr>
                      <w:rFonts w:hint="eastAsia"/>
                      <w:color w:val="auto"/>
                    </w:rPr>
                    <w:t>/</w:t>
                  </w:r>
                </w:p>
              </w:tc>
            </w:tr>
          </w:tbl>
          <w:p w14:paraId="4B4126B3">
            <w:pPr>
              <w:pStyle w:val="64"/>
              <w:rPr>
                <w:color w:val="auto"/>
              </w:rPr>
            </w:pPr>
            <w:r>
              <w:rPr>
                <w:color w:val="auto"/>
              </w:rPr>
              <w:t>由表3</w:t>
            </w:r>
            <w:r>
              <w:rPr>
                <w:rFonts w:hint="eastAsia"/>
                <w:color w:val="auto"/>
              </w:rPr>
              <w:t>.1-</w:t>
            </w:r>
            <w:r>
              <w:rPr>
                <w:color w:val="auto"/>
              </w:rPr>
              <w:t>7</w:t>
            </w:r>
            <w:r>
              <w:rPr>
                <w:rFonts w:hint="eastAsia"/>
                <w:color w:val="auto"/>
              </w:rPr>
              <w:t>可知，N1声环境监测点昼、夜间满足</w:t>
            </w:r>
            <w:r>
              <w:rPr>
                <w:color w:val="auto"/>
              </w:rPr>
              <w:t>《声环境质量标准》（GB3096-2008）</w:t>
            </w:r>
            <w:r>
              <w:rPr>
                <w:rFonts w:hint="eastAsia"/>
                <w:color w:val="auto"/>
                <w:lang w:val="en-US" w:eastAsia="zh-CN"/>
              </w:rPr>
              <w:t>4a</w:t>
            </w:r>
            <w:r>
              <w:rPr>
                <w:color w:val="auto"/>
              </w:rPr>
              <w:t>类标准</w:t>
            </w:r>
            <w:r>
              <w:rPr>
                <w:rFonts w:hint="eastAsia"/>
                <w:color w:val="auto"/>
              </w:rPr>
              <w:t>，N</w:t>
            </w:r>
            <w:r>
              <w:rPr>
                <w:rFonts w:hint="eastAsia"/>
                <w:color w:val="auto"/>
                <w:lang w:val="en-US" w:eastAsia="zh-CN"/>
              </w:rPr>
              <w:t>2</w:t>
            </w:r>
            <w:r>
              <w:rPr>
                <w:rFonts w:hint="eastAsia"/>
                <w:color w:val="auto"/>
              </w:rPr>
              <w:t>声环境监测点昼、夜间满足</w:t>
            </w:r>
            <w:r>
              <w:rPr>
                <w:color w:val="auto"/>
              </w:rPr>
              <w:t>《声环境质量标准》（GB3096-2008）</w:t>
            </w:r>
            <w:r>
              <w:rPr>
                <w:rFonts w:hint="eastAsia"/>
                <w:color w:val="auto"/>
                <w:lang w:val="en-US" w:eastAsia="zh-CN"/>
              </w:rPr>
              <w:t>3</w:t>
            </w:r>
            <w:r>
              <w:rPr>
                <w:color w:val="auto"/>
              </w:rPr>
              <w:t>类标准</w:t>
            </w:r>
            <w:r>
              <w:rPr>
                <w:rFonts w:hint="eastAsia"/>
                <w:color w:val="auto"/>
              </w:rPr>
              <w:t>，表明</w:t>
            </w:r>
            <w:r>
              <w:rPr>
                <w:color w:val="auto"/>
              </w:rPr>
              <w:t>项目所在区域声环境质量较好。</w:t>
            </w:r>
          </w:p>
          <w:p w14:paraId="73FA0CCC">
            <w:pPr>
              <w:adjustRightInd w:val="0"/>
              <w:snapToGrid w:val="0"/>
              <w:spacing w:line="460" w:lineRule="exact"/>
              <w:jc w:val="left"/>
              <w:rPr>
                <w:b/>
                <w:sz w:val="26"/>
                <w:szCs w:val="26"/>
              </w:rPr>
            </w:pPr>
            <w:r>
              <w:rPr>
                <w:b/>
                <w:sz w:val="26"/>
                <w:szCs w:val="26"/>
              </w:rPr>
              <w:t>3.1.5</w:t>
            </w:r>
            <w:r>
              <w:rPr>
                <w:rFonts w:hint="eastAsia"/>
                <w:b/>
                <w:sz w:val="26"/>
                <w:szCs w:val="26"/>
              </w:rPr>
              <w:t>土壤</w:t>
            </w:r>
            <w:r>
              <w:rPr>
                <w:b/>
                <w:sz w:val="26"/>
                <w:szCs w:val="26"/>
              </w:rPr>
              <w:t>环境</w:t>
            </w:r>
          </w:p>
          <w:p w14:paraId="1EFC9E9C">
            <w:pPr>
              <w:adjustRightInd w:val="0"/>
              <w:snapToGrid w:val="0"/>
              <w:spacing w:line="460" w:lineRule="exact"/>
              <w:ind w:firstLine="520" w:firstLineChars="200"/>
              <w:rPr>
                <w:sz w:val="26"/>
                <w:szCs w:val="26"/>
              </w:rPr>
            </w:pPr>
            <w:r>
              <w:rPr>
                <w:rFonts w:hint="eastAsia"/>
                <w:sz w:val="26"/>
                <w:szCs w:val="26"/>
              </w:rPr>
              <w:t>本项目为加油站建设项目，可能存在土壤环境污染途径，本次评价在场地内设置1个土壤表层样背景监测点，评价委托重庆港庆测控技术有限公司于</w:t>
            </w:r>
            <w:r>
              <w:rPr>
                <w:rFonts w:hint="eastAsia"/>
                <w:color w:val="auto"/>
                <w:sz w:val="26"/>
                <w:szCs w:val="26"/>
              </w:rPr>
              <w:t>2025年</w:t>
            </w:r>
            <w:r>
              <w:rPr>
                <w:rFonts w:hint="eastAsia"/>
                <w:color w:val="auto"/>
                <w:sz w:val="26"/>
                <w:szCs w:val="26"/>
                <w:lang w:val="en-US" w:eastAsia="zh-CN"/>
              </w:rPr>
              <w:t>9</w:t>
            </w:r>
            <w:r>
              <w:rPr>
                <w:rFonts w:hint="eastAsia"/>
                <w:color w:val="auto"/>
                <w:sz w:val="26"/>
                <w:szCs w:val="26"/>
              </w:rPr>
              <w:t>月1</w:t>
            </w:r>
            <w:r>
              <w:rPr>
                <w:rFonts w:hint="eastAsia"/>
                <w:color w:val="auto"/>
                <w:sz w:val="26"/>
                <w:szCs w:val="26"/>
                <w:lang w:val="en-US" w:eastAsia="zh-CN"/>
              </w:rPr>
              <w:t>5</w:t>
            </w:r>
            <w:r>
              <w:rPr>
                <w:rFonts w:hint="eastAsia"/>
                <w:color w:val="auto"/>
                <w:sz w:val="26"/>
                <w:szCs w:val="26"/>
              </w:rPr>
              <w:t>日进行</w:t>
            </w:r>
            <w:r>
              <w:rPr>
                <w:rFonts w:hint="eastAsia"/>
                <w:sz w:val="26"/>
                <w:szCs w:val="26"/>
              </w:rPr>
              <w:t>土壤环境现状监测，并出具了监测报告编</w:t>
            </w:r>
            <w:r>
              <w:rPr>
                <w:rFonts w:hint="eastAsia"/>
                <w:color w:val="auto"/>
                <w:sz w:val="26"/>
                <w:szCs w:val="26"/>
              </w:rPr>
              <w:t>号为港庆（监）字〔2025〕第0</w:t>
            </w:r>
            <w:r>
              <w:rPr>
                <w:rFonts w:hint="eastAsia"/>
                <w:color w:val="auto"/>
                <w:sz w:val="26"/>
                <w:szCs w:val="26"/>
                <w:lang w:val="en-US" w:eastAsia="zh-CN"/>
              </w:rPr>
              <w:t>9017</w:t>
            </w:r>
            <w:r>
              <w:rPr>
                <w:rFonts w:hint="eastAsia"/>
                <w:color w:val="auto"/>
                <w:sz w:val="26"/>
                <w:szCs w:val="26"/>
              </w:rPr>
              <w:t>-HP号。</w:t>
            </w:r>
          </w:p>
          <w:p w14:paraId="0AECF484">
            <w:pPr>
              <w:adjustRightInd w:val="0"/>
              <w:snapToGrid w:val="0"/>
              <w:spacing w:line="460" w:lineRule="exact"/>
              <w:ind w:firstLine="496" w:firstLineChars="200"/>
              <w:rPr>
                <w:spacing w:val="-6"/>
                <w:sz w:val="26"/>
              </w:rPr>
            </w:pPr>
            <w:r>
              <w:rPr>
                <w:rFonts w:hint="eastAsia"/>
                <w:spacing w:val="-6"/>
                <w:sz w:val="26"/>
              </w:rPr>
              <w:t>（1）监测布点及采样时间</w:t>
            </w:r>
          </w:p>
          <w:p w14:paraId="6CE98448">
            <w:pPr>
              <w:adjustRightInd w:val="0"/>
              <w:snapToGrid w:val="0"/>
              <w:spacing w:line="460" w:lineRule="exact"/>
              <w:ind w:firstLine="496" w:firstLineChars="200"/>
              <w:rPr>
                <w:rFonts w:hint="eastAsia"/>
                <w:color w:val="FF0000"/>
                <w:spacing w:val="-6"/>
                <w:sz w:val="26"/>
              </w:rPr>
            </w:pPr>
            <w:r>
              <w:rPr>
                <w:rFonts w:hint="eastAsia"/>
                <w:color w:val="FF0000"/>
                <w:spacing w:val="-6"/>
                <w:sz w:val="26"/>
              </w:rPr>
              <w:t>本次评价在场地内设置1个表层样点，位于现有项目</w:t>
            </w:r>
            <w:r>
              <w:rPr>
                <w:rFonts w:hint="eastAsia"/>
                <w:color w:val="FF0000"/>
                <w:spacing w:val="-6"/>
                <w:sz w:val="26"/>
                <w:lang w:val="en-US" w:eastAsia="zh-CN"/>
              </w:rPr>
              <w:t>卸油区旁</w:t>
            </w:r>
            <w:r>
              <w:rPr>
                <w:rFonts w:hint="eastAsia"/>
                <w:color w:val="FF0000"/>
                <w:spacing w:val="-6"/>
                <w:sz w:val="26"/>
              </w:rPr>
              <w:t>，为可能受影响区域，现有项目设置了泄漏报警器，泄漏概率极低，建设至今未发生泄漏事件，因此仅对表层样进行监测，能够代表项目区域内土壤环境质量现状，将其留作背景值。</w:t>
            </w:r>
          </w:p>
          <w:p w14:paraId="314EF46B">
            <w:pPr>
              <w:adjustRightInd w:val="0"/>
              <w:snapToGrid w:val="0"/>
              <w:spacing w:line="460" w:lineRule="exact"/>
              <w:ind w:firstLine="496" w:firstLineChars="200"/>
              <w:rPr>
                <w:sz w:val="26"/>
                <w:szCs w:val="26"/>
              </w:rPr>
            </w:pPr>
            <w:r>
              <w:rPr>
                <w:rFonts w:hint="eastAsia"/>
                <w:spacing w:val="-6"/>
                <w:sz w:val="26"/>
                <w:lang w:val="en-US" w:eastAsia="zh-CN"/>
              </w:rPr>
              <w:t>监测点位</w:t>
            </w:r>
            <w:r>
              <w:rPr>
                <w:rFonts w:hint="eastAsia"/>
                <w:spacing w:val="-6"/>
                <w:sz w:val="26"/>
              </w:rPr>
              <w:t>布设情况、监测时间详见表</w:t>
            </w:r>
            <w:r>
              <w:rPr>
                <w:spacing w:val="-6"/>
                <w:sz w:val="26"/>
              </w:rPr>
              <w:t>3.1</w:t>
            </w:r>
            <w:r>
              <w:rPr>
                <w:rFonts w:hint="eastAsia"/>
                <w:spacing w:val="-6"/>
                <w:sz w:val="26"/>
              </w:rPr>
              <w:t>-8，</w:t>
            </w:r>
            <w:r>
              <w:rPr>
                <w:rFonts w:hint="eastAsia"/>
                <w:sz w:val="26"/>
                <w:szCs w:val="26"/>
              </w:rPr>
              <w:t>土壤理化特性见表</w:t>
            </w:r>
            <w:r>
              <w:rPr>
                <w:sz w:val="26"/>
                <w:szCs w:val="26"/>
              </w:rPr>
              <w:t>3.1-</w:t>
            </w:r>
            <w:r>
              <w:rPr>
                <w:rFonts w:hint="eastAsia"/>
                <w:sz w:val="26"/>
                <w:szCs w:val="26"/>
              </w:rPr>
              <w:t>9。</w:t>
            </w:r>
          </w:p>
          <w:p w14:paraId="1F1787A7">
            <w:pPr>
              <w:keepNext w:val="0"/>
              <w:keepLines w:val="0"/>
              <w:pageBreakBefore w:val="0"/>
              <w:widowControl w:val="0"/>
              <w:tabs>
                <w:tab w:val="left" w:pos="5745"/>
              </w:tabs>
              <w:kinsoku/>
              <w:wordWrap/>
              <w:overflowPunct/>
              <w:topLinePunct w:val="0"/>
              <w:autoSpaceDE/>
              <w:autoSpaceDN/>
              <w:bidi w:val="0"/>
              <w:adjustRightInd/>
              <w:snapToGrid w:val="0"/>
              <w:spacing w:line="240" w:lineRule="auto"/>
              <w:jc w:val="center"/>
              <w:textAlignment w:val="auto"/>
              <w:rPr>
                <w:sz w:val="26"/>
                <w:szCs w:val="26"/>
              </w:rPr>
            </w:pPr>
            <w:r>
              <w:rPr>
                <w:rFonts w:hint="eastAsia"/>
                <w:sz w:val="22"/>
                <w:szCs w:val="22"/>
              </w:rPr>
              <w:t>表</w:t>
            </w:r>
            <w:r>
              <w:rPr>
                <w:sz w:val="22"/>
                <w:szCs w:val="22"/>
              </w:rPr>
              <w:t>3.1-</w:t>
            </w:r>
            <w:r>
              <w:rPr>
                <w:rFonts w:hint="eastAsia"/>
                <w:sz w:val="22"/>
                <w:szCs w:val="22"/>
              </w:rPr>
              <w:t>8</w:t>
            </w:r>
            <w:r>
              <w:rPr>
                <w:rFonts w:hint="eastAsia"/>
                <w:sz w:val="22"/>
                <w:szCs w:val="22"/>
                <w:lang w:val="en-US" w:eastAsia="zh-CN"/>
              </w:rPr>
              <w:t xml:space="preserve">  </w:t>
            </w:r>
            <w:r>
              <w:rPr>
                <w:rFonts w:hint="eastAsia"/>
                <w:sz w:val="22"/>
                <w:szCs w:val="22"/>
              </w:rPr>
              <w:t>土壤环境现状监测布点信息</w:t>
            </w:r>
          </w:p>
          <w:tbl>
            <w:tblPr>
              <w:tblStyle w:val="17"/>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674"/>
              <w:gridCol w:w="1474"/>
              <w:gridCol w:w="2975"/>
              <w:gridCol w:w="733"/>
              <w:gridCol w:w="482"/>
            </w:tblGrid>
            <w:tr w14:paraId="3E94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tcBorders>
                    <w:top w:val="single" w:color="auto" w:sz="4" w:space="0"/>
                    <w:left w:val="single" w:color="auto" w:sz="4" w:space="0"/>
                    <w:bottom w:val="single" w:color="auto" w:sz="4" w:space="0"/>
                    <w:right w:val="single" w:color="auto" w:sz="4" w:space="0"/>
                  </w:tcBorders>
                  <w:vAlign w:val="center"/>
                </w:tcPr>
                <w:p w14:paraId="3CF1AEBB">
                  <w:pPr>
                    <w:tabs>
                      <w:tab w:val="left" w:pos="5745"/>
                    </w:tabs>
                    <w:snapToGrid w:val="0"/>
                    <w:jc w:val="center"/>
                    <w:rPr>
                      <w:sz w:val="22"/>
                      <w:szCs w:val="22"/>
                    </w:rPr>
                  </w:pPr>
                  <w:r>
                    <w:rPr>
                      <w:rFonts w:hint="eastAsia"/>
                      <w:sz w:val="22"/>
                      <w:szCs w:val="22"/>
                    </w:rPr>
                    <w:t>编号</w:t>
                  </w:r>
                </w:p>
              </w:tc>
              <w:tc>
                <w:tcPr>
                  <w:tcW w:w="1665" w:type="dxa"/>
                  <w:tcBorders>
                    <w:top w:val="single" w:color="auto" w:sz="4" w:space="0"/>
                    <w:left w:val="single" w:color="auto" w:sz="4" w:space="0"/>
                    <w:bottom w:val="single" w:color="auto" w:sz="4" w:space="0"/>
                    <w:right w:val="single" w:color="auto" w:sz="4" w:space="0"/>
                  </w:tcBorders>
                  <w:vAlign w:val="center"/>
                </w:tcPr>
                <w:p w14:paraId="0E021F27">
                  <w:pPr>
                    <w:tabs>
                      <w:tab w:val="left" w:pos="5745"/>
                    </w:tabs>
                    <w:snapToGrid w:val="0"/>
                    <w:jc w:val="center"/>
                    <w:rPr>
                      <w:sz w:val="22"/>
                      <w:szCs w:val="22"/>
                    </w:rPr>
                  </w:pPr>
                  <w:r>
                    <w:rPr>
                      <w:rFonts w:hint="eastAsia"/>
                      <w:sz w:val="22"/>
                      <w:szCs w:val="22"/>
                    </w:rPr>
                    <w:t>监测点位情况</w:t>
                  </w:r>
                </w:p>
              </w:tc>
              <w:tc>
                <w:tcPr>
                  <w:tcW w:w="1463" w:type="dxa"/>
                  <w:tcBorders>
                    <w:top w:val="single" w:color="auto" w:sz="4" w:space="0"/>
                    <w:left w:val="single" w:color="auto" w:sz="4" w:space="0"/>
                    <w:bottom w:val="single" w:color="auto" w:sz="4" w:space="0"/>
                    <w:right w:val="single" w:color="auto" w:sz="4" w:space="0"/>
                  </w:tcBorders>
                  <w:vAlign w:val="center"/>
                </w:tcPr>
                <w:p w14:paraId="1F403B1C">
                  <w:pPr>
                    <w:tabs>
                      <w:tab w:val="left" w:pos="5745"/>
                    </w:tabs>
                    <w:snapToGrid w:val="0"/>
                    <w:jc w:val="center"/>
                    <w:rPr>
                      <w:sz w:val="22"/>
                      <w:szCs w:val="22"/>
                    </w:rPr>
                  </w:pPr>
                  <w:r>
                    <w:rPr>
                      <w:rFonts w:hint="eastAsia"/>
                      <w:sz w:val="22"/>
                      <w:szCs w:val="22"/>
                    </w:rPr>
                    <w:t>监测时间及频率</w:t>
                  </w:r>
                </w:p>
              </w:tc>
              <w:tc>
                <w:tcPr>
                  <w:tcW w:w="2977" w:type="dxa"/>
                  <w:tcBorders>
                    <w:top w:val="single" w:color="auto" w:sz="4" w:space="0"/>
                    <w:left w:val="single" w:color="auto" w:sz="4" w:space="0"/>
                    <w:bottom w:val="single" w:color="auto" w:sz="4" w:space="0"/>
                    <w:right w:val="single" w:color="auto" w:sz="4" w:space="0"/>
                  </w:tcBorders>
                  <w:vAlign w:val="center"/>
                </w:tcPr>
                <w:p w14:paraId="4C6DD145">
                  <w:pPr>
                    <w:tabs>
                      <w:tab w:val="left" w:pos="5745"/>
                    </w:tabs>
                    <w:snapToGrid w:val="0"/>
                    <w:jc w:val="center"/>
                    <w:rPr>
                      <w:sz w:val="22"/>
                      <w:szCs w:val="22"/>
                    </w:rPr>
                  </w:pPr>
                  <w:r>
                    <w:rPr>
                      <w:rFonts w:hint="eastAsia"/>
                      <w:sz w:val="22"/>
                      <w:szCs w:val="22"/>
                    </w:rPr>
                    <w:t>监测因子</w:t>
                  </w:r>
                </w:p>
              </w:tc>
              <w:tc>
                <w:tcPr>
                  <w:tcW w:w="716" w:type="dxa"/>
                  <w:tcBorders>
                    <w:top w:val="single" w:color="auto" w:sz="4" w:space="0"/>
                    <w:left w:val="single" w:color="auto" w:sz="4" w:space="0"/>
                    <w:bottom w:val="single" w:color="auto" w:sz="4" w:space="0"/>
                    <w:right w:val="single" w:color="auto" w:sz="4" w:space="0"/>
                  </w:tcBorders>
                  <w:vAlign w:val="center"/>
                </w:tcPr>
                <w:p w14:paraId="42473058">
                  <w:pPr>
                    <w:tabs>
                      <w:tab w:val="left" w:pos="5745"/>
                    </w:tabs>
                    <w:snapToGrid w:val="0"/>
                    <w:jc w:val="center"/>
                    <w:rPr>
                      <w:sz w:val="22"/>
                      <w:szCs w:val="22"/>
                    </w:rPr>
                  </w:pPr>
                  <w:r>
                    <w:rPr>
                      <w:rFonts w:hint="eastAsia"/>
                      <w:sz w:val="22"/>
                      <w:szCs w:val="22"/>
                    </w:rPr>
                    <w:t>用地性质</w:t>
                  </w:r>
                </w:p>
              </w:tc>
              <w:tc>
                <w:tcPr>
                  <w:tcW w:w="461" w:type="dxa"/>
                  <w:tcBorders>
                    <w:top w:val="single" w:color="auto" w:sz="4" w:space="0"/>
                    <w:left w:val="single" w:color="auto" w:sz="4" w:space="0"/>
                    <w:bottom w:val="single" w:color="auto" w:sz="4" w:space="0"/>
                    <w:right w:val="single" w:color="auto" w:sz="4" w:space="0"/>
                  </w:tcBorders>
                  <w:vAlign w:val="center"/>
                </w:tcPr>
                <w:p w14:paraId="0BBCD2E2">
                  <w:pPr>
                    <w:tabs>
                      <w:tab w:val="left" w:pos="5745"/>
                    </w:tabs>
                    <w:snapToGrid w:val="0"/>
                    <w:jc w:val="center"/>
                    <w:rPr>
                      <w:sz w:val="22"/>
                      <w:szCs w:val="22"/>
                    </w:rPr>
                  </w:pPr>
                  <w:r>
                    <w:rPr>
                      <w:rFonts w:hint="eastAsia"/>
                      <w:sz w:val="22"/>
                      <w:szCs w:val="22"/>
                    </w:rPr>
                    <w:t>备注</w:t>
                  </w:r>
                </w:p>
              </w:tc>
            </w:tr>
            <w:tr w14:paraId="162A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tcBorders>
                    <w:top w:val="single" w:color="auto" w:sz="4" w:space="0"/>
                    <w:left w:val="single" w:color="auto" w:sz="4" w:space="0"/>
                    <w:bottom w:val="single" w:color="auto" w:sz="4" w:space="0"/>
                    <w:right w:val="single" w:color="auto" w:sz="4" w:space="0"/>
                  </w:tcBorders>
                  <w:vAlign w:val="center"/>
                </w:tcPr>
                <w:p w14:paraId="21622BCB">
                  <w:pPr>
                    <w:tabs>
                      <w:tab w:val="left" w:pos="5745"/>
                    </w:tabs>
                    <w:snapToGrid w:val="0"/>
                    <w:jc w:val="center"/>
                    <w:rPr>
                      <w:sz w:val="22"/>
                      <w:szCs w:val="22"/>
                    </w:rPr>
                  </w:pPr>
                  <w:r>
                    <w:rPr>
                      <w:rFonts w:hint="eastAsia"/>
                      <w:sz w:val="22"/>
                      <w:szCs w:val="22"/>
                    </w:rPr>
                    <w:t>S</w:t>
                  </w:r>
                  <w:r>
                    <w:rPr>
                      <w:sz w:val="22"/>
                      <w:szCs w:val="22"/>
                    </w:rPr>
                    <w:t>1</w:t>
                  </w:r>
                </w:p>
              </w:tc>
              <w:tc>
                <w:tcPr>
                  <w:tcW w:w="1665" w:type="dxa"/>
                  <w:tcBorders>
                    <w:top w:val="single" w:color="auto" w:sz="4" w:space="0"/>
                    <w:left w:val="single" w:color="auto" w:sz="4" w:space="0"/>
                    <w:bottom w:val="single" w:color="auto" w:sz="4" w:space="0"/>
                    <w:right w:val="single" w:color="auto" w:sz="4" w:space="0"/>
                  </w:tcBorders>
                  <w:vAlign w:val="center"/>
                </w:tcPr>
                <w:p w14:paraId="43275624">
                  <w:pPr>
                    <w:tabs>
                      <w:tab w:val="left" w:pos="5745"/>
                    </w:tabs>
                    <w:snapToGrid w:val="0"/>
                    <w:jc w:val="center"/>
                    <w:rPr>
                      <w:sz w:val="22"/>
                      <w:szCs w:val="22"/>
                    </w:rPr>
                  </w:pPr>
                  <w:r>
                    <w:rPr>
                      <w:rFonts w:hint="eastAsia"/>
                      <w:sz w:val="22"/>
                      <w:szCs w:val="22"/>
                    </w:rPr>
                    <w:t>项目占地范围内东北侧T1（采样深度：0~0.2m，东经：106.434655°，北纬：29.421020°），编号为S1-1-1</w:t>
                  </w:r>
                </w:p>
              </w:tc>
              <w:tc>
                <w:tcPr>
                  <w:tcW w:w="1463" w:type="dxa"/>
                  <w:tcBorders>
                    <w:top w:val="single" w:color="auto" w:sz="4" w:space="0"/>
                    <w:left w:val="single" w:color="auto" w:sz="4" w:space="0"/>
                    <w:bottom w:val="single" w:color="auto" w:sz="4" w:space="0"/>
                    <w:right w:val="single" w:color="auto" w:sz="4" w:space="0"/>
                  </w:tcBorders>
                  <w:vAlign w:val="center"/>
                </w:tcPr>
                <w:p w14:paraId="1CD44341">
                  <w:pPr>
                    <w:tabs>
                      <w:tab w:val="left" w:pos="5745"/>
                    </w:tabs>
                    <w:snapToGrid w:val="0"/>
                    <w:jc w:val="center"/>
                    <w:rPr>
                      <w:sz w:val="22"/>
                      <w:szCs w:val="22"/>
                    </w:rPr>
                  </w:pPr>
                  <w:r>
                    <w:rPr>
                      <w:sz w:val="22"/>
                      <w:szCs w:val="22"/>
                    </w:rPr>
                    <w:t>检测1天，1次/天</w:t>
                  </w:r>
                </w:p>
              </w:tc>
              <w:tc>
                <w:tcPr>
                  <w:tcW w:w="2977" w:type="dxa"/>
                  <w:tcBorders>
                    <w:top w:val="single" w:color="auto" w:sz="4" w:space="0"/>
                    <w:left w:val="single" w:color="auto" w:sz="4" w:space="0"/>
                    <w:bottom w:val="single" w:color="auto" w:sz="4" w:space="0"/>
                    <w:right w:val="single" w:color="auto" w:sz="4" w:space="0"/>
                  </w:tcBorders>
                  <w:vAlign w:val="center"/>
                </w:tcPr>
                <w:p w14:paraId="5282B9A8">
                  <w:pPr>
                    <w:tabs>
                      <w:tab w:val="left" w:pos="5745"/>
                    </w:tabs>
                    <w:snapToGrid w:val="0"/>
                    <w:jc w:val="center"/>
                    <w:rPr>
                      <w:sz w:val="22"/>
                      <w:szCs w:val="22"/>
                    </w:rPr>
                  </w:pPr>
                  <w:r>
                    <w:rPr>
                      <w:sz w:val="22"/>
                      <w:szCs w:val="22"/>
                    </w:rPr>
                    <w:t>石油烃（C</w:t>
                  </w:r>
                  <w:r>
                    <w:rPr>
                      <w:sz w:val="22"/>
                      <w:szCs w:val="22"/>
                      <w:vertAlign w:val="subscript"/>
                    </w:rPr>
                    <w:t>10</w:t>
                  </w:r>
                  <w:r>
                    <w:rPr>
                      <w:sz w:val="22"/>
                      <w:szCs w:val="22"/>
                    </w:rPr>
                    <w:t>-C</w:t>
                  </w:r>
                  <w:r>
                    <w:rPr>
                      <w:sz w:val="22"/>
                      <w:szCs w:val="22"/>
                      <w:vertAlign w:val="subscript"/>
                    </w:rPr>
                    <w:t>40</w:t>
                  </w:r>
                  <w:r>
                    <w:rPr>
                      <w:sz w:val="22"/>
                      <w:szCs w:val="22"/>
                    </w:rPr>
                    <w:t>）</w:t>
                  </w:r>
                  <w:r>
                    <w:rPr>
                      <w:bCs/>
                      <w:sz w:val="22"/>
                      <w:szCs w:val="22"/>
                    </w:rPr>
                    <w:t>、砷、镉、铬（六价）、铜、铅、汞、镍</w:t>
                  </w:r>
                  <w:r>
                    <w:rPr>
                      <w:sz w:val="22"/>
                      <w:szCs w:val="22"/>
                    </w:rPr>
                    <w:t>、挥发性有机物、半挥发性有机物</w:t>
                  </w:r>
                </w:p>
              </w:tc>
              <w:tc>
                <w:tcPr>
                  <w:tcW w:w="716" w:type="dxa"/>
                  <w:tcBorders>
                    <w:top w:val="single" w:color="auto" w:sz="4" w:space="0"/>
                    <w:left w:val="single" w:color="auto" w:sz="4" w:space="0"/>
                    <w:bottom w:val="single" w:color="auto" w:sz="4" w:space="0"/>
                    <w:right w:val="single" w:color="auto" w:sz="4" w:space="0"/>
                  </w:tcBorders>
                  <w:vAlign w:val="center"/>
                </w:tcPr>
                <w:p w14:paraId="3EAA2C16">
                  <w:pPr>
                    <w:tabs>
                      <w:tab w:val="left" w:pos="5745"/>
                    </w:tabs>
                    <w:snapToGrid w:val="0"/>
                    <w:jc w:val="center"/>
                    <w:rPr>
                      <w:sz w:val="22"/>
                      <w:szCs w:val="22"/>
                    </w:rPr>
                  </w:pPr>
                  <w:r>
                    <w:rPr>
                      <w:rFonts w:hint="eastAsia"/>
                      <w:sz w:val="22"/>
                      <w:szCs w:val="22"/>
                    </w:rPr>
                    <w:t>建设用地</w:t>
                  </w:r>
                </w:p>
              </w:tc>
              <w:tc>
                <w:tcPr>
                  <w:tcW w:w="461" w:type="dxa"/>
                  <w:tcBorders>
                    <w:top w:val="single" w:color="auto" w:sz="4" w:space="0"/>
                    <w:left w:val="single" w:color="auto" w:sz="4" w:space="0"/>
                    <w:bottom w:val="single" w:color="auto" w:sz="4" w:space="0"/>
                    <w:right w:val="single" w:color="auto" w:sz="4" w:space="0"/>
                  </w:tcBorders>
                  <w:vAlign w:val="center"/>
                </w:tcPr>
                <w:p w14:paraId="38568957">
                  <w:pPr>
                    <w:tabs>
                      <w:tab w:val="left" w:pos="5745"/>
                    </w:tabs>
                    <w:snapToGrid w:val="0"/>
                    <w:jc w:val="center"/>
                    <w:rPr>
                      <w:sz w:val="22"/>
                      <w:szCs w:val="22"/>
                    </w:rPr>
                  </w:pPr>
                  <w:r>
                    <w:rPr>
                      <w:rFonts w:hint="eastAsia"/>
                      <w:sz w:val="22"/>
                      <w:szCs w:val="22"/>
                    </w:rPr>
                    <w:t>占地范围内</w:t>
                  </w:r>
                </w:p>
              </w:tc>
            </w:tr>
          </w:tbl>
          <w:p w14:paraId="3EF0E1C1">
            <w:pPr>
              <w:keepNext w:val="0"/>
              <w:keepLines w:val="0"/>
              <w:pageBreakBefore w:val="0"/>
              <w:widowControl w:val="0"/>
              <w:tabs>
                <w:tab w:val="left" w:pos="5745"/>
              </w:tabs>
              <w:kinsoku/>
              <w:wordWrap/>
              <w:overflowPunct/>
              <w:topLinePunct w:val="0"/>
              <w:autoSpaceDE/>
              <w:autoSpaceDN/>
              <w:bidi w:val="0"/>
              <w:adjustRightInd/>
              <w:snapToGrid w:val="0"/>
              <w:spacing w:line="240" w:lineRule="auto"/>
              <w:jc w:val="center"/>
              <w:textAlignment w:val="auto"/>
              <w:rPr>
                <w:color w:val="FF0000"/>
                <w:sz w:val="26"/>
                <w:szCs w:val="26"/>
              </w:rPr>
            </w:pPr>
            <w:r>
              <w:rPr>
                <w:rFonts w:hint="eastAsia"/>
                <w:color w:val="auto"/>
                <w:sz w:val="22"/>
                <w:szCs w:val="22"/>
              </w:rPr>
              <w:t>表</w:t>
            </w:r>
            <w:r>
              <w:rPr>
                <w:color w:val="auto"/>
                <w:sz w:val="22"/>
                <w:szCs w:val="22"/>
              </w:rPr>
              <w:t>3.1-</w:t>
            </w:r>
            <w:r>
              <w:rPr>
                <w:rFonts w:hint="eastAsia"/>
                <w:color w:val="auto"/>
                <w:sz w:val="22"/>
                <w:szCs w:val="22"/>
              </w:rPr>
              <w:t>9</w:t>
            </w:r>
            <w:r>
              <w:rPr>
                <w:rFonts w:hint="eastAsia"/>
                <w:color w:val="auto"/>
                <w:sz w:val="22"/>
                <w:szCs w:val="22"/>
                <w:lang w:val="en-US" w:eastAsia="zh-CN"/>
              </w:rPr>
              <w:t xml:space="preserve">  </w:t>
            </w:r>
            <w:r>
              <w:rPr>
                <w:rFonts w:hint="eastAsia"/>
                <w:color w:val="auto"/>
                <w:sz w:val="22"/>
                <w:szCs w:val="22"/>
              </w:rPr>
              <w:t>土壤理化特性调查表</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261"/>
              <w:gridCol w:w="1260"/>
              <w:gridCol w:w="1260"/>
              <w:gridCol w:w="1442"/>
              <w:gridCol w:w="1623"/>
            </w:tblGrid>
            <w:tr w14:paraId="3926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restart"/>
                  <w:tcBorders>
                    <w:top w:val="single" w:color="auto" w:sz="4" w:space="0"/>
                    <w:left w:val="single" w:color="auto" w:sz="4" w:space="0"/>
                    <w:bottom w:val="single" w:color="auto" w:sz="4" w:space="0"/>
                    <w:right w:val="single" w:color="auto" w:sz="4" w:space="0"/>
                  </w:tcBorders>
                  <w:vAlign w:val="center"/>
                </w:tcPr>
                <w:p w14:paraId="4923140C">
                  <w:pPr>
                    <w:tabs>
                      <w:tab w:val="left" w:pos="5745"/>
                    </w:tabs>
                    <w:snapToGrid w:val="0"/>
                    <w:jc w:val="center"/>
                    <w:rPr>
                      <w:sz w:val="22"/>
                      <w:szCs w:val="22"/>
                    </w:rPr>
                  </w:pPr>
                  <w:r>
                    <w:rPr>
                      <w:rFonts w:hint="eastAsia"/>
                      <w:sz w:val="22"/>
                      <w:szCs w:val="22"/>
                    </w:rPr>
                    <w:t>点位</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2498AF4A">
                  <w:pPr>
                    <w:tabs>
                      <w:tab w:val="left" w:pos="5745"/>
                    </w:tabs>
                    <w:snapToGrid w:val="0"/>
                    <w:jc w:val="center"/>
                    <w:rPr>
                      <w:sz w:val="22"/>
                      <w:szCs w:val="22"/>
                    </w:rPr>
                  </w:pPr>
                  <w:r>
                    <w:rPr>
                      <w:rFonts w:hint="eastAsia"/>
                      <w:sz w:val="22"/>
                      <w:szCs w:val="22"/>
                    </w:rPr>
                    <w:t>层次</w:t>
                  </w:r>
                </w:p>
              </w:tc>
              <w:tc>
                <w:tcPr>
                  <w:tcW w:w="4394" w:type="dxa"/>
                  <w:gridSpan w:val="4"/>
                  <w:tcBorders>
                    <w:top w:val="single" w:color="auto" w:sz="4" w:space="0"/>
                    <w:left w:val="single" w:color="auto" w:sz="4" w:space="0"/>
                    <w:bottom w:val="single" w:color="auto" w:sz="4" w:space="0"/>
                    <w:right w:val="single" w:color="auto" w:sz="4" w:space="0"/>
                  </w:tcBorders>
                  <w:vAlign w:val="center"/>
                </w:tcPr>
                <w:p w14:paraId="593624C2">
                  <w:pPr>
                    <w:tabs>
                      <w:tab w:val="left" w:pos="5745"/>
                    </w:tabs>
                    <w:snapToGrid w:val="0"/>
                    <w:jc w:val="center"/>
                    <w:rPr>
                      <w:sz w:val="22"/>
                      <w:szCs w:val="22"/>
                    </w:rPr>
                  </w:pPr>
                  <w:r>
                    <w:rPr>
                      <w:rFonts w:hint="eastAsia"/>
                      <w:sz w:val="22"/>
                      <w:szCs w:val="22"/>
                    </w:rPr>
                    <w:t>现场记录</w:t>
                  </w:r>
                </w:p>
              </w:tc>
            </w:tr>
            <w:tr w14:paraId="49CC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vAlign w:val="center"/>
                </w:tcPr>
                <w:p w14:paraId="452354CB">
                  <w:pPr>
                    <w:jc w:val="center"/>
                    <w:rPr>
                      <w:sz w:val="22"/>
                      <w:szCs w:val="22"/>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7E72293">
                  <w:pPr>
                    <w:jc w:val="center"/>
                    <w:rPr>
                      <w:sz w:val="22"/>
                      <w:szCs w:val="22"/>
                    </w:rPr>
                  </w:pPr>
                </w:p>
              </w:tc>
              <w:tc>
                <w:tcPr>
                  <w:tcW w:w="992" w:type="dxa"/>
                  <w:tcBorders>
                    <w:top w:val="single" w:color="auto" w:sz="4" w:space="0"/>
                    <w:left w:val="single" w:color="auto" w:sz="4" w:space="0"/>
                    <w:bottom w:val="single" w:color="auto" w:sz="4" w:space="0"/>
                    <w:right w:val="single" w:color="auto" w:sz="4" w:space="0"/>
                  </w:tcBorders>
                  <w:vAlign w:val="center"/>
                </w:tcPr>
                <w:p w14:paraId="53D208AC">
                  <w:pPr>
                    <w:tabs>
                      <w:tab w:val="left" w:pos="5745"/>
                    </w:tabs>
                    <w:snapToGrid w:val="0"/>
                    <w:jc w:val="center"/>
                    <w:rPr>
                      <w:sz w:val="22"/>
                      <w:szCs w:val="22"/>
                    </w:rPr>
                  </w:pPr>
                  <w:r>
                    <w:rPr>
                      <w:rFonts w:hint="eastAsia"/>
                      <w:sz w:val="22"/>
                      <w:szCs w:val="22"/>
                    </w:rPr>
                    <w:t>颜色</w:t>
                  </w:r>
                </w:p>
              </w:tc>
              <w:tc>
                <w:tcPr>
                  <w:tcW w:w="992" w:type="dxa"/>
                  <w:tcBorders>
                    <w:top w:val="single" w:color="auto" w:sz="4" w:space="0"/>
                    <w:left w:val="single" w:color="auto" w:sz="4" w:space="0"/>
                    <w:bottom w:val="single" w:color="auto" w:sz="4" w:space="0"/>
                    <w:right w:val="single" w:color="auto" w:sz="4" w:space="0"/>
                  </w:tcBorders>
                  <w:vAlign w:val="center"/>
                </w:tcPr>
                <w:p w14:paraId="016F986B">
                  <w:pPr>
                    <w:tabs>
                      <w:tab w:val="left" w:pos="5745"/>
                    </w:tabs>
                    <w:snapToGrid w:val="0"/>
                    <w:jc w:val="center"/>
                    <w:rPr>
                      <w:sz w:val="22"/>
                      <w:szCs w:val="22"/>
                    </w:rPr>
                  </w:pPr>
                  <w:r>
                    <w:rPr>
                      <w:rFonts w:hint="eastAsia"/>
                      <w:sz w:val="22"/>
                      <w:szCs w:val="22"/>
                    </w:rPr>
                    <w:t>质地</w:t>
                  </w:r>
                </w:p>
              </w:tc>
              <w:tc>
                <w:tcPr>
                  <w:tcW w:w="1134" w:type="dxa"/>
                  <w:tcBorders>
                    <w:top w:val="single" w:color="auto" w:sz="4" w:space="0"/>
                    <w:left w:val="single" w:color="auto" w:sz="4" w:space="0"/>
                    <w:bottom w:val="single" w:color="auto" w:sz="4" w:space="0"/>
                    <w:right w:val="single" w:color="auto" w:sz="4" w:space="0"/>
                  </w:tcBorders>
                  <w:vAlign w:val="center"/>
                </w:tcPr>
                <w:p w14:paraId="393DCD60">
                  <w:pPr>
                    <w:tabs>
                      <w:tab w:val="left" w:pos="5745"/>
                    </w:tabs>
                    <w:snapToGrid w:val="0"/>
                    <w:jc w:val="center"/>
                    <w:rPr>
                      <w:sz w:val="22"/>
                      <w:szCs w:val="22"/>
                    </w:rPr>
                  </w:pPr>
                  <w:r>
                    <w:rPr>
                      <w:rFonts w:hint="eastAsia"/>
                      <w:sz w:val="22"/>
                      <w:szCs w:val="22"/>
                    </w:rPr>
                    <w:t>砂砾含量</w:t>
                  </w:r>
                </w:p>
              </w:tc>
              <w:tc>
                <w:tcPr>
                  <w:tcW w:w="1276" w:type="dxa"/>
                  <w:tcBorders>
                    <w:top w:val="single" w:color="auto" w:sz="4" w:space="0"/>
                    <w:left w:val="single" w:color="auto" w:sz="4" w:space="0"/>
                    <w:bottom w:val="single" w:color="auto" w:sz="4" w:space="0"/>
                    <w:right w:val="single" w:color="auto" w:sz="4" w:space="0"/>
                  </w:tcBorders>
                  <w:vAlign w:val="center"/>
                </w:tcPr>
                <w:p w14:paraId="55D81A8E">
                  <w:pPr>
                    <w:tabs>
                      <w:tab w:val="left" w:pos="5745"/>
                    </w:tabs>
                    <w:snapToGrid w:val="0"/>
                    <w:jc w:val="center"/>
                    <w:rPr>
                      <w:sz w:val="22"/>
                      <w:szCs w:val="22"/>
                    </w:rPr>
                  </w:pPr>
                  <w:r>
                    <w:rPr>
                      <w:rFonts w:hint="eastAsia"/>
                      <w:sz w:val="22"/>
                      <w:szCs w:val="22"/>
                    </w:rPr>
                    <w:t>其他异物</w:t>
                  </w:r>
                </w:p>
              </w:tc>
            </w:tr>
            <w:tr w14:paraId="44E2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3D6C2B73">
                  <w:pPr>
                    <w:tabs>
                      <w:tab w:val="left" w:pos="5745"/>
                    </w:tabs>
                    <w:snapToGrid w:val="0"/>
                    <w:jc w:val="center"/>
                    <w:rPr>
                      <w:rFonts w:hint="default" w:eastAsia="宋体"/>
                      <w:sz w:val="22"/>
                      <w:szCs w:val="22"/>
                      <w:lang w:val="en-US" w:eastAsia="zh-CN"/>
                    </w:rPr>
                  </w:pPr>
                  <w:r>
                    <w:rPr>
                      <w:sz w:val="22"/>
                      <w:szCs w:val="22"/>
                    </w:rPr>
                    <w:t>S1</w:t>
                  </w:r>
                  <w:r>
                    <w:rPr>
                      <w:rFonts w:hint="eastAsia"/>
                      <w:sz w:val="22"/>
                      <w:szCs w:val="22"/>
                      <w:lang w:val="en-US" w:eastAsia="zh-CN"/>
                    </w:rPr>
                    <w:t>-1-1</w:t>
                  </w:r>
                </w:p>
              </w:tc>
              <w:tc>
                <w:tcPr>
                  <w:tcW w:w="993" w:type="dxa"/>
                  <w:tcBorders>
                    <w:top w:val="single" w:color="auto" w:sz="4" w:space="0"/>
                    <w:left w:val="single" w:color="auto" w:sz="4" w:space="0"/>
                    <w:bottom w:val="single" w:color="auto" w:sz="4" w:space="0"/>
                    <w:right w:val="single" w:color="auto" w:sz="4" w:space="0"/>
                  </w:tcBorders>
                  <w:vAlign w:val="center"/>
                </w:tcPr>
                <w:p w14:paraId="3ACF9969">
                  <w:pPr>
                    <w:tabs>
                      <w:tab w:val="left" w:pos="5745"/>
                    </w:tabs>
                    <w:snapToGrid w:val="0"/>
                    <w:jc w:val="center"/>
                    <w:rPr>
                      <w:sz w:val="22"/>
                      <w:szCs w:val="22"/>
                    </w:rPr>
                  </w:pPr>
                  <w:r>
                    <w:rPr>
                      <w:rFonts w:hint="eastAsia"/>
                      <w:sz w:val="22"/>
                      <w:szCs w:val="22"/>
                    </w:rPr>
                    <w:t>表层样</w:t>
                  </w:r>
                </w:p>
              </w:tc>
              <w:tc>
                <w:tcPr>
                  <w:tcW w:w="992" w:type="dxa"/>
                  <w:tcBorders>
                    <w:top w:val="single" w:color="auto" w:sz="4" w:space="0"/>
                    <w:left w:val="single" w:color="auto" w:sz="4" w:space="0"/>
                    <w:bottom w:val="single" w:color="auto" w:sz="4" w:space="0"/>
                    <w:right w:val="single" w:color="auto" w:sz="4" w:space="0"/>
                  </w:tcBorders>
                  <w:vAlign w:val="center"/>
                </w:tcPr>
                <w:p w14:paraId="574006BB">
                  <w:pPr>
                    <w:tabs>
                      <w:tab w:val="left" w:pos="5745"/>
                    </w:tabs>
                    <w:snapToGrid w:val="0"/>
                    <w:jc w:val="center"/>
                    <w:rPr>
                      <w:sz w:val="22"/>
                      <w:szCs w:val="22"/>
                    </w:rPr>
                  </w:pPr>
                  <w:r>
                    <w:rPr>
                      <w:rFonts w:hint="eastAsia"/>
                      <w:sz w:val="22"/>
                      <w:szCs w:val="22"/>
                    </w:rPr>
                    <w:t>棕色</w:t>
                  </w:r>
                </w:p>
              </w:tc>
              <w:tc>
                <w:tcPr>
                  <w:tcW w:w="992" w:type="dxa"/>
                  <w:tcBorders>
                    <w:top w:val="single" w:color="auto" w:sz="4" w:space="0"/>
                    <w:left w:val="single" w:color="auto" w:sz="4" w:space="0"/>
                    <w:bottom w:val="single" w:color="auto" w:sz="4" w:space="0"/>
                    <w:right w:val="single" w:color="auto" w:sz="4" w:space="0"/>
                  </w:tcBorders>
                  <w:vAlign w:val="center"/>
                </w:tcPr>
                <w:p w14:paraId="4E0D257B">
                  <w:pPr>
                    <w:tabs>
                      <w:tab w:val="left" w:pos="5745"/>
                    </w:tabs>
                    <w:snapToGrid w:val="0"/>
                    <w:jc w:val="center"/>
                    <w:rPr>
                      <w:sz w:val="22"/>
                      <w:szCs w:val="22"/>
                    </w:rPr>
                  </w:pPr>
                  <w:r>
                    <w:rPr>
                      <w:rFonts w:hint="eastAsia"/>
                      <w:sz w:val="22"/>
                      <w:szCs w:val="22"/>
                      <w:lang w:val="en-US" w:eastAsia="zh-CN"/>
                    </w:rPr>
                    <w:t>砂</w:t>
                  </w:r>
                  <w:r>
                    <w:rPr>
                      <w:rFonts w:hint="eastAsia"/>
                      <w:sz w:val="22"/>
                      <w:szCs w:val="22"/>
                    </w:rPr>
                    <w:t>壤土</w:t>
                  </w:r>
                </w:p>
              </w:tc>
              <w:tc>
                <w:tcPr>
                  <w:tcW w:w="1134" w:type="dxa"/>
                  <w:tcBorders>
                    <w:top w:val="single" w:color="auto" w:sz="4" w:space="0"/>
                    <w:left w:val="single" w:color="auto" w:sz="4" w:space="0"/>
                    <w:bottom w:val="single" w:color="auto" w:sz="4" w:space="0"/>
                    <w:right w:val="single" w:color="auto" w:sz="4" w:space="0"/>
                  </w:tcBorders>
                  <w:vAlign w:val="center"/>
                </w:tcPr>
                <w:p w14:paraId="550E282E">
                  <w:pPr>
                    <w:tabs>
                      <w:tab w:val="left" w:pos="5745"/>
                    </w:tabs>
                    <w:snapToGrid w:val="0"/>
                    <w:jc w:val="center"/>
                    <w:rPr>
                      <w:rFonts w:hint="eastAsia" w:eastAsia="宋体"/>
                      <w:sz w:val="22"/>
                      <w:szCs w:val="22"/>
                      <w:lang w:eastAsia="zh-CN"/>
                    </w:rPr>
                  </w:pPr>
                  <w:r>
                    <w:rPr>
                      <w:rFonts w:hint="eastAsia"/>
                      <w:sz w:val="22"/>
                      <w:szCs w:val="22"/>
                      <w:lang w:val="en-US" w:eastAsia="zh-CN"/>
                    </w:rPr>
                    <w:t>干</w:t>
                  </w:r>
                </w:p>
              </w:tc>
              <w:tc>
                <w:tcPr>
                  <w:tcW w:w="1276" w:type="dxa"/>
                  <w:tcBorders>
                    <w:top w:val="single" w:color="auto" w:sz="4" w:space="0"/>
                    <w:left w:val="single" w:color="auto" w:sz="4" w:space="0"/>
                    <w:bottom w:val="single" w:color="auto" w:sz="4" w:space="0"/>
                    <w:right w:val="single" w:color="auto" w:sz="4" w:space="0"/>
                  </w:tcBorders>
                  <w:vAlign w:val="center"/>
                </w:tcPr>
                <w:p w14:paraId="05FAA172">
                  <w:pPr>
                    <w:tabs>
                      <w:tab w:val="left" w:pos="5745"/>
                    </w:tabs>
                    <w:snapToGrid w:val="0"/>
                    <w:jc w:val="center"/>
                    <w:rPr>
                      <w:sz w:val="22"/>
                      <w:szCs w:val="22"/>
                    </w:rPr>
                  </w:pPr>
                  <w:r>
                    <w:rPr>
                      <w:rFonts w:hint="eastAsia"/>
                      <w:sz w:val="22"/>
                      <w:szCs w:val="22"/>
                      <w:lang w:val="en-US" w:eastAsia="zh-CN"/>
                    </w:rPr>
                    <w:t>大量</w:t>
                  </w:r>
                  <w:r>
                    <w:rPr>
                      <w:rFonts w:hint="eastAsia"/>
                      <w:sz w:val="22"/>
                      <w:szCs w:val="22"/>
                    </w:rPr>
                    <w:t>根系</w:t>
                  </w:r>
                </w:p>
              </w:tc>
            </w:tr>
          </w:tbl>
          <w:p w14:paraId="3CECE70E">
            <w:pPr>
              <w:tabs>
                <w:tab w:val="left" w:pos="5745"/>
              </w:tabs>
              <w:snapToGrid w:val="0"/>
              <w:spacing w:line="460" w:lineRule="exact"/>
              <w:ind w:firstLine="520" w:firstLineChars="200"/>
              <w:rPr>
                <w:sz w:val="26"/>
                <w:szCs w:val="26"/>
              </w:rPr>
            </w:pPr>
            <w:r>
              <w:rPr>
                <w:rFonts w:hint="eastAsia"/>
                <w:sz w:val="26"/>
                <w:szCs w:val="26"/>
              </w:rPr>
              <w:t>（</w:t>
            </w:r>
            <w:r>
              <w:rPr>
                <w:sz w:val="26"/>
                <w:szCs w:val="26"/>
              </w:rPr>
              <w:t>2</w:t>
            </w:r>
            <w:r>
              <w:rPr>
                <w:rFonts w:hint="eastAsia"/>
                <w:sz w:val="26"/>
                <w:szCs w:val="26"/>
              </w:rPr>
              <w:t>）评价标准</w:t>
            </w:r>
          </w:p>
          <w:p w14:paraId="35CB77E1">
            <w:pPr>
              <w:tabs>
                <w:tab w:val="left" w:pos="5745"/>
              </w:tabs>
              <w:snapToGrid w:val="0"/>
              <w:spacing w:line="460" w:lineRule="exact"/>
              <w:ind w:firstLine="520" w:firstLineChars="200"/>
              <w:rPr>
                <w:sz w:val="26"/>
                <w:szCs w:val="26"/>
              </w:rPr>
            </w:pPr>
            <w:r>
              <w:rPr>
                <w:rFonts w:hint="eastAsia"/>
                <w:sz w:val="26"/>
                <w:szCs w:val="26"/>
              </w:rPr>
              <w:t>根据区域土壤特点和土地功能，项目土壤监测点位位于站区内，属建设用地，执行《土壤环境质量 建设用地土壤污染风险管控标准（试行）》（GB36600-2018）第二类用地筛选值。</w:t>
            </w:r>
          </w:p>
          <w:p w14:paraId="69AAD2FD">
            <w:pPr>
              <w:tabs>
                <w:tab w:val="left" w:pos="5745"/>
              </w:tabs>
              <w:snapToGrid w:val="0"/>
              <w:spacing w:line="460" w:lineRule="exact"/>
              <w:ind w:firstLine="520" w:firstLineChars="200"/>
              <w:rPr>
                <w:sz w:val="26"/>
                <w:szCs w:val="26"/>
              </w:rPr>
            </w:pPr>
            <w:r>
              <w:rPr>
                <w:rFonts w:hint="eastAsia"/>
                <w:sz w:val="26"/>
                <w:szCs w:val="26"/>
              </w:rPr>
              <w:t>（</w:t>
            </w:r>
            <w:r>
              <w:rPr>
                <w:sz w:val="26"/>
                <w:szCs w:val="26"/>
              </w:rPr>
              <w:t>3</w:t>
            </w:r>
            <w:r>
              <w:rPr>
                <w:rFonts w:hint="eastAsia"/>
                <w:sz w:val="26"/>
                <w:szCs w:val="26"/>
              </w:rPr>
              <w:t>）评价方法</w:t>
            </w:r>
          </w:p>
          <w:p w14:paraId="69DBBB93">
            <w:pPr>
              <w:tabs>
                <w:tab w:val="left" w:pos="5745"/>
              </w:tabs>
              <w:snapToGrid w:val="0"/>
              <w:spacing w:line="460" w:lineRule="exact"/>
              <w:ind w:firstLine="520" w:firstLineChars="200"/>
              <w:rPr>
                <w:sz w:val="26"/>
                <w:szCs w:val="26"/>
              </w:rPr>
            </w:pPr>
            <w:r>
              <w:rPr>
                <w:rFonts w:hint="eastAsia"/>
                <w:sz w:val="26"/>
                <w:szCs w:val="26"/>
              </w:rPr>
              <w:t>采用标准指数法评价。</w:t>
            </w:r>
          </w:p>
          <w:p w14:paraId="372A2250">
            <w:pPr>
              <w:tabs>
                <w:tab w:val="left" w:pos="5745"/>
              </w:tabs>
              <w:snapToGrid w:val="0"/>
              <w:spacing w:line="460" w:lineRule="exact"/>
              <w:ind w:firstLine="520" w:firstLineChars="200"/>
              <w:rPr>
                <w:sz w:val="26"/>
                <w:szCs w:val="26"/>
              </w:rPr>
            </w:pPr>
            <w:r>
              <w:rPr>
                <w:rFonts w:hint="eastAsia"/>
                <w:sz w:val="26"/>
                <w:szCs w:val="26"/>
              </w:rPr>
              <w:t>（</w:t>
            </w:r>
            <w:r>
              <w:rPr>
                <w:sz w:val="26"/>
                <w:szCs w:val="26"/>
              </w:rPr>
              <w:t>4</w:t>
            </w:r>
            <w:r>
              <w:rPr>
                <w:rFonts w:hint="eastAsia"/>
                <w:sz w:val="26"/>
                <w:szCs w:val="26"/>
              </w:rPr>
              <w:t>）评价结果</w:t>
            </w:r>
          </w:p>
          <w:p w14:paraId="70EA85FA">
            <w:pPr>
              <w:tabs>
                <w:tab w:val="left" w:pos="5745"/>
              </w:tabs>
              <w:snapToGrid w:val="0"/>
              <w:spacing w:line="460" w:lineRule="exact"/>
              <w:ind w:firstLine="520" w:firstLineChars="200"/>
              <w:rPr>
                <w:sz w:val="26"/>
                <w:szCs w:val="26"/>
              </w:rPr>
            </w:pPr>
            <w:r>
              <w:rPr>
                <w:rFonts w:hint="eastAsia"/>
                <w:sz w:val="26"/>
                <w:szCs w:val="26"/>
              </w:rPr>
              <w:t>土壤环境质量现状评价见下表</w:t>
            </w:r>
            <w:r>
              <w:rPr>
                <w:sz w:val="26"/>
                <w:szCs w:val="26"/>
              </w:rPr>
              <w:t>3.1-</w:t>
            </w:r>
            <w:r>
              <w:rPr>
                <w:rFonts w:hint="eastAsia"/>
                <w:sz w:val="26"/>
                <w:szCs w:val="26"/>
              </w:rPr>
              <w:t>10所示。</w:t>
            </w:r>
          </w:p>
          <w:p w14:paraId="1F5A74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6"/>
                <w:szCs w:val="26"/>
              </w:rPr>
            </w:pPr>
            <w:r>
              <w:rPr>
                <w:rFonts w:hint="eastAsia"/>
                <w:sz w:val="22"/>
                <w:szCs w:val="22"/>
              </w:rPr>
              <w:t>表</w:t>
            </w:r>
            <w:r>
              <w:rPr>
                <w:sz w:val="22"/>
                <w:szCs w:val="22"/>
              </w:rPr>
              <w:t>3.1-</w:t>
            </w:r>
            <w:r>
              <w:rPr>
                <w:rFonts w:hint="eastAsia"/>
                <w:sz w:val="22"/>
                <w:szCs w:val="22"/>
              </w:rPr>
              <w:t>10</w:t>
            </w:r>
            <w:r>
              <w:rPr>
                <w:rFonts w:hint="eastAsia"/>
                <w:sz w:val="22"/>
                <w:szCs w:val="22"/>
                <w:lang w:val="en-US" w:eastAsia="zh-CN"/>
              </w:rPr>
              <w:t xml:space="preserve">  </w:t>
            </w:r>
            <w:r>
              <w:rPr>
                <w:rFonts w:hint="eastAsia"/>
                <w:sz w:val="22"/>
                <w:szCs w:val="22"/>
              </w:rPr>
              <w:t>土壤环境质量现状监测及评价结果</w:t>
            </w:r>
            <w:r>
              <w:rPr>
                <w:rFonts w:hint="eastAsia"/>
                <w:sz w:val="22"/>
                <w:szCs w:val="22"/>
                <w:lang w:val="en-US" w:eastAsia="zh-CN"/>
              </w:rPr>
              <w:t xml:space="preserve">  </w:t>
            </w:r>
            <w:r>
              <w:rPr>
                <w:rFonts w:hint="eastAsia"/>
                <w:sz w:val="22"/>
                <w:szCs w:val="22"/>
              </w:rPr>
              <w:t>单位：</w:t>
            </w:r>
            <w:r>
              <w:rPr>
                <w:sz w:val="22"/>
                <w:szCs w:val="22"/>
              </w:rPr>
              <w:t>mg/kg</w:t>
            </w:r>
          </w:p>
          <w:tbl>
            <w:tblPr>
              <w:tblStyle w:val="17"/>
              <w:tblW w:w="484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4"/>
              <w:gridCol w:w="688"/>
              <w:gridCol w:w="737"/>
              <w:gridCol w:w="737"/>
              <w:gridCol w:w="737"/>
              <w:gridCol w:w="737"/>
              <w:gridCol w:w="737"/>
              <w:gridCol w:w="737"/>
              <w:gridCol w:w="737"/>
              <w:gridCol w:w="564"/>
              <w:gridCol w:w="739"/>
            </w:tblGrid>
            <w:tr w14:paraId="3D7BD8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shd w:val="clear" w:color="auto" w:fill="FFFFFF"/>
                  <w:vAlign w:val="center"/>
                </w:tcPr>
                <w:p w14:paraId="230AA1FF">
                  <w:pPr>
                    <w:pStyle w:val="62"/>
                    <w:rPr>
                      <w:color w:val="auto"/>
                      <w:sz w:val="22"/>
                    </w:rPr>
                  </w:pPr>
                  <w:r>
                    <w:rPr>
                      <w:rFonts w:hint="eastAsia"/>
                      <w:color w:val="auto"/>
                      <w:sz w:val="22"/>
                    </w:rPr>
                    <w:t>项目</w:t>
                  </w:r>
                </w:p>
              </w:tc>
              <w:tc>
                <w:tcPr>
                  <w:tcW w:w="681" w:type="dxa"/>
                  <w:tcBorders>
                    <w:top w:val="single" w:color="auto" w:sz="2" w:space="0"/>
                    <w:left w:val="single" w:color="auto" w:sz="2" w:space="0"/>
                    <w:bottom w:val="single" w:color="auto" w:sz="2" w:space="0"/>
                    <w:right w:val="single" w:color="auto" w:sz="2" w:space="0"/>
                  </w:tcBorders>
                  <w:shd w:val="clear" w:color="auto" w:fill="FFFFFF"/>
                  <w:vAlign w:val="center"/>
                </w:tcPr>
                <w:p w14:paraId="74323064">
                  <w:pPr>
                    <w:pStyle w:val="62"/>
                    <w:rPr>
                      <w:color w:val="auto"/>
                      <w:sz w:val="22"/>
                    </w:rPr>
                  </w:pPr>
                  <w:r>
                    <w:rPr>
                      <w:rFonts w:hint="eastAsia"/>
                      <w:color w:val="auto"/>
                      <w:sz w:val="22"/>
                    </w:rPr>
                    <w:t>六价铬</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75532BF2">
                  <w:pPr>
                    <w:pStyle w:val="62"/>
                    <w:rPr>
                      <w:color w:val="auto"/>
                      <w:sz w:val="22"/>
                    </w:rPr>
                  </w:pPr>
                  <w:r>
                    <w:rPr>
                      <w:rFonts w:hint="eastAsia"/>
                      <w:color w:val="auto"/>
                      <w:sz w:val="22"/>
                    </w:rPr>
                    <w:t>铜</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08367EAD">
                  <w:pPr>
                    <w:pStyle w:val="62"/>
                    <w:rPr>
                      <w:color w:val="auto"/>
                      <w:sz w:val="22"/>
                    </w:rPr>
                  </w:pPr>
                  <w:r>
                    <w:rPr>
                      <w:rFonts w:hint="eastAsia"/>
                      <w:color w:val="auto"/>
                      <w:sz w:val="22"/>
                    </w:rPr>
                    <w:t>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57A6080B">
                  <w:pPr>
                    <w:pStyle w:val="62"/>
                    <w:rPr>
                      <w:color w:val="auto"/>
                      <w:sz w:val="22"/>
                    </w:rPr>
                  </w:pPr>
                  <w:r>
                    <w:rPr>
                      <w:rFonts w:hint="eastAsia"/>
                      <w:color w:val="auto"/>
                      <w:sz w:val="22"/>
                    </w:rPr>
                    <w:t>汞</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2CD3431E">
                  <w:pPr>
                    <w:pStyle w:val="62"/>
                    <w:rPr>
                      <w:color w:val="auto"/>
                      <w:sz w:val="22"/>
                    </w:rPr>
                  </w:pPr>
                  <w:r>
                    <w:rPr>
                      <w:rFonts w:hint="eastAsia"/>
                      <w:color w:val="auto"/>
                      <w:sz w:val="22"/>
                    </w:rPr>
                    <w:t>铅</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3C1D840A">
                  <w:pPr>
                    <w:pStyle w:val="62"/>
                    <w:rPr>
                      <w:color w:val="auto"/>
                      <w:sz w:val="22"/>
                    </w:rPr>
                  </w:pPr>
                  <w:r>
                    <w:rPr>
                      <w:rFonts w:hint="eastAsia"/>
                      <w:color w:val="auto"/>
                      <w:sz w:val="22"/>
                    </w:rPr>
                    <w:t>镉</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78717F29">
                  <w:pPr>
                    <w:pStyle w:val="62"/>
                    <w:rPr>
                      <w:color w:val="auto"/>
                      <w:sz w:val="22"/>
                    </w:rPr>
                  </w:pPr>
                  <w:r>
                    <w:rPr>
                      <w:rFonts w:hint="eastAsia"/>
                      <w:color w:val="auto"/>
                      <w:sz w:val="22"/>
                    </w:rPr>
                    <w:t>镍</w:t>
                  </w:r>
                </w:p>
              </w:tc>
              <w:tc>
                <w:tcPr>
                  <w:tcW w:w="2016"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3441560A">
                  <w:pPr>
                    <w:widowControl/>
                    <w:jc w:val="center"/>
                    <w:rPr>
                      <w:color w:val="auto"/>
                      <w:sz w:val="22"/>
                      <w:szCs w:val="22"/>
                    </w:rPr>
                  </w:pPr>
                  <w:r>
                    <w:rPr>
                      <w:color w:val="auto"/>
                      <w:sz w:val="22"/>
                      <w:szCs w:val="22"/>
                    </w:rPr>
                    <w:t>石油烃（C</w:t>
                  </w:r>
                  <w:r>
                    <w:rPr>
                      <w:color w:val="auto"/>
                      <w:sz w:val="22"/>
                      <w:szCs w:val="22"/>
                      <w:vertAlign w:val="subscript"/>
                    </w:rPr>
                    <w:t>10</w:t>
                  </w:r>
                  <w:r>
                    <w:rPr>
                      <w:color w:val="auto"/>
                      <w:sz w:val="22"/>
                      <w:szCs w:val="22"/>
                    </w:rPr>
                    <w:t>-C</w:t>
                  </w:r>
                  <w:r>
                    <w:rPr>
                      <w:color w:val="auto"/>
                      <w:sz w:val="22"/>
                      <w:szCs w:val="22"/>
                      <w:vertAlign w:val="subscript"/>
                    </w:rPr>
                    <w:t>40</w:t>
                  </w:r>
                  <w:r>
                    <w:rPr>
                      <w:color w:val="auto"/>
                      <w:sz w:val="22"/>
                      <w:szCs w:val="22"/>
                    </w:rPr>
                    <w:t>）</w:t>
                  </w:r>
                </w:p>
              </w:tc>
            </w:tr>
            <w:tr w14:paraId="16DFAB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746BAE8C">
                  <w:pPr>
                    <w:pStyle w:val="62"/>
                    <w:rPr>
                      <w:rFonts w:hint="default" w:eastAsia="宋体"/>
                      <w:color w:val="auto"/>
                      <w:sz w:val="22"/>
                      <w:lang w:val="en-US" w:eastAsia="zh-CN"/>
                    </w:rPr>
                  </w:pPr>
                  <w:r>
                    <w:rPr>
                      <w:color w:val="auto"/>
                      <w:sz w:val="22"/>
                    </w:rPr>
                    <w:t>S1</w:t>
                  </w:r>
                  <w:r>
                    <w:rPr>
                      <w:rFonts w:hint="eastAsia"/>
                      <w:color w:val="auto"/>
                      <w:sz w:val="22"/>
                      <w:lang w:val="en-US" w:eastAsia="zh-CN"/>
                    </w:rPr>
                    <w:t>-1-1</w:t>
                  </w:r>
                </w:p>
              </w:tc>
              <w:tc>
                <w:tcPr>
                  <w:tcW w:w="681" w:type="dxa"/>
                  <w:tcBorders>
                    <w:top w:val="single" w:color="auto" w:sz="2" w:space="0"/>
                    <w:left w:val="single" w:color="auto" w:sz="2" w:space="0"/>
                    <w:bottom w:val="single" w:color="auto" w:sz="2" w:space="0"/>
                    <w:right w:val="single" w:color="auto" w:sz="2" w:space="0"/>
                  </w:tcBorders>
                  <w:vAlign w:val="center"/>
                </w:tcPr>
                <w:p w14:paraId="6B1E09DA">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12110829">
                  <w:pPr>
                    <w:pStyle w:val="62"/>
                    <w:rPr>
                      <w:rFonts w:hint="default" w:eastAsia="宋体"/>
                      <w:color w:val="auto"/>
                      <w:sz w:val="22"/>
                      <w:lang w:val="en-US" w:eastAsia="zh-CN"/>
                    </w:rPr>
                  </w:pPr>
                  <w:r>
                    <w:rPr>
                      <w:rFonts w:hint="eastAsia"/>
                      <w:color w:val="auto"/>
                      <w:sz w:val="22"/>
                      <w:lang w:val="en-US" w:eastAsia="zh-CN"/>
                    </w:rPr>
                    <w:t>24</w:t>
                  </w:r>
                </w:p>
              </w:tc>
              <w:tc>
                <w:tcPr>
                  <w:tcW w:w="731" w:type="dxa"/>
                  <w:tcBorders>
                    <w:top w:val="single" w:color="auto" w:sz="2" w:space="0"/>
                    <w:left w:val="single" w:color="auto" w:sz="2" w:space="0"/>
                    <w:bottom w:val="single" w:color="auto" w:sz="2" w:space="0"/>
                    <w:right w:val="single" w:color="auto" w:sz="2" w:space="0"/>
                  </w:tcBorders>
                  <w:vAlign w:val="center"/>
                </w:tcPr>
                <w:p w14:paraId="5734411A">
                  <w:pPr>
                    <w:pStyle w:val="62"/>
                    <w:rPr>
                      <w:rFonts w:hint="default" w:eastAsia="宋体"/>
                      <w:color w:val="auto"/>
                      <w:sz w:val="22"/>
                      <w:lang w:val="en-US" w:eastAsia="zh-CN"/>
                    </w:rPr>
                  </w:pPr>
                  <w:r>
                    <w:rPr>
                      <w:rFonts w:hint="eastAsia"/>
                      <w:color w:val="auto"/>
                      <w:sz w:val="22"/>
                      <w:lang w:val="en-US" w:eastAsia="zh-CN"/>
                    </w:rPr>
                    <w:t>1.84</w:t>
                  </w:r>
                </w:p>
              </w:tc>
              <w:tc>
                <w:tcPr>
                  <w:tcW w:w="731" w:type="dxa"/>
                  <w:tcBorders>
                    <w:top w:val="single" w:color="auto" w:sz="2" w:space="0"/>
                    <w:left w:val="single" w:color="auto" w:sz="2" w:space="0"/>
                    <w:bottom w:val="single" w:color="auto" w:sz="2" w:space="0"/>
                    <w:right w:val="single" w:color="auto" w:sz="2" w:space="0"/>
                  </w:tcBorders>
                  <w:vAlign w:val="center"/>
                </w:tcPr>
                <w:p w14:paraId="5EC2E18D">
                  <w:pPr>
                    <w:pStyle w:val="62"/>
                    <w:rPr>
                      <w:rFonts w:hint="default" w:eastAsia="宋体"/>
                      <w:color w:val="auto"/>
                      <w:sz w:val="22"/>
                      <w:lang w:val="en-US" w:eastAsia="zh-CN"/>
                    </w:rPr>
                  </w:pPr>
                  <w:r>
                    <w:rPr>
                      <w:rFonts w:hint="eastAsia"/>
                      <w:color w:val="auto"/>
                      <w:sz w:val="22"/>
                    </w:rPr>
                    <w:t>0.</w:t>
                  </w:r>
                  <w:r>
                    <w:rPr>
                      <w:rFonts w:hint="eastAsia"/>
                      <w:color w:val="auto"/>
                      <w:sz w:val="22"/>
                      <w:lang w:val="en-US" w:eastAsia="zh-CN"/>
                    </w:rPr>
                    <w:t>206</w:t>
                  </w:r>
                </w:p>
              </w:tc>
              <w:tc>
                <w:tcPr>
                  <w:tcW w:w="731" w:type="dxa"/>
                  <w:tcBorders>
                    <w:top w:val="single" w:color="auto" w:sz="2" w:space="0"/>
                    <w:left w:val="single" w:color="auto" w:sz="2" w:space="0"/>
                    <w:bottom w:val="single" w:color="auto" w:sz="2" w:space="0"/>
                    <w:right w:val="single" w:color="auto" w:sz="2" w:space="0"/>
                  </w:tcBorders>
                  <w:vAlign w:val="center"/>
                </w:tcPr>
                <w:p w14:paraId="13234FB1">
                  <w:pPr>
                    <w:pStyle w:val="62"/>
                    <w:rPr>
                      <w:rFonts w:hint="default" w:eastAsia="宋体"/>
                      <w:color w:val="auto"/>
                      <w:sz w:val="22"/>
                      <w:lang w:val="en-US" w:eastAsia="zh-CN"/>
                    </w:rPr>
                  </w:pPr>
                  <w:r>
                    <w:rPr>
                      <w:rFonts w:hint="eastAsia"/>
                      <w:color w:val="auto"/>
                      <w:sz w:val="22"/>
                      <w:lang w:val="en-US" w:eastAsia="zh-CN"/>
                    </w:rPr>
                    <w:t>36</w:t>
                  </w:r>
                </w:p>
              </w:tc>
              <w:tc>
                <w:tcPr>
                  <w:tcW w:w="731" w:type="dxa"/>
                  <w:tcBorders>
                    <w:top w:val="single" w:color="auto" w:sz="2" w:space="0"/>
                    <w:left w:val="single" w:color="auto" w:sz="2" w:space="0"/>
                    <w:bottom w:val="single" w:color="auto" w:sz="2" w:space="0"/>
                    <w:right w:val="single" w:color="auto" w:sz="2" w:space="0"/>
                  </w:tcBorders>
                  <w:vAlign w:val="center"/>
                </w:tcPr>
                <w:p w14:paraId="6E49ABBD">
                  <w:pPr>
                    <w:pStyle w:val="62"/>
                    <w:rPr>
                      <w:rFonts w:hint="default" w:eastAsia="宋体"/>
                      <w:color w:val="auto"/>
                      <w:sz w:val="22"/>
                      <w:lang w:val="en-US" w:eastAsia="zh-CN"/>
                    </w:rPr>
                  </w:pPr>
                  <w:r>
                    <w:rPr>
                      <w:rFonts w:hint="eastAsia"/>
                      <w:color w:val="auto"/>
                      <w:sz w:val="22"/>
                      <w:lang w:val="en-US" w:eastAsia="zh-CN"/>
                    </w:rPr>
                    <w:t>0.24</w:t>
                  </w:r>
                </w:p>
              </w:tc>
              <w:tc>
                <w:tcPr>
                  <w:tcW w:w="731" w:type="dxa"/>
                  <w:tcBorders>
                    <w:top w:val="single" w:color="auto" w:sz="2" w:space="0"/>
                    <w:left w:val="single" w:color="auto" w:sz="2" w:space="0"/>
                    <w:bottom w:val="single" w:color="auto" w:sz="2" w:space="0"/>
                    <w:right w:val="single" w:color="auto" w:sz="2" w:space="0"/>
                  </w:tcBorders>
                  <w:vAlign w:val="center"/>
                </w:tcPr>
                <w:p w14:paraId="5F053912">
                  <w:pPr>
                    <w:pStyle w:val="62"/>
                    <w:rPr>
                      <w:color w:val="auto"/>
                      <w:sz w:val="22"/>
                    </w:rPr>
                  </w:pPr>
                  <w:r>
                    <w:rPr>
                      <w:rFonts w:hint="eastAsia"/>
                      <w:color w:val="auto"/>
                      <w:sz w:val="22"/>
                    </w:rPr>
                    <w:t>26</w:t>
                  </w:r>
                </w:p>
              </w:tc>
              <w:tc>
                <w:tcPr>
                  <w:tcW w:w="2016" w:type="dxa"/>
                  <w:gridSpan w:val="3"/>
                  <w:tcBorders>
                    <w:top w:val="single" w:color="auto" w:sz="2" w:space="0"/>
                    <w:left w:val="single" w:color="auto" w:sz="2" w:space="0"/>
                    <w:bottom w:val="single" w:color="auto" w:sz="2" w:space="0"/>
                    <w:right w:val="single" w:color="auto" w:sz="2" w:space="0"/>
                  </w:tcBorders>
                  <w:vAlign w:val="center"/>
                </w:tcPr>
                <w:p w14:paraId="1C63BA2E">
                  <w:pPr>
                    <w:widowControl/>
                    <w:jc w:val="center"/>
                    <w:rPr>
                      <w:rFonts w:hint="default" w:eastAsia="等线"/>
                      <w:color w:val="auto"/>
                      <w:sz w:val="22"/>
                      <w:szCs w:val="22"/>
                      <w:lang w:val="en-US" w:eastAsia="zh-CN"/>
                    </w:rPr>
                  </w:pPr>
                  <w:r>
                    <w:rPr>
                      <w:rFonts w:hint="eastAsia" w:eastAsia="等线"/>
                      <w:color w:val="auto"/>
                      <w:sz w:val="22"/>
                      <w:szCs w:val="22"/>
                      <w:lang w:val="en-US" w:eastAsia="zh-CN"/>
                    </w:rPr>
                    <w:t>24</w:t>
                  </w:r>
                </w:p>
              </w:tc>
            </w:tr>
            <w:tr w14:paraId="1BC7A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2E611956">
                  <w:pPr>
                    <w:pStyle w:val="62"/>
                    <w:rPr>
                      <w:color w:val="auto"/>
                      <w:sz w:val="22"/>
                    </w:rPr>
                  </w:pPr>
                  <w:r>
                    <w:rPr>
                      <w:color w:val="auto"/>
                      <w:sz w:val="22"/>
                    </w:rPr>
                    <w:t>Ii</w:t>
                  </w:r>
                </w:p>
              </w:tc>
              <w:tc>
                <w:tcPr>
                  <w:tcW w:w="681" w:type="dxa"/>
                  <w:tcBorders>
                    <w:top w:val="single" w:color="auto" w:sz="2" w:space="0"/>
                    <w:left w:val="single" w:color="auto" w:sz="2" w:space="0"/>
                    <w:bottom w:val="single" w:color="auto" w:sz="2" w:space="0"/>
                    <w:right w:val="single" w:color="auto" w:sz="2" w:space="0"/>
                  </w:tcBorders>
                  <w:vAlign w:val="center"/>
                </w:tcPr>
                <w:p w14:paraId="52BEC036">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2939A51F">
                  <w:pPr>
                    <w:jc w:val="center"/>
                    <w:rPr>
                      <w:rFonts w:hint="default" w:eastAsia="宋体"/>
                      <w:color w:val="auto"/>
                      <w:sz w:val="22"/>
                      <w:szCs w:val="22"/>
                      <w:lang w:val="en-US" w:eastAsia="zh-CN"/>
                    </w:rPr>
                  </w:pPr>
                  <w:r>
                    <w:rPr>
                      <w:rFonts w:hint="eastAsia"/>
                      <w:color w:val="auto"/>
                      <w:sz w:val="22"/>
                      <w:szCs w:val="22"/>
                      <w:lang w:val="en-US" w:eastAsia="zh-CN"/>
                    </w:rPr>
                    <w:t>0.001</w:t>
                  </w:r>
                </w:p>
              </w:tc>
              <w:tc>
                <w:tcPr>
                  <w:tcW w:w="731" w:type="dxa"/>
                  <w:tcBorders>
                    <w:top w:val="single" w:color="auto" w:sz="2" w:space="0"/>
                    <w:left w:val="single" w:color="auto" w:sz="2" w:space="0"/>
                    <w:bottom w:val="single" w:color="auto" w:sz="2" w:space="0"/>
                    <w:right w:val="single" w:color="auto" w:sz="2" w:space="0"/>
                  </w:tcBorders>
                  <w:vAlign w:val="center"/>
                </w:tcPr>
                <w:p w14:paraId="10CCD6D0">
                  <w:pPr>
                    <w:jc w:val="center"/>
                    <w:rPr>
                      <w:rFonts w:hint="default" w:eastAsia="宋体"/>
                      <w:color w:val="auto"/>
                      <w:sz w:val="22"/>
                      <w:szCs w:val="22"/>
                      <w:lang w:val="en-US" w:eastAsia="zh-CN"/>
                    </w:rPr>
                  </w:pPr>
                  <w:r>
                    <w:rPr>
                      <w:rFonts w:hint="eastAsia"/>
                      <w:color w:val="auto"/>
                      <w:sz w:val="22"/>
                      <w:szCs w:val="22"/>
                      <w:lang w:val="en-US" w:eastAsia="zh-CN"/>
                    </w:rPr>
                    <w:t>0.031</w:t>
                  </w:r>
                </w:p>
              </w:tc>
              <w:tc>
                <w:tcPr>
                  <w:tcW w:w="731" w:type="dxa"/>
                  <w:tcBorders>
                    <w:top w:val="single" w:color="auto" w:sz="2" w:space="0"/>
                    <w:left w:val="single" w:color="auto" w:sz="2" w:space="0"/>
                    <w:bottom w:val="single" w:color="auto" w:sz="2" w:space="0"/>
                    <w:right w:val="single" w:color="auto" w:sz="2" w:space="0"/>
                  </w:tcBorders>
                  <w:vAlign w:val="center"/>
                </w:tcPr>
                <w:p w14:paraId="0DFED805">
                  <w:pPr>
                    <w:jc w:val="center"/>
                    <w:rPr>
                      <w:rFonts w:hint="default" w:eastAsia="宋体"/>
                      <w:color w:val="auto"/>
                      <w:sz w:val="22"/>
                      <w:szCs w:val="22"/>
                      <w:lang w:val="en-US" w:eastAsia="zh-CN"/>
                    </w:rPr>
                  </w:pPr>
                  <w:r>
                    <w:rPr>
                      <w:rFonts w:hint="eastAsia"/>
                      <w:color w:val="auto"/>
                      <w:sz w:val="22"/>
                      <w:szCs w:val="22"/>
                      <w:lang w:val="en-US" w:eastAsia="zh-CN"/>
                    </w:rPr>
                    <w:t>0.005</w:t>
                  </w:r>
                </w:p>
              </w:tc>
              <w:tc>
                <w:tcPr>
                  <w:tcW w:w="731" w:type="dxa"/>
                  <w:tcBorders>
                    <w:top w:val="single" w:color="auto" w:sz="2" w:space="0"/>
                    <w:left w:val="single" w:color="auto" w:sz="2" w:space="0"/>
                    <w:bottom w:val="single" w:color="auto" w:sz="2" w:space="0"/>
                    <w:right w:val="single" w:color="auto" w:sz="2" w:space="0"/>
                  </w:tcBorders>
                  <w:vAlign w:val="center"/>
                </w:tcPr>
                <w:p w14:paraId="251E2010">
                  <w:pPr>
                    <w:jc w:val="center"/>
                    <w:rPr>
                      <w:rFonts w:hint="default" w:eastAsia="宋体"/>
                      <w:color w:val="auto"/>
                      <w:sz w:val="22"/>
                      <w:szCs w:val="22"/>
                      <w:lang w:val="en-US" w:eastAsia="zh-CN"/>
                    </w:rPr>
                  </w:pPr>
                  <w:r>
                    <w:rPr>
                      <w:rFonts w:hint="eastAsia"/>
                      <w:color w:val="auto"/>
                      <w:sz w:val="22"/>
                      <w:szCs w:val="22"/>
                      <w:lang w:val="en-US" w:eastAsia="zh-CN"/>
                    </w:rPr>
                    <w:t>0.045</w:t>
                  </w:r>
                </w:p>
              </w:tc>
              <w:tc>
                <w:tcPr>
                  <w:tcW w:w="731" w:type="dxa"/>
                  <w:tcBorders>
                    <w:top w:val="single" w:color="auto" w:sz="2" w:space="0"/>
                    <w:left w:val="single" w:color="auto" w:sz="2" w:space="0"/>
                    <w:bottom w:val="single" w:color="auto" w:sz="2" w:space="0"/>
                    <w:right w:val="single" w:color="auto" w:sz="2" w:space="0"/>
                  </w:tcBorders>
                  <w:vAlign w:val="center"/>
                </w:tcPr>
                <w:p w14:paraId="435E1281">
                  <w:pPr>
                    <w:jc w:val="center"/>
                    <w:rPr>
                      <w:rFonts w:hint="default" w:eastAsia="宋体"/>
                      <w:color w:val="auto"/>
                      <w:sz w:val="22"/>
                      <w:szCs w:val="22"/>
                      <w:lang w:val="en-US" w:eastAsia="zh-CN"/>
                    </w:rPr>
                  </w:pPr>
                  <w:r>
                    <w:rPr>
                      <w:rFonts w:hint="eastAsia"/>
                      <w:color w:val="auto"/>
                      <w:sz w:val="22"/>
                      <w:szCs w:val="22"/>
                      <w:lang w:val="en-US" w:eastAsia="zh-CN"/>
                    </w:rPr>
                    <w:t>0.004</w:t>
                  </w:r>
                </w:p>
              </w:tc>
              <w:tc>
                <w:tcPr>
                  <w:tcW w:w="731" w:type="dxa"/>
                  <w:tcBorders>
                    <w:top w:val="single" w:color="auto" w:sz="2" w:space="0"/>
                    <w:left w:val="single" w:color="auto" w:sz="2" w:space="0"/>
                    <w:bottom w:val="single" w:color="auto" w:sz="2" w:space="0"/>
                    <w:right w:val="single" w:color="auto" w:sz="2" w:space="0"/>
                  </w:tcBorders>
                  <w:vAlign w:val="center"/>
                </w:tcPr>
                <w:p w14:paraId="56DB8717">
                  <w:pPr>
                    <w:jc w:val="center"/>
                    <w:rPr>
                      <w:rFonts w:hint="default" w:eastAsia="宋体"/>
                      <w:color w:val="auto"/>
                      <w:sz w:val="22"/>
                      <w:szCs w:val="22"/>
                      <w:lang w:val="en-US" w:eastAsia="zh-CN"/>
                    </w:rPr>
                  </w:pPr>
                  <w:r>
                    <w:rPr>
                      <w:rFonts w:hint="eastAsia"/>
                      <w:color w:val="auto"/>
                      <w:sz w:val="22"/>
                      <w:szCs w:val="22"/>
                      <w:lang w:val="en-US" w:eastAsia="zh-CN"/>
                    </w:rPr>
                    <w:t>0.029</w:t>
                  </w:r>
                </w:p>
              </w:tc>
              <w:tc>
                <w:tcPr>
                  <w:tcW w:w="2016" w:type="dxa"/>
                  <w:gridSpan w:val="3"/>
                  <w:tcBorders>
                    <w:top w:val="single" w:color="auto" w:sz="2" w:space="0"/>
                    <w:left w:val="single" w:color="auto" w:sz="2" w:space="0"/>
                    <w:bottom w:val="single" w:color="auto" w:sz="2" w:space="0"/>
                    <w:right w:val="single" w:color="auto" w:sz="2" w:space="0"/>
                  </w:tcBorders>
                  <w:vAlign w:val="center"/>
                </w:tcPr>
                <w:p w14:paraId="07B33970">
                  <w:pPr>
                    <w:widowControl/>
                    <w:jc w:val="center"/>
                    <w:rPr>
                      <w:rFonts w:hint="default" w:eastAsia="等线"/>
                      <w:color w:val="auto"/>
                      <w:sz w:val="22"/>
                      <w:szCs w:val="22"/>
                      <w:lang w:val="en-US" w:eastAsia="zh-CN"/>
                    </w:rPr>
                  </w:pPr>
                  <w:r>
                    <w:rPr>
                      <w:rFonts w:hint="eastAsia" w:eastAsia="等线"/>
                      <w:color w:val="auto"/>
                      <w:sz w:val="22"/>
                      <w:szCs w:val="22"/>
                      <w:lang w:val="en-US" w:eastAsia="zh-CN"/>
                    </w:rPr>
                    <w:t>0.005</w:t>
                  </w:r>
                </w:p>
              </w:tc>
            </w:tr>
            <w:tr w14:paraId="37F32E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21660C4A">
                  <w:pPr>
                    <w:pStyle w:val="62"/>
                    <w:rPr>
                      <w:color w:val="auto"/>
                      <w:sz w:val="22"/>
                    </w:rPr>
                  </w:pPr>
                  <w:r>
                    <w:rPr>
                      <w:rFonts w:hint="eastAsia"/>
                      <w:color w:val="auto"/>
                      <w:sz w:val="22"/>
                    </w:rPr>
                    <w:t>标准值</w:t>
                  </w:r>
                </w:p>
              </w:tc>
              <w:tc>
                <w:tcPr>
                  <w:tcW w:w="681" w:type="dxa"/>
                  <w:tcBorders>
                    <w:top w:val="single" w:color="auto" w:sz="2" w:space="0"/>
                    <w:left w:val="single" w:color="auto" w:sz="2" w:space="0"/>
                    <w:bottom w:val="single" w:color="auto" w:sz="2" w:space="0"/>
                    <w:right w:val="single" w:color="auto" w:sz="2" w:space="0"/>
                  </w:tcBorders>
                  <w:vAlign w:val="center"/>
                </w:tcPr>
                <w:p w14:paraId="6802B307">
                  <w:pPr>
                    <w:pStyle w:val="62"/>
                    <w:rPr>
                      <w:color w:val="auto"/>
                      <w:sz w:val="22"/>
                    </w:rPr>
                  </w:pPr>
                  <w:r>
                    <w:rPr>
                      <w:color w:val="auto"/>
                      <w:sz w:val="22"/>
                    </w:rPr>
                    <w:t>5.7</w:t>
                  </w:r>
                </w:p>
              </w:tc>
              <w:tc>
                <w:tcPr>
                  <w:tcW w:w="731" w:type="dxa"/>
                  <w:tcBorders>
                    <w:top w:val="single" w:color="auto" w:sz="2" w:space="0"/>
                    <w:left w:val="single" w:color="auto" w:sz="2" w:space="0"/>
                    <w:bottom w:val="single" w:color="auto" w:sz="2" w:space="0"/>
                    <w:right w:val="single" w:color="auto" w:sz="2" w:space="0"/>
                  </w:tcBorders>
                  <w:vAlign w:val="center"/>
                </w:tcPr>
                <w:p w14:paraId="1EEE794E">
                  <w:pPr>
                    <w:pStyle w:val="62"/>
                    <w:rPr>
                      <w:color w:val="auto"/>
                      <w:sz w:val="22"/>
                    </w:rPr>
                  </w:pPr>
                  <w:r>
                    <w:rPr>
                      <w:color w:val="auto"/>
                      <w:sz w:val="22"/>
                    </w:rPr>
                    <w:t>18000</w:t>
                  </w:r>
                </w:p>
              </w:tc>
              <w:tc>
                <w:tcPr>
                  <w:tcW w:w="731" w:type="dxa"/>
                  <w:tcBorders>
                    <w:top w:val="single" w:color="auto" w:sz="2" w:space="0"/>
                    <w:left w:val="single" w:color="auto" w:sz="2" w:space="0"/>
                    <w:bottom w:val="single" w:color="auto" w:sz="2" w:space="0"/>
                    <w:right w:val="single" w:color="auto" w:sz="2" w:space="0"/>
                  </w:tcBorders>
                  <w:vAlign w:val="center"/>
                </w:tcPr>
                <w:p w14:paraId="60768B14">
                  <w:pPr>
                    <w:pStyle w:val="62"/>
                    <w:rPr>
                      <w:color w:val="auto"/>
                      <w:sz w:val="22"/>
                    </w:rPr>
                  </w:pPr>
                  <w:r>
                    <w:rPr>
                      <w:color w:val="auto"/>
                      <w:sz w:val="22"/>
                    </w:rPr>
                    <w:t>60</w:t>
                  </w:r>
                </w:p>
              </w:tc>
              <w:tc>
                <w:tcPr>
                  <w:tcW w:w="731" w:type="dxa"/>
                  <w:tcBorders>
                    <w:top w:val="single" w:color="auto" w:sz="2" w:space="0"/>
                    <w:left w:val="single" w:color="auto" w:sz="2" w:space="0"/>
                    <w:bottom w:val="single" w:color="auto" w:sz="2" w:space="0"/>
                    <w:right w:val="single" w:color="auto" w:sz="2" w:space="0"/>
                  </w:tcBorders>
                  <w:vAlign w:val="center"/>
                </w:tcPr>
                <w:p w14:paraId="2F7BC36A">
                  <w:pPr>
                    <w:pStyle w:val="62"/>
                    <w:rPr>
                      <w:color w:val="auto"/>
                      <w:sz w:val="22"/>
                    </w:rPr>
                  </w:pPr>
                  <w:r>
                    <w:rPr>
                      <w:color w:val="auto"/>
                      <w:sz w:val="22"/>
                    </w:rPr>
                    <w:t>38</w:t>
                  </w:r>
                </w:p>
              </w:tc>
              <w:tc>
                <w:tcPr>
                  <w:tcW w:w="731" w:type="dxa"/>
                  <w:tcBorders>
                    <w:top w:val="single" w:color="auto" w:sz="2" w:space="0"/>
                    <w:left w:val="single" w:color="auto" w:sz="2" w:space="0"/>
                    <w:bottom w:val="single" w:color="auto" w:sz="2" w:space="0"/>
                    <w:right w:val="single" w:color="auto" w:sz="2" w:space="0"/>
                  </w:tcBorders>
                  <w:vAlign w:val="center"/>
                </w:tcPr>
                <w:p w14:paraId="13F87805">
                  <w:pPr>
                    <w:pStyle w:val="62"/>
                    <w:rPr>
                      <w:color w:val="auto"/>
                      <w:sz w:val="22"/>
                    </w:rPr>
                  </w:pPr>
                  <w:r>
                    <w:rPr>
                      <w:color w:val="auto"/>
                      <w:sz w:val="22"/>
                    </w:rPr>
                    <w:t>800</w:t>
                  </w:r>
                </w:p>
              </w:tc>
              <w:tc>
                <w:tcPr>
                  <w:tcW w:w="731" w:type="dxa"/>
                  <w:tcBorders>
                    <w:top w:val="single" w:color="auto" w:sz="2" w:space="0"/>
                    <w:left w:val="single" w:color="auto" w:sz="2" w:space="0"/>
                    <w:bottom w:val="single" w:color="auto" w:sz="2" w:space="0"/>
                    <w:right w:val="single" w:color="auto" w:sz="2" w:space="0"/>
                  </w:tcBorders>
                  <w:vAlign w:val="center"/>
                </w:tcPr>
                <w:p w14:paraId="4229B917">
                  <w:pPr>
                    <w:pStyle w:val="62"/>
                    <w:rPr>
                      <w:color w:val="auto"/>
                      <w:sz w:val="22"/>
                    </w:rPr>
                  </w:pPr>
                  <w:r>
                    <w:rPr>
                      <w:color w:val="auto"/>
                      <w:sz w:val="22"/>
                    </w:rPr>
                    <w:t>65</w:t>
                  </w:r>
                </w:p>
              </w:tc>
              <w:tc>
                <w:tcPr>
                  <w:tcW w:w="731" w:type="dxa"/>
                  <w:tcBorders>
                    <w:top w:val="single" w:color="auto" w:sz="2" w:space="0"/>
                    <w:left w:val="single" w:color="auto" w:sz="2" w:space="0"/>
                    <w:bottom w:val="single" w:color="auto" w:sz="2" w:space="0"/>
                    <w:right w:val="single" w:color="auto" w:sz="2" w:space="0"/>
                  </w:tcBorders>
                  <w:vAlign w:val="center"/>
                </w:tcPr>
                <w:p w14:paraId="3E08AE41">
                  <w:pPr>
                    <w:pStyle w:val="62"/>
                    <w:rPr>
                      <w:color w:val="auto"/>
                      <w:sz w:val="22"/>
                    </w:rPr>
                  </w:pPr>
                  <w:r>
                    <w:rPr>
                      <w:color w:val="auto"/>
                      <w:sz w:val="22"/>
                    </w:rPr>
                    <w:t>900</w:t>
                  </w:r>
                </w:p>
              </w:tc>
              <w:tc>
                <w:tcPr>
                  <w:tcW w:w="2016" w:type="dxa"/>
                  <w:gridSpan w:val="3"/>
                  <w:tcBorders>
                    <w:top w:val="single" w:color="auto" w:sz="2" w:space="0"/>
                    <w:left w:val="single" w:color="auto" w:sz="2" w:space="0"/>
                    <w:bottom w:val="single" w:color="auto" w:sz="2" w:space="0"/>
                    <w:right w:val="single" w:color="auto" w:sz="2" w:space="0"/>
                  </w:tcBorders>
                  <w:vAlign w:val="center"/>
                </w:tcPr>
                <w:p w14:paraId="0A43297E">
                  <w:pPr>
                    <w:widowControl/>
                    <w:jc w:val="center"/>
                    <w:rPr>
                      <w:rFonts w:eastAsia="等线"/>
                      <w:color w:val="auto"/>
                      <w:sz w:val="22"/>
                      <w:szCs w:val="22"/>
                    </w:rPr>
                  </w:pPr>
                  <w:r>
                    <w:rPr>
                      <w:rFonts w:eastAsia="等线"/>
                      <w:color w:val="auto"/>
                      <w:sz w:val="22"/>
                      <w:szCs w:val="22"/>
                    </w:rPr>
                    <w:t>4500</w:t>
                  </w:r>
                </w:p>
              </w:tc>
            </w:tr>
            <w:tr w14:paraId="5FCE8A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shd w:val="clear" w:color="auto" w:fill="FFFFFF"/>
                  <w:vAlign w:val="center"/>
                </w:tcPr>
                <w:p w14:paraId="598953C7">
                  <w:pPr>
                    <w:pStyle w:val="62"/>
                    <w:rPr>
                      <w:color w:val="auto"/>
                      <w:sz w:val="22"/>
                    </w:rPr>
                  </w:pPr>
                  <w:r>
                    <w:rPr>
                      <w:rFonts w:hint="eastAsia"/>
                      <w:color w:val="auto"/>
                      <w:sz w:val="22"/>
                    </w:rPr>
                    <w:t>项目</w:t>
                  </w:r>
                </w:p>
              </w:tc>
              <w:tc>
                <w:tcPr>
                  <w:tcW w:w="681" w:type="dxa"/>
                  <w:tcBorders>
                    <w:top w:val="single" w:color="auto" w:sz="2" w:space="0"/>
                    <w:left w:val="single" w:color="auto" w:sz="2" w:space="0"/>
                    <w:bottom w:val="single" w:color="auto" w:sz="2" w:space="0"/>
                    <w:right w:val="single" w:color="auto" w:sz="2" w:space="0"/>
                  </w:tcBorders>
                  <w:shd w:val="clear" w:color="auto" w:fill="FFFFFF"/>
                  <w:vAlign w:val="center"/>
                </w:tcPr>
                <w:p w14:paraId="3A2B7E33">
                  <w:pPr>
                    <w:pStyle w:val="62"/>
                    <w:rPr>
                      <w:color w:val="auto"/>
                      <w:sz w:val="22"/>
                    </w:rPr>
                  </w:pPr>
                  <w:r>
                    <w:rPr>
                      <w:rFonts w:hint="eastAsia"/>
                      <w:color w:val="auto"/>
                      <w:sz w:val="22"/>
                    </w:rPr>
                    <w:t>氯甲烷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67A6AFCB">
                  <w:pPr>
                    <w:pStyle w:val="62"/>
                    <w:rPr>
                      <w:color w:val="auto"/>
                      <w:sz w:val="22"/>
                    </w:rPr>
                  </w:pPr>
                  <w:r>
                    <w:rPr>
                      <w:rFonts w:hint="eastAsia"/>
                      <w:color w:val="auto"/>
                      <w:sz w:val="22"/>
                    </w:rPr>
                    <w:t>四氯</w:t>
                  </w:r>
                </w:p>
                <w:p w14:paraId="6A0F6D2B">
                  <w:pPr>
                    <w:pStyle w:val="62"/>
                    <w:rPr>
                      <w:color w:val="auto"/>
                      <w:sz w:val="22"/>
                    </w:rPr>
                  </w:pPr>
                  <w:r>
                    <w:rPr>
                      <w:rFonts w:hint="eastAsia"/>
                      <w:color w:val="auto"/>
                      <w:sz w:val="22"/>
                    </w:rPr>
                    <w:t>化碳</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0C3F0527">
                  <w:pPr>
                    <w:pStyle w:val="62"/>
                    <w:rPr>
                      <w:color w:val="auto"/>
                      <w:sz w:val="22"/>
                    </w:rPr>
                  </w:pPr>
                  <w:r>
                    <w:rPr>
                      <w:rFonts w:hint="eastAsia"/>
                      <w:color w:val="auto"/>
                      <w:sz w:val="22"/>
                    </w:rPr>
                    <w:t>三氯甲烷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4AB8B2AD">
                  <w:pPr>
                    <w:pStyle w:val="62"/>
                    <w:rPr>
                      <w:color w:val="auto"/>
                      <w:sz w:val="22"/>
                    </w:rPr>
                  </w:pPr>
                  <w:r>
                    <w:rPr>
                      <w:color w:val="auto"/>
                      <w:sz w:val="22"/>
                    </w:rPr>
                    <w:t>1,1-</w:t>
                  </w:r>
                  <w:r>
                    <w:rPr>
                      <w:rFonts w:hint="eastAsia"/>
                      <w:color w:val="auto"/>
                      <w:sz w:val="22"/>
                    </w:rPr>
                    <w:t>二氯乙烷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63C6DE1E">
                  <w:pPr>
                    <w:pStyle w:val="62"/>
                    <w:rPr>
                      <w:color w:val="auto"/>
                      <w:sz w:val="22"/>
                    </w:rPr>
                  </w:pPr>
                  <w:r>
                    <w:rPr>
                      <w:color w:val="auto"/>
                      <w:sz w:val="22"/>
                    </w:rPr>
                    <w:t>1,2-</w:t>
                  </w:r>
                  <w:r>
                    <w:rPr>
                      <w:rFonts w:hint="eastAsia"/>
                      <w:color w:val="auto"/>
                      <w:sz w:val="22"/>
                    </w:rPr>
                    <w:t>二氯乙烷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16F5921B">
                  <w:pPr>
                    <w:pStyle w:val="62"/>
                    <w:rPr>
                      <w:color w:val="auto"/>
                      <w:sz w:val="22"/>
                    </w:rPr>
                  </w:pPr>
                  <w:r>
                    <w:rPr>
                      <w:color w:val="auto"/>
                      <w:sz w:val="22"/>
                    </w:rPr>
                    <w:t>1,1-</w:t>
                  </w:r>
                  <w:r>
                    <w:rPr>
                      <w:rFonts w:hint="eastAsia"/>
                      <w:color w:val="auto"/>
                      <w:sz w:val="22"/>
                    </w:rPr>
                    <w:t>二氯乙烯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0EE76DF0">
                  <w:pPr>
                    <w:pStyle w:val="62"/>
                    <w:rPr>
                      <w:color w:val="auto"/>
                      <w:sz w:val="22"/>
                    </w:rPr>
                  </w:pPr>
                  <w:r>
                    <w:rPr>
                      <w:rFonts w:hint="eastAsia"/>
                      <w:color w:val="auto"/>
                      <w:sz w:val="22"/>
                    </w:rPr>
                    <w:t>顺</w:t>
                  </w:r>
                  <w:r>
                    <w:rPr>
                      <w:color w:val="auto"/>
                      <w:sz w:val="22"/>
                    </w:rPr>
                    <w:t>-1,2-</w:t>
                  </w:r>
                  <w:r>
                    <w:rPr>
                      <w:rFonts w:hint="eastAsia"/>
                      <w:color w:val="auto"/>
                      <w:sz w:val="22"/>
                    </w:rPr>
                    <w:t>二氯乙烯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503C493A">
                  <w:pPr>
                    <w:pStyle w:val="62"/>
                    <w:rPr>
                      <w:color w:val="auto"/>
                      <w:sz w:val="22"/>
                    </w:rPr>
                  </w:pPr>
                  <w:r>
                    <w:rPr>
                      <w:rFonts w:hint="eastAsia"/>
                      <w:color w:val="auto"/>
                      <w:sz w:val="22"/>
                    </w:rPr>
                    <w:t>反</w:t>
                  </w:r>
                  <w:r>
                    <w:rPr>
                      <w:color w:val="auto"/>
                      <w:sz w:val="22"/>
                    </w:rPr>
                    <w:t>-1,2-</w:t>
                  </w:r>
                  <w:r>
                    <w:rPr>
                      <w:rFonts w:hint="eastAsia"/>
                      <w:color w:val="auto"/>
                      <w:sz w:val="22"/>
                    </w:rPr>
                    <w:t>二氯乙烯</w:t>
                  </w:r>
                </w:p>
              </w:tc>
              <w:tc>
                <w:tcPr>
                  <w:tcW w:w="553" w:type="dxa"/>
                  <w:tcBorders>
                    <w:top w:val="single" w:color="auto" w:sz="2" w:space="0"/>
                    <w:left w:val="single" w:color="auto" w:sz="2" w:space="0"/>
                    <w:bottom w:val="single" w:color="auto" w:sz="2" w:space="0"/>
                    <w:right w:val="single" w:color="auto" w:sz="2" w:space="0"/>
                  </w:tcBorders>
                  <w:shd w:val="clear" w:color="auto" w:fill="FFFFFF"/>
                  <w:vAlign w:val="center"/>
                </w:tcPr>
                <w:p w14:paraId="43DF2D63">
                  <w:pPr>
                    <w:pStyle w:val="62"/>
                    <w:rPr>
                      <w:color w:val="auto"/>
                      <w:sz w:val="22"/>
                    </w:rPr>
                  </w:pPr>
                  <w:r>
                    <w:rPr>
                      <w:rFonts w:hint="eastAsia"/>
                      <w:color w:val="auto"/>
                      <w:sz w:val="22"/>
                    </w:rPr>
                    <w:t>二氯甲烷</w:t>
                  </w:r>
                </w:p>
              </w:tc>
              <w:tc>
                <w:tcPr>
                  <w:tcW w:w="732" w:type="dxa"/>
                  <w:tcBorders>
                    <w:top w:val="single" w:color="auto" w:sz="2" w:space="0"/>
                    <w:left w:val="single" w:color="auto" w:sz="2" w:space="0"/>
                    <w:bottom w:val="single" w:color="auto" w:sz="2" w:space="0"/>
                    <w:right w:val="single" w:color="auto" w:sz="2" w:space="0"/>
                  </w:tcBorders>
                  <w:shd w:val="clear" w:color="auto" w:fill="FFFFFF"/>
                  <w:vAlign w:val="center"/>
                </w:tcPr>
                <w:p w14:paraId="0FA41A8B">
                  <w:pPr>
                    <w:pStyle w:val="62"/>
                    <w:rPr>
                      <w:color w:val="auto"/>
                      <w:sz w:val="22"/>
                    </w:rPr>
                  </w:pPr>
                  <w:r>
                    <w:rPr>
                      <w:color w:val="auto"/>
                      <w:sz w:val="22"/>
                    </w:rPr>
                    <w:t>1,2-</w:t>
                  </w:r>
                  <w:r>
                    <w:rPr>
                      <w:rFonts w:hint="eastAsia"/>
                      <w:color w:val="auto"/>
                      <w:sz w:val="22"/>
                    </w:rPr>
                    <w:t>二氯丙烷</w:t>
                  </w:r>
                </w:p>
              </w:tc>
            </w:tr>
            <w:tr w14:paraId="4E6684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4FE375A6">
                  <w:pPr>
                    <w:pStyle w:val="62"/>
                    <w:rPr>
                      <w:color w:val="auto"/>
                      <w:sz w:val="22"/>
                    </w:rPr>
                  </w:pPr>
                  <w:r>
                    <w:rPr>
                      <w:color w:val="auto"/>
                      <w:sz w:val="22"/>
                    </w:rPr>
                    <w:t>S1</w:t>
                  </w:r>
                </w:p>
              </w:tc>
              <w:tc>
                <w:tcPr>
                  <w:tcW w:w="681" w:type="dxa"/>
                  <w:tcBorders>
                    <w:top w:val="single" w:color="auto" w:sz="2" w:space="0"/>
                    <w:left w:val="single" w:color="auto" w:sz="2" w:space="0"/>
                    <w:bottom w:val="single" w:color="auto" w:sz="2" w:space="0"/>
                    <w:right w:val="single" w:color="auto" w:sz="2" w:space="0"/>
                  </w:tcBorders>
                  <w:vAlign w:val="center"/>
                </w:tcPr>
                <w:p w14:paraId="67604753">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6F31D78F">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5566F587">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5C72E8D1">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5CDE8F38">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0299D66E">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2600B9B7">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46C33DE4">
                  <w:pPr>
                    <w:jc w:val="center"/>
                    <w:rPr>
                      <w:color w:val="auto"/>
                      <w:sz w:val="22"/>
                      <w:szCs w:val="22"/>
                    </w:rPr>
                  </w:pPr>
                  <w:r>
                    <w:rPr>
                      <w:rFonts w:hint="eastAsia"/>
                      <w:color w:val="auto"/>
                      <w:sz w:val="22"/>
                    </w:rPr>
                    <w:t>ND</w:t>
                  </w:r>
                </w:p>
              </w:tc>
              <w:tc>
                <w:tcPr>
                  <w:tcW w:w="553" w:type="dxa"/>
                  <w:tcBorders>
                    <w:top w:val="single" w:color="auto" w:sz="2" w:space="0"/>
                    <w:left w:val="single" w:color="auto" w:sz="2" w:space="0"/>
                    <w:bottom w:val="single" w:color="auto" w:sz="2" w:space="0"/>
                    <w:right w:val="single" w:color="auto" w:sz="2" w:space="0"/>
                  </w:tcBorders>
                  <w:vAlign w:val="center"/>
                </w:tcPr>
                <w:p w14:paraId="5E6DEC21">
                  <w:pPr>
                    <w:jc w:val="center"/>
                    <w:rPr>
                      <w:color w:val="auto"/>
                      <w:sz w:val="22"/>
                      <w:szCs w:val="22"/>
                    </w:rPr>
                  </w:pPr>
                  <w:r>
                    <w:rPr>
                      <w:rFonts w:hint="eastAsia"/>
                      <w:color w:val="auto"/>
                      <w:sz w:val="22"/>
                    </w:rPr>
                    <w:t>ND</w:t>
                  </w:r>
                </w:p>
              </w:tc>
              <w:tc>
                <w:tcPr>
                  <w:tcW w:w="732" w:type="dxa"/>
                  <w:tcBorders>
                    <w:top w:val="single" w:color="auto" w:sz="2" w:space="0"/>
                    <w:left w:val="single" w:color="auto" w:sz="2" w:space="0"/>
                    <w:bottom w:val="single" w:color="auto" w:sz="2" w:space="0"/>
                    <w:right w:val="single" w:color="auto" w:sz="2" w:space="0"/>
                  </w:tcBorders>
                  <w:vAlign w:val="center"/>
                </w:tcPr>
                <w:p w14:paraId="721EC9E8">
                  <w:pPr>
                    <w:jc w:val="center"/>
                    <w:rPr>
                      <w:color w:val="auto"/>
                      <w:sz w:val="22"/>
                      <w:szCs w:val="22"/>
                    </w:rPr>
                  </w:pPr>
                  <w:r>
                    <w:rPr>
                      <w:rFonts w:hint="eastAsia"/>
                      <w:color w:val="auto"/>
                      <w:sz w:val="22"/>
                    </w:rPr>
                    <w:t>ND</w:t>
                  </w:r>
                </w:p>
              </w:tc>
            </w:tr>
            <w:tr w14:paraId="4B19E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097F1EAC">
                  <w:pPr>
                    <w:pStyle w:val="62"/>
                    <w:rPr>
                      <w:color w:val="auto"/>
                      <w:sz w:val="22"/>
                    </w:rPr>
                  </w:pPr>
                  <w:r>
                    <w:rPr>
                      <w:color w:val="auto"/>
                      <w:sz w:val="22"/>
                    </w:rPr>
                    <w:t>Ii</w:t>
                  </w:r>
                </w:p>
              </w:tc>
              <w:tc>
                <w:tcPr>
                  <w:tcW w:w="681" w:type="dxa"/>
                  <w:tcBorders>
                    <w:top w:val="single" w:color="auto" w:sz="2" w:space="0"/>
                    <w:left w:val="single" w:color="auto" w:sz="2" w:space="0"/>
                    <w:bottom w:val="single" w:color="auto" w:sz="2" w:space="0"/>
                    <w:right w:val="single" w:color="auto" w:sz="2" w:space="0"/>
                  </w:tcBorders>
                  <w:vAlign w:val="center"/>
                </w:tcPr>
                <w:p w14:paraId="6DBA44F9">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3D9E4B1C">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7E92ADA0">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504BEE1D">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40787E4F">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24997BDC">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3E7F175E">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32EAED07">
                  <w:pPr>
                    <w:pStyle w:val="62"/>
                    <w:rPr>
                      <w:color w:val="auto"/>
                      <w:sz w:val="22"/>
                    </w:rPr>
                  </w:pPr>
                  <w:r>
                    <w:rPr>
                      <w:color w:val="auto"/>
                      <w:sz w:val="22"/>
                    </w:rPr>
                    <w:t>/</w:t>
                  </w:r>
                </w:p>
              </w:tc>
              <w:tc>
                <w:tcPr>
                  <w:tcW w:w="553" w:type="dxa"/>
                  <w:tcBorders>
                    <w:top w:val="single" w:color="auto" w:sz="2" w:space="0"/>
                    <w:left w:val="single" w:color="auto" w:sz="2" w:space="0"/>
                    <w:bottom w:val="single" w:color="auto" w:sz="2" w:space="0"/>
                    <w:right w:val="single" w:color="auto" w:sz="2" w:space="0"/>
                  </w:tcBorders>
                  <w:vAlign w:val="center"/>
                </w:tcPr>
                <w:p w14:paraId="016A468B">
                  <w:pPr>
                    <w:pStyle w:val="62"/>
                    <w:rPr>
                      <w:color w:val="auto"/>
                      <w:sz w:val="22"/>
                    </w:rPr>
                  </w:pPr>
                  <w:r>
                    <w:rPr>
                      <w:color w:val="auto"/>
                      <w:sz w:val="22"/>
                    </w:rPr>
                    <w:t>/</w:t>
                  </w:r>
                </w:p>
              </w:tc>
              <w:tc>
                <w:tcPr>
                  <w:tcW w:w="732" w:type="dxa"/>
                  <w:tcBorders>
                    <w:top w:val="single" w:color="auto" w:sz="2" w:space="0"/>
                    <w:left w:val="single" w:color="auto" w:sz="2" w:space="0"/>
                    <w:bottom w:val="single" w:color="auto" w:sz="2" w:space="0"/>
                    <w:right w:val="single" w:color="auto" w:sz="2" w:space="0"/>
                  </w:tcBorders>
                  <w:vAlign w:val="center"/>
                </w:tcPr>
                <w:p w14:paraId="2EBF25D4">
                  <w:pPr>
                    <w:pStyle w:val="62"/>
                    <w:rPr>
                      <w:color w:val="auto"/>
                      <w:sz w:val="22"/>
                    </w:rPr>
                  </w:pPr>
                  <w:r>
                    <w:rPr>
                      <w:color w:val="auto"/>
                      <w:sz w:val="22"/>
                    </w:rPr>
                    <w:t>/</w:t>
                  </w:r>
                </w:p>
              </w:tc>
            </w:tr>
            <w:tr w14:paraId="114100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4BDFE553">
                  <w:pPr>
                    <w:pStyle w:val="62"/>
                    <w:rPr>
                      <w:color w:val="auto"/>
                      <w:sz w:val="22"/>
                    </w:rPr>
                  </w:pPr>
                  <w:r>
                    <w:rPr>
                      <w:rFonts w:hint="eastAsia"/>
                      <w:color w:val="auto"/>
                      <w:sz w:val="22"/>
                    </w:rPr>
                    <w:t>标准值</w:t>
                  </w:r>
                </w:p>
              </w:tc>
              <w:tc>
                <w:tcPr>
                  <w:tcW w:w="681" w:type="dxa"/>
                  <w:tcBorders>
                    <w:top w:val="single" w:color="auto" w:sz="2" w:space="0"/>
                    <w:left w:val="single" w:color="auto" w:sz="2" w:space="0"/>
                    <w:bottom w:val="single" w:color="auto" w:sz="2" w:space="0"/>
                    <w:right w:val="single" w:color="auto" w:sz="2" w:space="0"/>
                  </w:tcBorders>
                  <w:vAlign w:val="center"/>
                </w:tcPr>
                <w:p w14:paraId="2571564F">
                  <w:pPr>
                    <w:pStyle w:val="62"/>
                    <w:rPr>
                      <w:color w:val="auto"/>
                      <w:sz w:val="22"/>
                    </w:rPr>
                  </w:pPr>
                  <w:r>
                    <w:rPr>
                      <w:color w:val="auto"/>
                      <w:sz w:val="22"/>
                    </w:rPr>
                    <w:t>37</w:t>
                  </w:r>
                </w:p>
              </w:tc>
              <w:tc>
                <w:tcPr>
                  <w:tcW w:w="731" w:type="dxa"/>
                  <w:tcBorders>
                    <w:top w:val="single" w:color="auto" w:sz="2" w:space="0"/>
                    <w:left w:val="single" w:color="auto" w:sz="2" w:space="0"/>
                    <w:bottom w:val="single" w:color="auto" w:sz="2" w:space="0"/>
                    <w:right w:val="single" w:color="auto" w:sz="2" w:space="0"/>
                  </w:tcBorders>
                  <w:vAlign w:val="center"/>
                </w:tcPr>
                <w:p w14:paraId="02971CE1">
                  <w:pPr>
                    <w:pStyle w:val="62"/>
                    <w:rPr>
                      <w:color w:val="auto"/>
                      <w:sz w:val="22"/>
                    </w:rPr>
                  </w:pPr>
                  <w:r>
                    <w:rPr>
                      <w:color w:val="auto"/>
                      <w:sz w:val="22"/>
                    </w:rPr>
                    <w:t>2.8</w:t>
                  </w:r>
                </w:p>
              </w:tc>
              <w:tc>
                <w:tcPr>
                  <w:tcW w:w="731" w:type="dxa"/>
                  <w:tcBorders>
                    <w:top w:val="single" w:color="auto" w:sz="2" w:space="0"/>
                    <w:left w:val="single" w:color="auto" w:sz="2" w:space="0"/>
                    <w:bottom w:val="single" w:color="auto" w:sz="2" w:space="0"/>
                    <w:right w:val="single" w:color="auto" w:sz="2" w:space="0"/>
                  </w:tcBorders>
                  <w:vAlign w:val="center"/>
                </w:tcPr>
                <w:p w14:paraId="75A485FA">
                  <w:pPr>
                    <w:pStyle w:val="62"/>
                    <w:rPr>
                      <w:color w:val="auto"/>
                      <w:sz w:val="22"/>
                    </w:rPr>
                  </w:pPr>
                  <w:r>
                    <w:rPr>
                      <w:color w:val="auto"/>
                      <w:sz w:val="22"/>
                    </w:rPr>
                    <w:t>0.9</w:t>
                  </w:r>
                </w:p>
              </w:tc>
              <w:tc>
                <w:tcPr>
                  <w:tcW w:w="731" w:type="dxa"/>
                  <w:tcBorders>
                    <w:top w:val="single" w:color="auto" w:sz="2" w:space="0"/>
                    <w:left w:val="single" w:color="auto" w:sz="2" w:space="0"/>
                    <w:bottom w:val="single" w:color="auto" w:sz="2" w:space="0"/>
                    <w:right w:val="single" w:color="auto" w:sz="2" w:space="0"/>
                  </w:tcBorders>
                  <w:vAlign w:val="center"/>
                </w:tcPr>
                <w:p w14:paraId="44EBAB51">
                  <w:pPr>
                    <w:pStyle w:val="62"/>
                    <w:rPr>
                      <w:color w:val="auto"/>
                      <w:sz w:val="22"/>
                    </w:rPr>
                  </w:pPr>
                  <w:r>
                    <w:rPr>
                      <w:color w:val="auto"/>
                      <w:sz w:val="22"/>
                    </w:rPr>
                    <w:t>9</w:t>
                  </w:r>
                </w:p>
              </w:tc>
              <w:tc>
                <w:tcPr>
                  <w:tcW w:w="731" w:type="dxa"/>
                  <w:tcBorders>
                    <w:top w:val="single" w:color="auto" w:sz="2" w:space="0"/>
                    <w:left w:val="single" w:color="auto" w:sz="2" w:space="0"/>
                    <w:bottom w:val="single" w:color="auto" w:sz="2" w:space="0"/>
                    <w:right w:val="single" w:color="auto" w:sz="2" w:space="0"/>
                  </w:tcBorders>
                  <w:vAlign w:val="center"/>
                </w:tcPr>
                <w:p w14:paraId="0ECEEAB1">
                  <w:pPr>
                    <w:pStyle w:val="62"/>
                    <w:rPr>
                      <w:color w:val="auto"/>
                      <w:sz w:val="22"/>
                    </w:rPr>
                  </w:pPr>
                  <w:r>
                    <w:rPr>
                      <w:color w:val="auto"/>
                      <w:sz w:val="22"/>
                    </w:rPr>
                    <w:t>5</w:t>
                  </w:r>
                </w:p>
              </w:tc>
              <w:tc>
                <w:tcPr>
                  <w:tcW w:w="731" w:type="dxa"/>
                  <w:tcBorders>
                    <w:top w:val="single" w:color="auto" w:sz="2" w:space="0"/>
                    <w:left w:val="single" w:color="auto" w:sz="2" w:space="0"/>
                    <w:bottom w:val="single" w:color="auto" w:sz="2" w:space="0"/>
                    <w:right w:val="single" w:color="auto" w:sz="2" w:space="0"/>
                  </w:tcBorders>
                  <w:vAlign w:val="center"/>
                </w:tcPr>
                <w:p w14:paraId="6A7B589A">
                  <w:pPr>
                    <w:pStyle w:val="62"/>
                    <w:rPr>
                      <w:color w:val="auto"/>
                      <w:sz w:val="22"/>
                    </w:rPr>
                  </w:pPr>
                  <w:r>
                    <w:rPr>
                      <w:color w:val="auto"/>
                      <w:sz w:val="22"/>
                    </w:rPr>
                    <w:t>66</w:t>
                  </w:r>
                </w:p>
              </w:tc>
              <w:tc>
                <w:tcPr>
                  <w:tcW w:w="731" w:type="dxa"/>
                  <w:tcBorders>
                    <w:top w:val="single" w:color="auto" w:sz="2" w:space="0"/>
                    <w:left w:val="single" w:color="auto" w:sz="2" w:space="0"/>
                    <w:bottom w:val="single" w:color="auto" w:sz="2" w:space="0"/>
                    <w:right w:val="single" w:color="auto" w:sz="2" w:space="0"/>
                  </w:tcBorders>
                  <w:vAlign w:val="center"/>
                </w:tcPr>
                <w:p w14:paraId="3C0B770C">
                  <w:pPr>
                    <w:pStyle w:val="62"/>
                    <w:rPr>
                      <w:color w:val="auto"/>
                      <w:sz w:val="22"/>
                    </w:rPr>
                  </w:pPr>
                  <w:r>
                    <w:rPr>
                      <w:color w:val="auto"/>
                      <w:sz w:val="22"/>
                    </w:rPr>
                    <w:t>596</w:t>
                  </w:r>
                </w:p>
              </w:tc>
              <w:tc>
                <w:tcPr>
                  <w:tcW w:w="731" w:type="dxa"/>
                  <w:tcBorders>
                    <w:top w:val="single" w:color="auto" w:sz="2" w:space="0"/>
                    <w:left w:val="single" w:color="auto" w:sz="2" w:space="0"/>
                    <w:bottom w:val="single" w:color="auto" w:sz="2" w:space="0"/>
                    <w:right w:val="single" w:color="auto" w:sz="2" w:space="0"/>
                  </w:tcBorders>
                  <w:vAlign w:val="center"/>
                </w:tcPr>
                <w:p w14:paraId="68A3E71E">
                  <w:pPr>
                    <w:pStyle w:val="62"/>
                    <w:rPr>
                      <w:color w:val="auto"/>
                      <w:sz w:val="22"/>
                    </w:rPr>
                  </w:pPr>
                  <w:r>
                    <w:rPr>
                      <w:color w:val="auto"/>
                      <w:sz w:val="22"/>
                    </w:rPr>
                    <w:t>54</w:t>
                  </w:r>
                </w:p>
              </w:tc>
              <w:tc>
                <w:tcPr>
                  <w:tcW w:w="553" w:type="dxa"/>
                  <w:tcBorders>
                    <w:top w:val="single" w:color="auto" w:sz="2" w:space="0"/>
                    <w:left w:val="single" w:color="auto" w:sz="2" w:space="0"/>
                    <w:bottom w:val="single" w:color="auto" w:sz="2" w:space="0"/>
                    <w:right w:val="single" w:color="auto" w:sz="2" w:space="0"/>
                  </w:tcBorders>
                  <w:vAlign w:val="center"/>
                </w:tcPr>
                <w:p w14:paraId="5943824B">
                  <w:pPr>
                    <w:pStyle w:val="62"/>
                    <w:rPr>
                      <w:color w:val="auto"/>
                      <w:sz w:val="22"/>
                    </w:rPr>
                  </w:pPr>
                  <w:r>
                    <w:rPr>
                      <w:color w:val="auto"/>
                      <w:sz w:val="22"/>
                    </w:rPr>
                    <w:t>616</w:t>
                  </w:r>
                </w:p>
              </w:tc>
              <w:tc>
                <w:tcPr>
                  <w:tcW w:w="732" w:type="dxa"/>
                  <w:tcBorders>
                    <w:top w:val="single" w:color="auto" w:sz="2" w:space="0"/>
                    <w:left w:val="single" w:color="auto" w:sz="2" w:space="0"/>
                    <w:bottom w:val="single" w:color="auto" w:sz="2" w:space="0"/>
                    <w:right w:val="single" w:color="auto" w:sz="2" w:space="0"/>
                  </w:tcBorders>
                  <w:vAlign w:val="center"/>
                </w:tcPr>
                <w:p w14:paraId="7855CB2A">
                  <w:pPr>
                    <w:pStyle w:val="62"/>
                    <w:rPr>
                      <w:color w:val="auto"/>
                      <w:sz w:val="22"/>
                    </w:rPr>
                  </w:pPr>
                  <w:r>
                    <w:rPr>
                      <w:color w:val="auto"/>
                      <w:sz w:val="22"/>
                    </w:rPr>
                    <w:t>5</w:t>
                  </w:r>
                </w:p>
              </w:tc>
            </w:tr>
            <w:tr w14:paraId="5D767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shd w:val="clear" w:color="auto" w:fill="FFFFFF"/>
                  <w:vAlign w:val="center"/>
                </w:tcPr>
                <w:p w14:paraId="008D528D">
                  <w:pPr>
                    <w:pStyle w:val="62"/>
                    <w:rPr>
                      <w:color w:val="auto"/>
                      <w:sz w:val="22"/>
                    </w:rPr>
                  </w:pPr>
                  <w:r>
                    <w:rPr>
                      <w:rFonts w:hint="eastAsia"/>
                      <w:color w:val="auto"/>
                      <w:sz w:val="22"/>
                    </w:rPr>
                    <w:t>项目</w:t>
                  </w:r>
                </w:p>
              </w:tc>
              <w:tc>
                <w:tcPr>
                  <w:tcW w:w="681" w:type="dxa"/>
                  <w:tcBorders>
                    <w:top w:val="single" w:color="auto" w:sz="2" w:space="0"/>
                    <w:left w:val="single" w:color="auto" w:sz="2" w:space="0"/>
                    <w:bottom w:val="single" w:color="auto" w:sz="2" w:space="0"/>
                    <w:right w:val="single" w:color="auto" w:sz="2" w:space="0"/>
                  </w:tcBorders>
                  <w:shd w:val="clear" w:color="auto" w:fill="FFFFFF"/>
                  <w:vAlign w:val="center"/>
                </w:tcPr>
                <w:p w14:paraId="3BC464FA">
                  <w:pPr>
                    <w:pStyle w:val="62"/>
                    <w:rPr>
                      <w:color w:val="auto"/>
                      <w:sz w:val="22"/>
                    </w:rPr>
                  </w:pPr>
                  <w:r>
                    <w:rPr>
                      <w:color w:val="auto"/>
                      <w:sz w:val="22"/>
                    </w:rPr>
                    <w:t>1,1,2,2-</w:t>
                  </w:r>
                  <w:r>
                    <w:rPr>
                      <w:rFonts w:hint="eastAsia"/>
                      <w:color w:val="auto"/>
                      <w:sz w:val="22"/>
                    </w:rPr>
                    <w:t>四氯乙烷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78A69C3C">
                  <w:pPr>
                    <w:pStyle w:val="62"/>
                    <w:rPr>
                      <w:color w:val="auto"/>
                      <w:sz w:val="22"/>
                    </w:rPr>
                  </w:pPr>
                  <w:r>
                    <w:rPr>
                      <w:color w:val="auto"/>
                      <w:sz w:val="22"/>
                    </w:rPr>
                    <w:t>1,1,1,2-</w:t>
                  </w:r>
                  <w:r>
                    <w:rPr>
                      <w:rFonts w:hint="eastAsia"/>
                      <w:color w:val="auto"/>
                      <w:sz w:val="22"/>
                    </w:rPr>
                    <w:t>四氯乙烷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17815478">
                  <w:pPr>
                    <w:pStyle w:val="62"/>
                    <w:rPr>
                      <w:color w:val="auto"/>
                      <w:sz w:val="22"/>
                    </w:rPr>
                  </w:pPr>
                  <w:r>
                    <w:rPr>
                      <w:rFonts w:hint="eastAsia"/>
                      <w:color w:val="auto"/>
                      <w:sz w:val="22"/>
                    </w:rPr>
                    <w:t>四氯乙烯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3CC74E49">
                  <w:pPr>
                    <w:pStyle w:val="62"/>
                    <w:rPr>
                      <w:color w:val="auto"/>
                      <w:sz w:val="22"/>
                    </w:rPr>
                  </w:pPr>
                  <w:r>
                    <w:rPr>
                      <w:color w:val="auto"/>
                      <w:sz w:val="22"/>
                    </w:rPr>
                    <w:t>1,1,1-</w:t>
                  </w:r>
                  <w:r>
                    <w:rPr>
                      <w:rFonts w:hint="eastAsia"/>
                      <w:color w:val="auto"/>
                      <w:sz w:val="22"/>
                    </w:rPr>
                    <w:t>三氯乙烷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6B0B2DEB">
                  <w:pPr>
                    <w:pStyle w:val="62"/>
                    <w:rPr>
                      <w:color w:val="auto"/>
                      <w:sz w:val="22"/>
                    </w:rPr>
                  </w:pPr>
                  <w:r>
                    <w:rPr>
                      <w:color w:val="auto"/>
                      <w:sz w:val="22"/>
                    </w:rPr>
                    <w:t>1,1,2-</w:t>
                  </w:r>
                  <w:r>
                    <w:rPr>
                      <w:rFonts w:hint="eastAsia"/>
                      <w:color w:val="auto"/>
                      <w:sz w:val="22"/>
                    </w:rPr>
                    <w:t>三氯乙烷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1C7CABE4">
                  <w:pPr>
                    <w:pStyle w:val="62"/>
                    <w:rPr>
                      <w:color w:val="auto"/>
                      <w:sz w:val="22"/>
                    </w:rPr>
                  </w:pPr>
                  <w:r>
                    <w:rPr>
                      <w:rFonts w:hint="eastAsia"/>
                      <w:color w:val="auto"/>
                      <w:sz w:val="22"/>
                    </w:rPr>
                    <w:t>三氯乙烯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0683B453">
                  <w:pPr>
                    <w:pStyle w:val="62"/>
                    <w:rPr>
                      <w:color w:val="auto"/>
                      <w:sz w:val="22"/>
                    </w:rPr>
                  </w:pPr>
                  <w:r>
                    <w:rPr>
                      <w:color w:val="auto"/>
                      <w:sz w:val="22"/>
                    </w:rPr>
                    <w:t>1,1,3-</w:t>
                  </w:r>
                  <w:r>
                    <w:rPr>
                      <w:rFonts w:hint="eastAsia"/>
                      <w:color w:val="auto"/>
                      <w:sz w:val="22"/>
                    </w:rPr>
                    <w:t>三氯丙烷</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794D6CD6">
                  <w:pPr>
                    <w:pStyle w:val="62"/>
                    <w:rPr>
                      <w:color w:val="auto"/>
                      <w:sz w:val="22"/>
                    </w:rPr>
                  </w:pPr>
                  <w:r>
                    <w:rPr>
                      <w:rFonts w:hint="eastAsia"/>
                      <w:color w:val="auto"/>
                      <w:sz w:val="22"/>
                    </w:rPr>
                    <w:t>氯乙烯</w:t>
                  </w:r>
                </w:p>
              </w:tc>
              <w:tc>
                <w:tcPr>
                  <w:tcW w:w="553" w:type="dxa"/>
                  <w:tcBorders>
                    <w:top w:val="single" w:color="auto" w:sz="2" w:space="0"/>
                    <w:left w:val="single" w:color="auto" w:sz="2" w:space="0"/>
                    <w:bottom w:val="single" w:color="auto" w:sz="2" w:space="0"/>
                    <w:right w:val="single" w:color="auto" w:sz="2" w:space="0"/>
                  </w:tcBorders>
                  <w:shd w:val="clear" w:color="auto" w:fill="FFFFFF"/>
                  <w:vAlign w:val="center"/>
                </w:tcPr>
                <w:p w14:paraId="67FD2BDB">
                  <w:pPr>
                    <w:pStyle w:val="62"/>
                    <w:rPr>
                      <w:color w:val="auto"/>
                      <w:sz w:val="22"/>
                    </w:rPr>
                  </w:pPr>
                  <w:r>
                    <w:rPr>
                      <w:rFonts w:hint="eastAsia"/>
                      <w:color w:val="auto"/>
                      <w:sz w:val="22"/>
                    </w:rPr>
                    <w:t>苯</w:t>
                  </w:r>
                </w:p>
              </w:tc>
              <w:tc>
                <w:tcPr>
                  <w:tcW w:w="732" w:type="dxa"/>
                  <w:tcBorders>
                    <w:top w:val="single" w:color="auto" w:sz="2" w:space="0"/>
                    <w:left w:val="single" w:color="auto" w:sz="2" w:space="0"/>
                    <w:bottom w:val="single" w:color="auto" w:sz="2" w:space="0"/>
                    <w:right w:val="single" w:color="auto" w:sz="2" w:space="0"/>
                  </w:tcBorders>
                  <w:shd w:val="clear" w:color="auto" w:fill="FFFFFF"/>
                  <w:vAlign w:val="center"/>
                </w:tcPr>
                <w:p w14:paraId="5CD32949">
                  <w:pPr>
                    <w:pStyle w:val="62"/>
                    <w:rPr>
                      <w:color w:val="auto"/>
                      <w:sz w:val="22"/>
                    </w:rPr>
                  </w:pPr>
                  <w:r>
                    <w:rPr>
                      <w:rFonts w:hint="eastAsia"/>
                      <w:color w:val="auto"/>
                      <w:sz w:val="22"/>
                    </w:rPr>
                    <w:t>氯苯</w:t>
                  </w:r>
                </w:p>
              </w:tc>
            </w:tr>
            <w:tr w14:paraId="2F941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573F3F33">
                  <w:pPr>
                    <w:pStyle w:val="62"/>
                    <w:rPr>
                      <w:color w:val="auto"/>
                      <w:sz w:val="22"/>
                    </w:rPr>
                  </w:pPr>
                  <w:r>
                    <w:rPr>
                      <w:color w:val="auto"/>
                      <w:sz w:val="22"/>
                    </w:rPr>
                    <w:t>S1</w:t>
                  </w:r>
                </w:p>
              </w:tc>
              <w:tc>
                <w:tcPr>
                  <w:tcW w:w="681" w:type="dxa"/>
                  <w:tcBorders>
                    <w:top w:val="single" w:color="auto" w:sz="2" w:space="0"/>
                    <w:left w:val="single" w:color="auto" w:sz="2" w:space="0"/>
                    <w:bottom w:val="single" w:color="auto" w:sz="2" w:space="0"/>
                    <w:right w:val="single" w:color="auto" w:sz="2" w:space="0"/>
                  </w:tcBorders>
                  <w:vAlign w:val="center"/>
                </w:tcPr>
                <w:p w14:paraId="1284CCB2">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3C10FA4E">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50F45F4C">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1E8CA665">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0CCD7707">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0DE8C87E">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0EA583D9">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2FB82616">
                  <w:pPr>
                    <w:pStyle w:val="62"/>
                    <w:rPr>
                      <w:color w:val="auto"/>
                      <w:sz w:val="22"/>
                    </w:rPr>
                  </w:pPr>
                  <w:r>
                    <w:rPr>
                      <w:rFonts w:hint="eastAsia"/>
                      <w:color w:val="auto"/>
                      <w:sz w:val="22"/>
                    </w:rPr>
                    <w:t>ND</w:t>
                  </w:r>
                </w:p>
              </w:tc>
              <w:tc>
                <w:tcPr>
                  <w:tcW w:w="553" w:type="dxa"/>
                  <w:tcBorders>
                    <w:top w:val="single" w:color="auto" w:sz="2" w:space="0"/>
                    <w:left w:val="single" w:color="auto" w:sz="2" w:space="0"/>
                    <w:bottom w:val="single" w:color="auto" w:sz="2" w:space="0"/>
                    <w:right w:val="single" w:color="auto" w:sz="2" w:space="0"/>
                  </w:tcBorders>
                  <w:vAlign w:val="center"/>
                </w:tcPr>
                <w:p w14:paraId="440B124C">
                  <w:pPr>
                    <w:jc w:val="center"/>
                    <w:rPr>
                      <w:color w:val="auto"/>
                      <w:sz w:val="22"/>
                      <w:szCs w:val="22"/>
                    </w:rPr>
                  </w:pPr>
                  <w:r>
                    <w:rPr>
                      <w:rFonts w:hint="eastAsia"/>
                      <w:color w:val="auto"/>
                      <w:sz w:val="22"/>
                    </w:rPr>
                    <w:t>ND</w:t>
                  </w:r>
                </w:p>
              </w:tc>
              <w:tc>
                <w:tcPr>
                  <w:tcW w:w="732" w:type="dxa"/>
                  <w:tcBorders>
                    <w:top w:val="single" w:color="auto" w:sz="2" w:space="0"/>
                    <w:left w:val="single" w:color="auto" w:sz="2" w:space="0"/>
                    <w:bottom w:val="single" w:color="auto" w:sz="2" w:space="0"/>
                    <w:right w:val="single" w:color="auto" w:sz="2" w:space="0"/>
                  </w:tcBorders>
                  <w:vAlign w:val="center"/>
                </w:tcPr>
                <w:p w14:paraId="1AEFFE20">
                  <w:pPr>
                    <w:jc w:val="center"/>
                    <w:rPr>
                      <w:color w:val="auto"/>
                      <w:sz w:val="22"/>
                      <w:szCs w:val="22"/>
                    </w:rPr>
                  </w:pPr>
                  <w:r>
                    <w:rPr>
                      <w:rFonts w:hint="eastAsia"/>
                      <w:color w:val="auto"/>
                      <w:sz w:val="22"/>
                    </w:rPr>
                    <w:t>ND</w:t>
                  </w:r>
                </w:p>
              </w:tc>
            </w:tr>
            <w:tr w14:paraId="5BA1B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4D7A7276">
                  <w:pPr>
                    <w:pStyle w:val="62"/>
                    <w:rPr>
                      <w:color w:val="auto"/>
                      <w:sz w:val="22"/>
                    </w:rPr>
                  </w:pPr>
                  <w:r>
                    <w:rPr>
                      <w:color w:val="auto"/>
                      <w:sz w:val="22"/>
                    </w:rPr>
                    <w:t>Ii</w:t>
                  </w:r>
                </w:p>
              </w:tc>
              <w:tc>
                <w:tcPr>
                  <w:tcW w:w="681" w:type="dxa"/>
                  <w:tcBorders>
                    <w:top w:val="single" w:color="auto" w:sz="2" w:space="0"/>
                    <w:left w:val="single" w:color="auto" w:sz="2" w:space="0"/>
                    <w:bottom w:val="single" w:color="auto" w:sz="2" w:space="0"/>
                    <w:right w:val="single" w:color="auto" w:sz="2" w:space="0"/>
                  </w:tcBorders>
                  <w:vAlign w:val="center"/>
                </w:tcPr>
                <w:p w14:paraId="01C41EFA">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088EB84E">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1B6FCE29">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0E32AD33">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1ACDA066">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0626902A">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328B5764">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43FA0B7A">
                  <w:pPr>
                    <w:pStyle w:val="62"/>
                    <w:rPr>
                      <w:color w:val="auto"/>
                      <w:sz w:val="22"/>
                    </w:rPr>
                  </w:pPr>
                  <w:r>
                    <w:rPr>
                      <w:color w:val="auto"/>
                      <w:sz w:val="22"/>
                    </w:rPr>
                    <w:t>/</w:t>
                  </w:r>
                </w:p>
              </w:tc>
              <w:tc>
                <w:tcPr>
                  <w:tcW w:w="553" w:type="dxa"/>
                  <w:tcBorders>
                    <w:top w:val="single" w:color="auto" w:sz="2" w:space="0"/>
                    <w:left w:val="single" w:color="auto" w:sz="2" w:space="0"/>
                    <w:bottom w:val="single" w:color="auto" w:sz="2" w:space="0"/>
                    <w:right w:val="single" w:color="auto" w:sz="2" w:space="0"/>
                  </w:tcBorders>
                  <w:vAlign w:val="center"/>
                </w:tcPr>
                <w:p w14:paraId="75BD391B">
                  <w:pPr>
                    <w:pStyle w:val="62"/>
                    <w:rPr>
                      <w:color w:val="auto"/>
                      <w:sz w:val="22"/>
                    </w:rPr>
                  </w:pPr>
                  <w:r>
                    <w:rPr>
                      <w:color w:val="auto"/>
                      <w:sz w:val="22"/>
                    </w:rPr>
                    <w:t>/</w:t>
                  </w:r>
                </w:p>
              </w:tc>
              <w:tc>
                <w:tcPr>
                  <w:tcW w:w="732" w:type="dxa"/>
                  <w:tcBorders>
                    <w:top w:val="single" w:color="auto" w:sz="2" w:space="0"/>
                    <w:left w:val="single" w:color="auto" w:sz="2" w:space="0"/>
                    <w:bottom w:val="single" w:color="auto" w:sz="2" w:space="0"/>
                    <w:right w:val="single" w:color="auto" w:sz="2" w:space="0"/>
                  </w:tcBorders>
                  <w:vAlign w:val="center"/>
                </w:tcPr>
                <w:p w14:paraId="37D78E49">
                  <w:pPr>
                    <w:pStyle w:val="62"/>
                    <w:rPr>
                      <w:color w:val="auto"/>
                      <w:sz w:val="22"/>
                    </w:rPr>
                  </w:pPr>
                  <w:r>
                    <w:rPr>
                      <w:color w:val="auto"/>
                      <w:sz w:val="22"/>
                    </w:rPr>
                    <w:t>/</w:t>
                  </w:r>
                </w:p>
              </w:tc>
            </w:tr>
            <w:tr w14:paraId="03289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68B30DFD">
                  <w:pPr>
                    <w:pStyle w:val="62"/>
                    <w:rPr>
                      <w:color w:val="auto"/>
                      <w:sz w:val="22"/>
                    </w:rPr>
                  </w:pPr>
                  <w:r>
                    <w:rPr>
                      <w:rFonts w:hint="eastAsia"/>
                      <w:color w:val="auto"/>
                      <w:sz w:val="22"/>
                    </w:rPr>
                    <w:t>标准值</w:t>
                  </w:r>
                </w:p>
              </w:tc>
              <w:tc>
                <w:tcPr>
                  <w:tcW w:w="681" w:type="dxa"/>
                  <w:tcBorders>
                    <w:top w:val="single" w:color="auto" w:sz="2" w:space="0"/>
                    <w:left w:val="single" w:color="auto" w:sz="2" w:space="0"/>
                    <w:bottom w:val="single" w:color="auto" w:sz="2" w:space="0"/>
                    <w:right w:val="single" w:color="auto" w:sz="2" w:space="0"/>
                  </w:tcBorders>
                  <w:vAlign w:val="center"/>
                </w:tcPr>
                <w:p w14:paraId="16A248CF">
                  <w:pPr>
                    <w:pStyle w:val="62"/>
                    <w:rPr>
                      <w:color w:val="auto"/>
                      <w:sz w:val="22"/>
                    </w:rPr>
                  </w:pPr>
                  <w:r>
                    <w:rPr>
                      <w:color w:val="auto"/>
                      <w:sz w:val="22"/>
                    </w:rPr>
                    <w:t>6.8</w:t>
                  </w:r>
                </w:p>
              </w:tc>
              <w:tc>
                <w:tcPr>
                  <w:tcW w:w="731" w:type="dxa"/>
                  <w:tcBorders>
                    <w:top w:val="single" w:color="auto" w:sz="2" w:space="0"/>
                    <w:left w:val="single" w:color="auto" w:sz="2" w:space="0"/>
                    <w:bottom w:val="single" w:color="auto" w:sz="2" w:space="0"/>
                    <w:right w:val="single" w:color="auto" w:sz="2" w:space="0"/>
                  </w:tcBorders>
                  <w:vAlign w:val="center"/>
                </w:tcPr>
                <w:p w14:paraId="7900DA54">
                  <w:pPr>
                    <w:pStyle w:val="62"/>
                    <w:rPr>
                      <w:color w:val="auto"/>
                      <w:sz w:val="22"/>
                    </w:rPr>
                  </w:pPr>
                  <w:r>
                    <w:rPr>
                      <w:color w:val="auto"/>
                      <w:sz w:val="22"/>
                    </w:rPr>
                    <w:t>10</w:t>
                  </w:r>
                </w:p>
              </w:tc>
              <w:tc>
                <w:tcPr>
                  <w:tcW w:w="731" w:type="dxa"/>
                  <w:tcBorders>
                    <w:top w:val="single" w:color="auto" w:sz="2" w:space="0"/>
                    <w:left w:val="single" w:color="auto" w:sz="2" w:space="0"/>
                    <w:bottom w:val="single" w:color="auto" w:sz="2" w:space="0"/>
                    <w:right w:val="single" w:color="auto" w:sz="2" w:space="0"/>
                  </w:tcBorders>
                  <w:vAlign w:val="center"/>
                </w:tcPr>
                <w:p w14:paraId="77635B0D">
                  <w:pPr>
                    <w:pStyle w:val="62"/>
                    <w:rPr>
                      <w:color w:val="auto"/>
                      <w:sz w:val="22"/>
                    </w:rPr>
                  </w:pPr>
                  <w:r>
                    <w:rPr>
                      <w:color w:val="auto"/>
                      <w:sz w:val="22"/>
                    </w:rPr>
                    <w:t>53</w:t>
                  </w:r>
                </w:p>
              </w:tc>
              <w:tc>
                <w:tcPr>
                  <w:tcW w:w="731" w:type="dxa"/>
                  <w:tcBorders>
                    <w:top w:val="single" w:color="auto" w:sz="2" w:space="0"/>
                    <w:left w:val="single" w:color="auto" w:sz="2" w:space="0"/>
                    <w:bottom w:val="single" w:color="auto" w:sz="2" w:space="0"/>
                    <w:right w:val="single" w:color="auto" w:sz="2" w:space="0"/>
                  </w:tcBorders>
                  <w:vAlign w:val="center"/>
                </w:tcPr>
                <w:p w14:paraId="412FF9F4">
                  <w:pPr>
                    <w:pStyle w:val="62"/>
                    <w:rPr>
                      <w:color w:val="auto"/>
                      <w:sz w:val="22"/>
                    </w:rPr>
                  </w:pPr>
                  <w:r>
                    <w:rPr>
                      <w:color w:val="auto"/>
                      <w:sz w:val="22"/>
                    </w:rPr>
                    <w:t>840</w:t>
                  </w:r>
                </w:p>
              </w:tc>
              <w:tc>
                <w:tcPr>
                  <w:tcW w:w="731" w:type="dxa"/>
                  <w:tcBorders>
                    <w:top w:val="single" w:color="auto" w:sz="2" w:space="0"/>
                    <w:left w:val="single" w:color="auto" w:sz="2" w:space="0"/>
                    <w:bottom w:val="single" w:color="auto" w:sz="2" w:space="0"/>
                    <w:right w:val="single" w:color="auto" w:sz="2" w:space="0"/>
                  </w:tcBorders>
                  <w:vAlign w:val="center"/>
                </w:tcPr>
                <w:p w14:paraId="1DFEA02A">
                  <w:pPr>
                    <w:pStyle w:val="62"/>
                    <w:rPr>
                      <w:color w:val="auto"/>
                      <w:sz w:val="22"/>
                    </w:rPr>
                  </w:pPr>
                  <w:r>
                    <w:rPr>
                      <w:color w:val="auto"/>
                      <w:sz w:val="22"/>
                    </w:rPr>
                    <w:t>2.8</w:t>
                  </w:r>
                </w:p>
              </w:tc>
              <w:tc>
                <w:tcPr>
                  <w:tcW w:w="731" w:type="dxa"/>
                  <w:tcBorders>
                    <w:top w:val="single" w:color="auto" w:sz="2" w:space="0"/>
                    <w:left w:val="single" w:color="auto" w:sz="2" w:space="0"/>
                    <w:bottom w:val="single" w:color="auto" w:sz="2" w:space="0"/>
                    <w:right w:val="single" w:color="auto" w:sz="2" w:space="0"/>
                  </w:tcBorders>
                  <w:vAlign w:val="center"/>
                </w:tcPr>
                <w:p w14:paraId="5DC57FC6">
                  <w:pPr>
                    <w:pStyle w:val="62"/>
                    <w:rPr>
                      <w:color w:val="auto"/>
                      <w:sz w:val="22"/>
                    </w:rPr>
                  </w:pPr>
                  <w:r>
                    <w:rPr>
                      <w:color w:val="auto"/>
                      <w:sz w:val="22"/>
                    </w:rPr>
                    <w:t>2.8</w:t>
                  </w:r>
                </w:p>
              </w:tc>
              <w:tc>
                <w:tcPr>
                  <w:tcW w:w="731" w:type="dxa"/>
                  <w:tcBorders>
                    <w:top w:val="single" w:color="auto" w:sz="2" w:space="0"/>
                    <w:left w:val="single" w:color="auto" w:sz="2" w:space="0"/>
                    <w:bottom w:val="single" w:color="auto" w:sz="2" w:space="0"/>
                    <w:right w:val="single" w:color="auto" w:sz="2" w:space="0"/>
                  </w:tcBorders>
                  <w:vAlign w:val="center"/>
                </w:tcPr>
                <w:p w14:paraId="77D51E07">
                  <w:pPr>
                    <w:pStyle w:val="62"/>
                    <w:rPr>
                      <w:color w:val="auto"/>
                      <w:sz w:val="22"/>
                    </w:rPr>
                  </w:pPr>
                  <w:r>
                    <w:rPr>
                      <w:color w:val="auto"/>
                      <w:sz w:val="22"/>
                    </w:rPr>
                    <w:t>0.5</w:t>
                  </w:r>
                </w:p>
              </w:tc>
              <w:tc>
                <w:tcPr>
                  <w:tcW w:w="731" w:type="dxa"/>
                  <w:tcBorders>
                    <w:top w:val="single" w:color="auto" w:sz="2" w:space="0"/>
                    <w:left w:val="single" w:color="auto" w:sz="2" w:space="0"/>
                    <w:bottom w:val="single" w:color="auto" w:sz="2" w:space="0"/>
                    <w:right w:val="single" w:color="auto" w:sz="2" w:space="0"/>
                  </w:tcBorders>
                  <w:vAlign w:val="center"/>
                </w:tcPr>
                <w:p w14:paraId="567B7806">
                  <w:pPr>
                    <w:pStyle w:val="62"/>
                    <w:rPr>
                      <w:color w:val="auto"/>
                      <w:sz w:val="22"/>
                    </w:rPr>
                  </w:pPr>
                  <w:r>
                    <w:rPr>
                      <w:color w:val="auto"/>
                      <w:sz w:val="22"/>
                    </w:rPr>
                    <w:t>0.43</w:t>
                  </w:r>
                </w:p>
              </w:tc>
              <w:tc>
                <w:tcPr>
                  <w:tcW w:w="553" w:type="dxa"/>
                  <w:tcBorders>
                    <w:top w:val="single" w:color="auto" w:sz="2" w:space="0"/>
                    <w:left w:val="single" w:color="auto" w:sz="2" w:space="0"/>
                    <w:bottom w:val="single" w:color="auto" w:sz="2" w:space="0"/>
                    <w:right w:val="single" w:color="auto" w:sz="2" w:space="0"/>
                  </w:tcBorders>
                  <w:vAlign w:val="center"/>
                </w:tcPr>
                <w:p w14:paraId="42F819C2">
                  <w:pPr>
                    <w:pStyle w:val="62"/>
                    <w:rPr>
                      <w:color w:val="auto"/>
                      <w:sz w:val="22"/>
                    </w:rPr>
                  </w:pPr>
                  <w:r>
                    <w:rPr>
                      <w:color w:val="auto"/>
                      <w:sz w:val="22"/>
                    </w:rPr>
                    <w:t>4</w:t>
                  </w:r>
                </w:p>
              </w:tc>
              <w:tc>
                <w:tcPr>
                  <w:tcW w:w="732" w:type="dxa"/>
                  <w:tcBorders>
                    <w:top w:val="single" w:color="auto" w:sz="2" w:space="0"/>
                    <w:left w:val="single" w:color="auto" w:sz="2" w:space="0"/>
                    <w:bottom w:val="single" w:color="auto" w:sz="2" w:space="0"/>
                    <w:right w:val="single" w:color="auto" w:sz="2" w:space="0"/>
                  </w:tcBorders>
                  <w:vAlign w:val="center"/>
                </w:tcPr>
                <w:p w14:paraId="478A402E">
                  <w:pPr>
                    <w:pStyle w:val="62"/>
                    <w:rPr>
                      <w:color w:val="auto"/>
                      <w:sz w:val="22"/>
                    </w:rPr>
                  </w:pPr>
                  <w:r>
                    <w:rPr>
                      <w:color w:val="auto"/>
                      <w:sz w:val="22"/>
                    </w:rPr>
                    <w:t>270</w:t>
                  </w:r>
                </w:p>
              </w:tc>
            </w:tr>
            <w:tr w14:paraId="2E0AB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shd w:val="clear" w:color="auto" w:fill="FFFFFF"/>
                  <w:vAlign w:val="center"/>
                </w:tcPr>
                <w:p w14:paraId="7BAE90ED">
                  <w:pPr>
                    <w:pStyle w:val="62"/>
                    <w:rPr>
                      <w:color w:val="auto"/>
                      <w:sz w:val="22"/>
                    </w:rPr>
                  </w:pPr>
                  <w:r>
                    <w:rPr>
                      <w:rFonts w:hint="eastAsia"/>
                      <w:color w:val="auto"/>
                      <w:sz w:val="22"/>
                    </w:rPr>
                    <w:t>项目</w:t>
                  </w:r>
                </w:p>
              </w:tc>
              <w:tc>
                <w:tcPr>
                  <w:tcW w:w="681" w:type="dxa"/>
                  <w:tcBorders>
                    <w:top w:val="single" w:color="auto" w:sz="2" w:space="0"/>
                    <w:left w:val="single" w:color="auto" w:sz="2" w:space="0"/>
                    <w:bottom w:val="single" w:color="auto" w:sz="2" w:space="0"/>
                    <w:right w:val="single" w:color="auto" w:sz="2" w:space="0"/>
                  </w:tcBorders>
                  <w:shd w:val="clear" w:color="auto" w:fill="FFFFFF"/>
                  <w:vAlign w:val="center"/>
                </w:tcPr>
                <w:p w14:paraId="088200C4">
                  <w:pPr>
                    <w:pStyle w:val="62"/>
                    <w:rPr>
                      <w:color w:val="auto"/>
                      <w:sz w:val="22"/>
                    </w:rPr>
                  </w:pPr>
                  <w:r>
                    <w:rPr>
                      <w:color w:val="auto"/>
                      <w:sz w:val="22"/>
                    </w:rPr>
                    <w:t>1,2-</w:t>
                  </w:r>
                  <w:r>
                    <w:rPr>
                      <w:rFonts w:hint="eastAsia"/>
                      <w:color w:val="auto"/>
                      <w:sz w:val="22"/>
                    </w:rPr>
                    <w:t>二氯苯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2C0B42C1">
                  <w:pPr>
                    <w:pStyle w:val="62"/>
                    <w:rPr>
                      <w:color w:val="auto"/>
                      <w:sz w:val="22"/>
                    </w:rPr>
                  </w:pPr>
                  <w:r>
                    <w:rPr>
                      <w:color w:val="auto"/>
                      <w:sz w:val="22"/>
                    </w:rPr>
                    <w:t>1,4-</w:t>
                  </w:r>
                  <w:r>
                    <w:rPr>
                      <w:rFonts w:hint="eastAsia"/>
                      <w:color w:val="auto"/>
                      <w:sz w:val="22"/>
                    </w:rPr>
                    <w:t>二氯苯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5A38E939">
                  <w:pPr>
                    <w:pStyle w:val="62"/>
                    <w:rPr>
                      <w:color w:val="auto"/>
                      <w:sz w:val="22"/>
                    </w:rPr>
                  </w:pPr>
                  <w:r>
                    <w:rPr>
                      <w:rFonts w:hint="eastAsia"/>
                      <w:color w:val="auto"/>
                      <w:sz w:val="22"/>
                    </w:rPr>
                    <w:t>乙苯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40955FF7">
                  <w:pPr>
                    <w:pStyle w:val="62"/>
                    <w:rPr>
                      <w:color w:val="auto"/>
                      <w:sz w:val="22"/>
                    </w:rPr>
                  </w:pPr>
                  <w:r>
                    <w:rPr>
                      <w:rFonts w:hint="eastAsia"/>
                      <w:color w:val="auto"/>
                      <w:sz w:val="22"/>
                    </w:rPr>
                    <w:t>苯乙烯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1791E04D">
                  <w:pPr>
                    <w:pStyle w:val="62"/>
                    <w:rPr>
                      <w:color w:val="auto"/>
                      <w:sz w:val="22"/>
                    </w:rPr>
                  </w:pPr>
                  <w:r>
                    <w:rPr>
                      <w:rFonts w:hint="eastAsia"/>
                      <w:color w:val="auto"/>
                      <w:sz w:val="22"/>
                    </w:rPr>
                    <w:t>甲苯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5B8E97C0">
                  <w:pPr>
                    <w:pStyle w:val="62"/>
                    <w:rPr>
                      <w:color w:val="auto"/>
                      <w:sz w:val="22"/>
                    </w:rPr>
                  </w:pPr>
                  <w:r>
                    <w:rPr>
                      <w:rFonts w:hint="eastAsia"/>
                      <w:color w:val="auto"/>
                      <w:sz w:val="22"/>
                    </w:rPr>
                    <w:t>间二甲苯</w:t>
                  </w:r>
                  <w:r>
                    <w:rPr>
                      <w:color w:val="auto"/>
                      <w:sz w:val="22"/>
                    </w:rPr>
                    <w:t>+</w:t>
                  </w:r>
                  <w:r>
                    <w:rPr>
                      <w:rFonts w:hint="eastAsia"/>
                      <w:color w:val="auto"/>
                      <w:sz w:val="22"/>
                    </w:rPr>
                    <w:t>对二甲苯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698E8B3F">
                  <w:pPr>
                    <w:pStyle w:val="62"/>
                    <w:rPr>
                      <w:color w:val="auto"/>
                      <w:sz w:val="22"/>
                    </w:rPr>
                  </w:pPr>
                  <w:r>
                    <w:rPr>
                      <w:rFonts w:hint="eastAsia"/>
                      <w:color w:val="auto"/>
                      <w:sz w:val="22"/>
                    </w:rPr>
                    <w:t>邻二甲苯</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53426CB9">
                  <w:pPr>
                    <w:pStyle w:val="62"/>
                    <w:rPr>
                      <w:color w:val="auto"/>
                      <w:sz w:val="22"/>
                    </w:rPr>
                  </w:pPr>
                  <w:r>
                    <w:rPr>
                      <w:rFonts w:hint="eastAsia"/>
                      <w:color w:val="auto"/>
                      <w:sz w:val="22"/>
                    </w:rPr>
                    <w:t>硝基苯</w:t>
                  </w:r>
                </w:p>
              </w:tc>
              <w:tc>
                <w:tcPr>
                  <w:tcW w:w="553" w:type="dxa"/>
                  <w:tcBorders>
                    <w:top w:val="single" w:color="auto" w:sz="2" w:space="0"/>
                    <w:left w:val="single" w:color="auto" w:sz="2" w:space="0"/>
                    <w:bottom w:val="single" w:color="auto" w:sz="2" w:space="0"/>
                    <w:right w:val="single" w:color="auto" w:sz="2" w:space="0"/>
                  </w:tcBorders>
                  <w:shd w:val="clear" w:color="auto" w:fill="FFFFFF"/>
                  <w:vAlign w:val="center"/>
                </w:tcPr>
                <w:p w14:paraId="79029695">
                  <w:pPr>
                    <w:pStyle w:val="62"/>
                    <w:rPr>
                      <w:color w:val="auto"/>
                      <w:sz w:val="22"/>
                    </w:rPr>
                  </w:pPr>
                  <w:r>
                    <w:rPr>
                      <w:rFonts w:hint="eastAsia"/>
                      <w:color w:val="auto"/>
                      <w:sz w:val="22"/>
                    </w:rPr>
                    <w:t>苯胺</w:t>
                  </w:r>
                </w:p>
              </w:tc>
              <w:tc>
                <w:tcPr>
                  <w:tcW w:w="732" w:type="dxa"/>
                  <w:tcBorders>
                    <w:top w:val="single" w:color="auto" w:sz="2" w:space="0"/>
                    <w:left w:val="single" w:color="auto" w:sz="2" w:space="0"/>
                    <w:bottom w:val="single" w:color="auto" w:sz="2" w:space="0"/>
                    <w:right w:val="single" w:color="auto" w:sz="2" w:space="0"/>
                  </w:tcBorders>
                  <w:shd w:val="clear" w:color="auto" w:fill="FFFFFF"/>
                  <w:vAlign w:val="center"/>
                </w:tcPr>
                <w:p w14:paraId="2EC8047B">
                  <w:pPr>
                    <w:pStyle w:val="62"/>
                    <w:rPr>
                      <w:color w:val="auto"/>
                      <w:sz w:val="22"/>
                    </w:rPr>
                  </w:pPr>
                  <w:r>
                    <w:rPr>
                      <w:rFonts w:hint="eastAsia"/>
                      <w:color w:val="auto"/>
                      <w:sz w:val="22"/>
                    </w:rPr>
                    <w:t>萘</w:t>
                  </w:r>
                </w:p>
              </w:tc>
            </w:tr>
            <w:tr w14:paraId="1862F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55698C3B">
                  <w:pPr>
                    <w:pStyle w:val="62"/>
                    <w:rPr>
                      <w:color w:val="auto"/>
                      <w:sz w:val="22"/>
                    </w:rPr>
                  </w:pPr>
                  <w:r>
                    <w:rPr>
                      <w:color w:val="auto"/>
                      <w:sz w:val="22"/>
                    </w:rPr>
                    <w:t>S1</w:t>
                  </w:r>
                </w:p>
              </w:tc>
              <w:tc>
                <w:tcPr>
                  <w:tcW w:w="681" w:type="dxa"/>
                  <w:tcBorders>
                    <w:top w:val="single" w:color="auto" w:sz="2" w:space="0"/>
                    <w:left w:val="single" w:color="auto" w:sz="2" w:space="0"/>
                    <w:bottom w:val="single" w:color="auto" w:sz="2" w:space="0"/>
                    <w:right w:val="single" w:color="auto" w:sz="2" w:space="0"/>
                  </w:tcBorders>
                  <w:vAlign w:val="center"/>
                </w:tcPr>
                <w:p w14:paraId="455E6AEB">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3E7B92F8">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2B0C8127">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39C7C84D">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788B8277">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53E88CF0">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6111DC2D">
                  <w:pPr>
                    <w:jc w:val="center"/>
                    <w:rPr>
                      <w:color w:val="auto"/>
                      <w:sz w:val="22"/>
                      <w:szCs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142C5540">
                  <w:pPr>
                    <w:pStyle w:val="62"/>
                    <w:rPr>
                      <w:color w:val="auto"/>
                      <w:sz w:val="22"/>
                    </w:rPr>
                  </w:pPr>
                  <w:r>
                    <w:rPr>
                      <w:rFonts w:hint="eastAsia"/>
                      <w:color w:val="auto"/>
                      <w:sz w:val="22"/>
                    </w:rPr>
                    <w:t>ND</w:t>
                  </w:r>
                </w:p>
              </w:tc>
              <w:tc>
                <w:tcPr>
                  <w:tcW w:w="553" w:type="dxa"/>
                  <w:tcBorders>
                    <w:top w:val="single" w:color="auto" w:sz="2" w:space="0"/>
                    <w:left w:val="single" w:color="auto" w:sz="2" w:space="0"/>
                    <w:bottom w:val="single" w:color="auto" w:sz="2" w:space="0"/>
                    <w:right w:val="single" w:color="auto" w:sz="2" w:space="0"/>
                  </w:tcBorders>
                  <w:vAlign w:val="center"/>
                </w:tcPr>
                <w:p w14:paraId="57D4ABE9">
                  <w:pPr>
                    <w:pStyle w:val="62"/>
                    <w:rPr>
                      <w:color w:val="auto"/>
                      <w:sz w:val="22"/>
                    </w:rPr>
                  </w:pPr>
                  <w:r>
                    <w:rPr>
                      <w:rFonts w:hint="eastAsia"/>
                      <w:color w:val="auto"/>
                      <w:sz w:val="22"/>
                    </w:rPr>
                    <w:t>ND</w:t>
                  </w:r>
                </w:p>
              </w:tc>
              <w:tc>
                <w:tcPr>
                  <w:tcW w:w="732" w:type="dxa"/>
                  <w:tcBorders>
                    <w:top w:val="single" w:color="auto" w:sz="2" w:space="0"/>
                    <w:left w:val="single" w:color="auto" w:sz="2" w:space="0"/>
                    <w:bottom w:val="single" w:color="auto" w:sz="2" w:space="0"/>
                    <w:right w:val="single" w:color="auto" w:sz="2" w:space="0"/>
                  </w:tcBorders>
                  <w:vAlign w:val="center"/>
                </w:tcPr>
                <w:p w14:paraId="5030C2D7">
                  <w:pPr>
                    <w:pStyle w:val="62"/>
                    <w:rPr>
                      <w:color w:val="auto"/>
                      <w:sz w:val="22"/>
                    </w:rPr>
                  </w:pPr>
                  <w:r>
                    <w:rPr>
                      <w:rFonts w:hint="eastAsia"/>
                      <w:color w:val="auto"/>
                      <w:sz w:val="22"/>
                    </w:rPr>
                    <w:t>ND</w:t>
                  </w:r>
                </w:p>
              </w:tc>
            </w:tr>
            <w:tr w14:paraId="28AB4C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17B49776">
                  <w:pPr>
                    <w:pStyle w:val="62"/>
                    <w:rPr>
                      <w:color w:val="auto"/>
                      <w:sz w:val="22"/>
                    </w:rPr>
                  </w:pPr>
                  <w:r>
                    <w:rPr>
                      <w:color w:val="auto"/>
                      <w:sz w:val="22"/>
                    </w:rPr>
                    <w:t>Ii</w:t>
                  </w:r>
                </w:p>
              </w:tc>
              <w:tc>
                <w:tcPr>
                  <w:tcW w:w="681" w:type="dxa"/>
                  <w:tcBorders>
                    <w:top w:val="single" w:color="auto" w:sz="2" w:space="0"/>
                    <w:left w:val="single" w:color="auto" w:sz="2" w:space="0"/>
                    <w:bottom w:val="single" w:color="auto" w:sz="2" w:space="0"/>
                    <w:right w:val="single" w:color="auto" w:sz="2" w:space="0"/>
                  </w:tcBorders>
                  <w:vAlign w:val="center"/>
                </w:tcPr>
                <w:p w14:paraId="774CA1B8">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35C7CCCA">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623C1901">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09CA08BA">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1C5272E1">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46B141DB">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164028D2">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27E2F628">
                  <w:pPr>
                    <w:pStyle w:val="62"/>
                    <w:rPr>
                      <w:color w:val="auto"/>
                      <w:sz w:val="22"/>
                    </w:rPr>
                  </w:pPr>
                  <w:r>
                    <w:rPr>
                      <w:color w:val="auto"/>
                      <w:sz w:val="22"/>
                    </w:rPr>
                    <w:t>/</w:t>
                  </w:r>
                </w:p>
              </w:tc>
              <w:tc>
                <w:tcPr>
                  <w:tcW w:w="553" w:type="dxa"/>
                  <w:tcBorders>
                    <w:top w:val="single" w:color="auto" w:sz="2" w:space="0"/>
                    <w:left w:val="single" w:color="auto" w:sz="2" w:space="0"/>
                    <w:bottom w:val="single" w:color="auto" w:sz="2" w:space="0"/>
                    <w:right w:val="single" w:color="auto" w:sz="2" w:space="0"/>
                  </w:tcBorders>
                  <w:vAlign w:val="center"/>
                </w:tcPr>
                <w:p w14:paraId="40D89E51">
                  <w:pPr>
                    <w:pStyle w:val="62"/>
                    <w:rPr>
                      <w:color w:val="auto"/>
                      <w:sz w:val="22"/>
                    </w:rPr>
                  </w:pPr>
                  <w:r>
                    <w:rPr>
                      <w:color w:val="auto"/>
                      <w:sz w:val="22"/>
                    </w:rPr>
                    <w:t>/</w:t>
                  </w:r>
                </w:p>
              </w:tc>
              <w:tc>
                <w:tcPr>
                  <w:tcW w:w="732" w:type="dxa"/>
                  <w:tcBorders>
                    <w:top w:val="single" w:color="auto" w:sz="2" w:space="0"/>
                    <w:left w:val="single" w:color="auto" w:sz="2" w:space="0"/>
                    <w:bottom w:val="single" w:color="auto" w:sz="2" w:space="0"/>
                    <w:right w:val="single" w:color="auto" w:sz="2" w:space="0"/>
                  </w:tcBorders>
                  <w:vAlign w:val="center"/>
                </w:tcPr>
                <w:p w14:paraId="73AC36A2">
                  <w:pPr>
                    <w:pStyle w:val="62"/>
                    <w:rPr>
                      <w:color w:val="auto"/>
                      <w:sz w:val="22"/>
                    </w:rPr>
                  </w:pPr>
                  <w:r>
                    <w:rPr>
                      <w:color w:val="auto"/>
                      <w:sz w:val="22"/>
                    </w:rPr>
                    <w:t>/</w:t>
                  </w:r>
                </w:p>
              </w:tc>
            </w:tr>
            <w:tr w14:paraId="2486B4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37B420C9">
                  <w:pPr>
                    <w:pStyle w:val="62"/>
                    <w:rPr>
                      <w:color w:val="auto"/>
                      <w:sz w:val="22"/>
                    </w:rPr>
                  </w:pPr>
                  <w:r>
                    <w:rPr>
                      <w:rFonts w:hint="eastAsia"/>
                      <w:color w:val="auto"/>
                      <w:sz w:val="22"/>
                    </w:rPr>
                    <w:t>标准值</w:t>
                  </w:r>
                </w:p>
              </w:tc>
              <w:tc>
                <w:tcPr>
                  <w:tcW w:w="681" w:type="dxa"/>
                  <w:tcBorders>
                    <w:top w:val="single" w:color="auto" w:sz="2" w:space="0"/>
                    <w:left w:val="single" w:color="auto" w:sz="2" w:space="0"/>
                    <w:bottom w:val="single" w:color="auto" w:sz="2" w:space="0"/>
                    <w:right w:val="single" w:color="auto" w:sz="2" w:space="0"/>
                  </w:tcBorders>
                  <w:vAlign w:val="center"/>
                </w:tcPr>
                <w:p w14:paraId="3ECE8C14">
                  <w:pPr>
                    <w:pStyle w:val="62"/>
                    <w:rPr>
                      <w:color w:val="auto"/>
                      <w:sz w:val="22"/>
                    </w:rPr>
                  </w:pPr>
                  <w:r>
                    <w:rPr>
                      <w:color w:val="auto"/>
                      <w:sz w:val="22"/>
                    </w:rPr>
                    <w:t>560</w:t>
                  </w:r>
                </w:p>
              </w:tc>
              <w:tc>
                <w:tcPr>
                  <w:tcW w:w="731" w:type="dxa"/>
                  <w:tcBorders>
                    <w:top w:val="single" w:color="auto" w:sz="2" w:space="0"/>
                    <w:left w:val="single" w:color="auto" w:sz="2" w:space="0"/>
                    <w:bottom w:val="single" w:color="auto" w:sz="2" w:space="0"/>
                    <w:right w:val="single" w:color="auto" w:sz="2" w:space="0"/>
                  </w:tcBorders>
                  <w:vAlign w:val="center"/>
                </w:tcPr>
                <w:p w14:paraId="134E2A56">
                  <w:pPr>
                    <w:pStyle w:val="62"/>
                    <w:rPr>
                      <w:color w:val="auto"/>
                      <w:sz w:val="22"/>
                    </w:rPr>
                  </w:pPr>
                  <w:r>
                    <w:rPr>
                      <w:color w:val="auto"/>
                      <w:sz w:val="22"/>
                    </w:rPr>
                    <w:t>20</w:t>
                  </w:r>
                </w:p>
              </w:tc>
              <w:tc>
                <w:tcPr>
                  <w:tcW w:w="731" w:type="dxa"/>
                  <w:tcBorders>
                    <w:top w:val="single" w:color="auto" w:sz="2" w:space="0"/>
                    <w:left w:val="single" w:color="auto" w:sz="2" w:space="0"/>
                    <w:bottom w:val="single" w:color="auto" w:sz="2" w:space="0"/>
                    <w:right w:val="single" w:color="auto" w:sz="2" w:space="0"/>
                  </w:tcBorders>
                  <w:vAlign w:val="center"/>
                </w:tcPr>
                <w:p w14:paraId="19BF82E7">
                  <w:pPr>
                    <w:pStyle w:val="62"/>
                    <w:rPr>
                      <w:color w:val="auto"/>
                      <w:sz w:val="22"/>
                    </w:rPr>
                  </w:pPr>
                  <w:r>
                    <w:rPr>
                      <w:color w:val="auto"/>
                      <w:sz w:val="22"/>
                    </w:rPr>
                    <w:t>28</w:t>
                  </w:r>
                </w:p>
              </w:tc>
              <w:tc>
                <w:tcPr>
                  <w:tcW w:w="731" w:type="dxa"/>
                  <w:tcBorders>
                    <w:top w:val="single" w:color="auto" w:sz="2" w:space="0"/>
                    <w:left w:val="single" w:color="auto" w:sz="2" w:space="0"/>
                    <w:bottom w:val="single" w:color="auto" w:sz="2" w:space="0"/>
                    <w:right w:val="single" w:color="auto" w:sz="2" w:space="0"/>
                  </w:tcBorders>
                  <w:vAlign w:val="center"/>
                </w:tcPr>
                <w:p w14:paraId="396A1821">
                  <w:pPr>
                    <w:pStyle w:val="62"/>
                    <w:rPr>
                      <w:color w:val="auto"/>
                      <w:sz w:val="22"/>
                    </w:rPr>
                  </w:pPr>
                  <w:r>
                    <w:rPr>
                      <w:color w:val="auto"/>
                      <w:sz w:val="22"/>
                    </w:rPr>
                    <w:t>1290</w:t>
                  </w:r>
                </w:p>
              </w:tc>
              <w:tc>
                <w:tcPr>
                  <w:tcW w:w="731" w:type="dxa"/>
                  <w:tcBorders>
                    <w:top w:val="single" w:color="auto" w:sz="2" w:space="0"/>
                    <w:left w:val="single" w:color="auto" w:sz="2" w:space="0"/>
                    <w:bottom w:val="single" w:color="auto" w:sz="2" w:space="0"/>
                    <w:right w:val="single" w:color="auto" w:sz="2" w:space="0"/>
                  </w:tcBorders>
                  <w:vAlign w:val="center"/>
                </w:tcPr>
                <w:p w14:paraId="72A248C6">
                  <w:pPr>
                    <w:pStyle w:val="62"/>
                    <w:rPr>
                      <w:color w:val="auto"/>
                      <w:sz w:val="22"/>
                    </w:rPr>
                  </w:pPr>
                  <w:r>
                    <w:rPr>
                      <w:color w:val="auto"/>
                      <w:sz w:val="22"/>
                    </w:rPr>
                    <w:t>1200</w:t>
                  </w:r>
                </w:p>
              </w:tc>
              <w:tc>
                <w:tcPr>
                  <w:tcW w:w="731" w:type="dxa"/>
                  <w:tcBorders>
                    <w:top w:val="single" w:color="auto" w:sz="2" w:space="0"/>
                    <w:left w:val="single" w:color="auto" w:sz="2" w:space="0"/>
                    <w:bottom w:val="single" w:color="auto" w:sz="2" w:space="0"/>
                    <w:right w:val="single" w:color="auto" w:sz="2" w:space="0"/>
                  </w:tcBorders>
                  <w:vAlign w:val="center"/>
                </w:tcPr>
                <w:p w14:paraId="413205E4">
                  <w:pPr>
                    <w:pStyle w:val="62"/>
                    <w:rPr>
                      <w:color w:val="auto"/>
                      <w:sz w:val="22"/>
                    </w:rPr>
                  </w:pPr>
                  <w:r>
                    <w:rPr>
                      <w:color w:val="auto"/>
                      <w:sz w:val="22"/>
                    </w:rPr>
                    <w:t>570</w:t>
                  </w:r>
                </w:p>
              </w:tc>
              <w:tc>
                <w:tcPr>
                  <w:tcW w:w="731" w:type="dxa"/>
                  <w:tcBorders>
                    <w:top w:val="single" w:color="auto" w:sz="2" w:space="0"/>
                    <w:left w:val="single" w:color="auto" w:sz="2" w:space="0"/>
                    <w:bottom w:val="single" w:color="auto" w:sz="2" w:space="0"/>
                    <w:right w:val="single" w:color="auto" w:sz="2" w:space="0"/>
                  </w:tcBorders>
                  <w:vAlign w:val="center"/>
                </w:tcPr>
                <w:p w14:paraId="78CFC983">
                  <w:pPr>
                    <w:pStyle w:val="62"/>
                    <w:rPr>
                      <w:color w:val="auto"/>
                      <w:sz w:val="22"/>
                    </w:rPr>
                  </w:pPr>
                  <w:r>
                    <w:rPr>
                      <w:color w:val="auto"/>
                      <w:sz w:val="22"/>
                    </w:rPr>
                    <w:t>640</w:t>
                  </w:r>
                </w:p>
              </w:tc>
              <w:tc>
                <w:tcPr>
                  <w:tcW w:w="731" w:type="dxa"/>
                  <w:tcBorders>
                    <w:top w:val="single" w:color="auto" w:sz="2" w:space="0"/>
                    <w:left w:val="single" w:color="auto" w:sz="2" w:space="0"/>
                    <w:bottom w:val="single" w:color="auto" w:sz="2" w:space="0"/>
                    <w:right w:val="single" w:color="auto" w:sz="2" w:space="0"/>
                  </w:tcBorders>
                  <w:vAlign w:val="center"/>
                </w:tcPr>
                <w:p w14:paraId="21701EAD">
                  <w:pPr>
                    <w:pStyle w:val="62"/>
                    <w:rPr>
                      <w:color w:val="auto"/>
                      <w:sz w:val="22"/>
                    </w:rPr>
                  </w:pPr>
                  <w:r>
                    <w:rPr>
                      <w:color w:val="auto"/>
                      <w:sz w:val="22"/>
                    </w:rPr>
                    <w:t>76</w:t>
                  </w:r>
                </w:p>
              </w:tc>
              <w:tc>
                <w:tcPr>
                  <w:tcW w:w="553" w:type="dxa"/>
                  <w:tcBorders>
                    <w:top w:val="single" w:color="auto" w:sz="2" w:space="0"/>
                    <w:left w:val="single" w:color="auto" w:sz="2" w:space="0"/>
                    <w:bottom w:val="single" w:color="auto" w:sz="2" w:space="0"/>
                    <w:right w:val="single" w:color="auto" w:sz="2" w:space="0"/>
                  </w:tcBorders>
                  <w:vAlign w:val="center"/>
                </w:tcPr>
                <w:p w14:paraId="5712FD94">
                  <w:pPr>
                    <w:pStyle w:val="62"/>
                    <w:rPr>
                      <w:color w:val="auto"/>
                      <w:sz w:val="22"/>
                    </w:rPr>
                  </w:pPr>
                  <w:r>
                    <w:rPr>
                      <w:color w:val="auto"/>
                      <w:sz w:val="22"/>
                    </w:rPr>
                    <w:t>260</w:t>
                  </w:r>
                </w:p>
              </w:tc>
              <w:tc>
                <w:tcPr>
                  <w:tcW w:w="732" w:type="dxa"/>
                  <w:tcBorders>
                    <w:top w:val="single" w:color="auto" w:sz="2" w:space="0"/>
                    <w:left w:val="single" w:color="auto" w:sz="2" w:space="0"/>
                    <w:bottom w:val="single" w:color="auto" w:sz="2" w:space="0"/>
                    <w:right w:val="single" w:color="auto" w:sz="2" w:space="0"/>
                  </w:tcBorders>
                  <w:vAlign w:val="center"/>
                </w:tcPr>
                <w:p w14:paraId="0269B8E7">
                  <w:pPr>
                    <w:pStyle w:val="62"/>
                    <w:rPr>
                      <w:color w:val="auto"/>
                      <w:sz w:val="22"/>
                    </w:rPr>
                  </w:pPr>
                  <w:r>
                    <w:rPr>
                      <w:color w:val="auto"/>
                      <w:sz w:val="22"/>
                    </w:rPr>
                    <w:t>70</w:t>
                  </w:r>
                </w:p>
              </w:tc>
            </w:tr>
            <w:tr w14:paraId="4ACBCF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shd w:val="clear" w:color="auto" w:fill="FFFFFF"/>
                  <w:vAlign w:val="center"/>
                </w:tcPr>
                <w:p w14:paraId="7A8BA72B">
                  <w:pPr>
                    <w:pStyle w:val="62"/>
                    <w:rPr>
                      <w:color w:val="auto"/>
                      <w:sz w:val="22"/>
                    </w:rPr>
                  </w:pPr>
                  <w:r>
                    <w:rPr>
                      <w:rFonts w:hint="eastAsia"/>
                      <w:color w:val="auto"/>
                      <w:sz w:val="22"/>
                    </w:rPr>
                    <w:t>项目</w:t>
                  </w:r>
                </w:p>
              </w:tc>
              <w:tc>
                <w:tcPr>
                  <w:tcW w:w="681" w:type="dxa"/>
                  <w:tcBorders>
                    <w:top w:val="single" w:color="auto" w:sz="2" w:space="0"/>
                    <w:left w:val="single" w:color="auto" w:sz="2" w:space="0"/>
                    <w:bottom w:val="single" w:color="auto" w:sz="2" w:space="0"/>
                    <w:right w:val="single" w:color="auto" w:sz="2" w:space="0"/>
                  </w:tcBorders>
                  <w:shd w:val="clear" w:color="auto" w:fill="FFFFFF"/>
                  <w:vAlign w:val="center"/>
                </w:tcPr>
                <w:p w14:paraId="122EAFB4">
                  <w:pPr>
                    <w:pStyle w:val="62"/>
                    <w:rPr>
                      <w:color w:val="auto"/>
                      <w:sz w:val="22"/>
                    </w:rPr>
                  </w:pPr>
                  <w:r>
                    <w:rPr>
                      <w:color w:val="auto"/>
                      <w:sz w:val="22"/>
                    </w:rPr>
                    <w:t>2-</w:t>
                  </w:r>
                  <w:r>
                    <w:rPr>
                      <w:rFonts w:hint="eastAsia"/>
                      <w:color w:val="auto"/>
                      <w:sz w:val="22"/>
                    </w:rPr>
                    <w:t>氯酚</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74EFEAC0">
                  <w:pPr>
                    <w:pStyle w:val="62"/>
                    <w:rPr>
                      <w:color w:val="auto"/>
                      <w:sz w:val="22"/>
                    </w:rPr>
                  </w:pPr>
                  <w:r>
                    <w:rPr>
                      <w:rFonts w:hint="eastAsia"/>
                      <w:color w:val="auto"/>
                      <w:sz w:val="22"/>
                    </w:rPr>
                    <w:t>苯并</w:t>
                  </w:r>
                  <w:r>
                    <w:rPr>
                      <w:color w:val="auto"/>
                      <w:sz w:val="22"/>
                    </w:rPr>
                    <w:t>[a]</w:t>
                  </w:r>
                  <w:r>
                    <w:rPr>
                      <w:rFonts w:hint="eastAsia"/>
                      <w:color w:val="auto"/>
                      <w:sz w:val="22"/>
                    </w:rPr>
                    <w:t>蒽</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3D50F54B">
                  <w:pPr>
                    <w:pStyle w:val="62"/>
                    <w:rPr>
                      <w:color w:val="auto"/>
                      <w:sz w:val="22"/>
                    </w:rPr>
                  </w:pPr>
                  <w:r>
                    <w:rPr>
                      <w:rFonts w:hint="eastAsia"/>
                      <w:color w:val="auto"/>
                      <w:sz w:val="22"/>
                    </w:rPr>
                    <w:t>苯并</w:t>
                  </w:r>
                  <w:r>
                    <w:rPr>
                      <w:color w:val="auto"/>
                      <w:sz w:val="22"/>
                    </w:rPr>
                    <w:t>[a]</w:t>
                  </w:r>
                  <w:r>
                    <w:rPr>
                      <w:rFonts w:hint="eastAsia"/>
                      <w:color w:val="auto"/>
                      <w:sz w:val="22"/>
                    </w:rPr>
                    <w:t>芘</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066DA1AD">
                  <w:pPr>
                    <w:pStyle w:val="62"/>
                    <w:rPr>
                      <w:color w:val="auto"/>
                      <w:sz w:val="22"/>
                    </w:rPr>
                  </w:pPr>
                  <w:r>
                    <w:rPr>
                      <w:rFonts w:hint="eastAsia"/>
                      <w:color w:val="auto"/>
                      <w:sz w:val="22"/>
                    </w:rPr>
                    <w:t>苯并</w:t>
                  </w:r>
                  <w:r>
                    <w:rPr>
                      <w:color w:val="auto"/>
                      <w:sz w:val="22"/>
                    </w:rPr>
                    <w:t>[b]</w:t>
                  </w:r>
                  <w:r>
                    <w:rPr>
                      <w:rFonts w:hint="eastAsia"/>
                      <w:color w:val="auto"/>
                      <w:sz w:val="22"/>
                    </w:rPr>
                    <w:t>荧蒽</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26AE954D">
                  <w:pPr>
                    <w:pStyle w:val="62"/>
                    <w:rPr>
                      <w:color w:val="auto"/>
                      <w:sz w:val="22"/>
                    </w:rPr>
                  </w:pPr>
                  <w:r>
                    <w:rPr>
                      <w:rFonts w:hint="eastAsia"/>
                      <w:color w:val="auto"/>
                      <w:sz w:val="22"/>
                    </w:rPr>
                    <w:t>苯并</w:t>
                  </w:r>
                  <w:r>
                    <w:rPr>
                      <w:color w:val="auto"/>
                      <w:sz w:val="22"/>
                    </w:rPr>
                    <w:t>[k]</w:t>
                  </w:r>
                  <w:r>
                    <w:rPr>
                      <w:rFonts w:hint="eastAsia"/>
                      <w:color w:val="auto"/>
                      <w:sz w:val="22"/>
                    </w:rPr>
                    <w:t>荧蒽</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03839695">
                  <w:pPr>
                    <w:pStyle w:val="62"/>
                    <w:rPr>
                      <w:color w:val="auto"/>
                      <w:sz w:val="22"/>
                    </w:rPr>
                  </w:pPr>
                  <w:r>
                    <w:rPr>
                      <w:rFonts w:hint="eastAsia"/>
                      <w:color w:val="auto"/>
                      <w:sz w:val="22"/>
                    </w:rPr>
                    <w:t>䓛</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5A8AE447">
                  <w:pPr>
                    <w:pStyle w:val="62"/>
                    <w:rPr>
                      <w:color w:val="auto"/>
                      <w:sz w:val="22"/>
                    </w:rPr>
                  </w:pPr>
                  <w:r>
                    <w:rPr>
                      <w:rFonts w:hint="eastAsia"/>
                      <w:color w:val="auto"/>
                      <w:sz w:val="22"/>
                    </w:rPr>
                    <w:t>二苯并</w:t>
                  </w:r>
                  <w:r>
                    <w:rPr>
                      <w:color w:val="auto"/>
                      <w:sz w:val="22"/>
                    </w:rPr>
                    <w:t>[a,h]</w:t>
                  </w:r>
                  <w:r>
                    <w:rPr>
                      <w:rFonts w:hint="eastAsia"/>
                      <w:color w:val="auto"/>
                      <w:sz w:val="22"/>
                    </w:rPr>
                    <w:t>蒽</w:t>
                  </w:r>
                </w:p>
              </w:tc>
              <w:tc>
                <w:tcPr>
                  <w:tcW w:w="731" w:type="dxa"/>
                  <w:tcBorders>
                    <w:top w:val="single" w:color="auto" w:sz="2" w:space="0"/>
                    <w:left w:val="single" w:color="auto" w:sz="2" w:space="0"/>
                    <w:bottom w:val="single" w:color="auto" w:sz="2" w:space="0"/>
                    <w:right w:val="single" w:color="auto" w:sz="2" w:space="0"/>
                  </w:tcBorders>
                  <w:shd w:val="clear" w:color="auto" w:fill="FFFFFF"/>
                  <w:vAlign w:val="center"/>
                </w:tcPr>
                <w:p w14:paraId="2FC1085D">
                  <w:pPr>
                    <w:pStyle w:val="62"/>
                    <w:rPr>
                      <w:color w:val="auto"/>
                      <w:sz w:val="22"/>
                    </w:rPr>
                  </w:pPr>
                  <w:r>
                    <w:rPr>
                      <w:rFonts w:hint="eastAsia"/>
                      <w:color w:val="auto"/>
                      <w:sz w:val="22"/>
                    </w:rPr>
                    <w:t>茚并</w:t>
                  </w:r>
                  <w:r>
                    <w:rPr>
                      <w:color w:val="auto"/>
                      <w:sz w:val="22"/>
                    </w:rPr>
                    <w:t>[1,2,3-cd]</w:t>
                  </w:r>
                  <w:r>
                    <w:rPr>
                      <w:rFonts w:hint="eastAsia"/>
                      <w:color w:val="auto"/>
                      <w:sz w:val="22"/>
                    </w:rPr>
                    <w:t>芘</w:t>
                  </w:r>
                </w:p>
              </w:tc>
              <w:tc>
                <w:tcPr>
                  <w:tcW w:w="553" w:type="dxa"/>
                  <w:tcBorders>
                    <w:top w:val="single" w:color="auto" w:sz="2" w:space="0"/>
                    <w:left w:val="single" w:color="auto" w:sz="2" w:space="0"/>
                    <w:bottom w:val="single" w:color="auto" w:sz="2" w:space="0"/>
                    <w:right w:val="single" w:color="auto" w:sz="2" w:space="0"/>
                  </w:tcBorders>
                  <w:shd w:val="clear" w:color="auto" w:fill="FFFFFF"/>
                  <w:vAlign w:val="center"/>
                </w:tcPr>
                <w:p w14:paraId="63D2C769">
                  <w:pPr>
                    <w:pStyle w:val="62"/>
                    <w:rPr>
                      <w:color w:val="auto"/>
                      <w:sz w:val="22"/>
                    </w:rPr>
                  </w:pPr>
                </w:p>
              </w:tc>
              <w:tc>
                <w:tcPr>
                  <w:tcW w:w="732" w:type="dxa"/>
                  <w:tcBorders>
                    <w:top w:val="single" w:color="auto" w:sz="2" w:space="0"/>
                    <w:left w:val="single" w:color="auto" w:sz="2" w:space="0"/>
                    <w:bottom w:val="single" w:color="auto" w:sz="2" w:space="0"/>
                    <w:right w:val="single" w:color="auto" w:sz="2" w:space="0"/>
                  </w:tcBorders>
                  <w:shd w:val="clear" w:color="auto" w:fill="FFFFFF"/>
                  <w:vAlign w:val="center"/>
                </w:tcPr>
                <w:p w14:paraId="7C671165">
                  <w:pPr>
                    <w:pStyle w:val="62"/>
                    <w:rPr>
                      <w:color w:val="auto"/>
                      <w:sz w:val="22"/>
                    </w:rPr>
                  </w:pPr>
                </w:p>
              </w:tc>
            </w:tr>
            <w:tr w14:paraId="7AB510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17D32395">
                  <w:pPr>
                    <w:pStyle w:val="62"/>
                    <w:rPr>
                      <w:color w:val="auto"/>
                      <w:sz w:val="22"/>
                    </w:rPr>
                  </w:pPr>
                  <w:r>
                    <w:rPr>
                      <w:color w:val="auto"/>
                      <w:sz w:val="22"/>
                    </w:rPr>
                    <w:t>S1</w:t>
                  </w:r>
                </w:p>
              </w:tc>
              <w:tc>
                <w:tcPr>
                  <w:tcW w:w="681" w:type="dxa"/>
                  <w:tcBorders>
                    <w:top w:val="single" w:color="auto" w:sz="2" w:space="0"/>
                    <w:left w:val="single" w:color="auto" w:sz="2" w:space="0"/>
                    <w:bottom w:val="single" w:color="auto" w:sz="2" w:space="0"/>
                    <w:right w:val="single" w:color="auto" w:sz="2" w:space="0"/>
                  </w:tcBorders>
                  <w:vAlign w:val="center"/>
                </w:tcPr>
                <w:p w14:paraId="6E98C9FF">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05BCA1CD">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0198070F">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5FE0AB95">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6D0FF5C4">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2575A975">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049611B4">
                  <w:pPr>
                    <w:pStyle w:val="62"/>
                    <w:rPr>
                      <w:color w:val="auto"/>
                      <w:sz w:val="22"/>
                    </w:rPr>
                  </w:pPr>
                  <w:r>
                    <w:rPr>
                      <w:rFonts w:hint="eastAsia"/>
                      <w:color w:val="auto"/>
                      <w:sz w:val="22"/>
                    </w:rPr>
                    <w:t>ND</w:t>
                  </w:r>
                </w:p>
              </w:tc>
              <w:tc>
                <w:tcPr>
                  <w:tcW w:w="731" w:type="dxa"/>
                  <w:tcBorders>
                    <w:top w:val="single" w:color="auto" w:sz="2" w:space="0"/>
                    <w:left w:val="single" w:color="auto" w:sz="2" w:space="0"/>
                    <w:bottom w:val="single" w:color="auto" w:sz="2" w:space="0"/>
                    <w:right w:val="single" w:color="auto" w:sz="2" w:space="0"/>
                  </w:tcBorders>
                  <w:vAlign w:val="center"/>
                </w:tcPr>
                <w:p w14:paraId="5F5245A6">
                  <w:pPr>
                    <w:pStyle w:val="62"/>
                    <w:rPr>
                      <w:color w:val="auto"/>
                      <w:sz w:val="22"/>
                    </w:rPr>
                  </w:pPr>
                  <w:r>
                    <w:rPr>
                      <w:rFonts w:hint="eastAsia"/>
                      <w:color w:val="auto"/>
                      <w:sz w:val="22"/>
                    </w:rPr>
                    <w:t>ND</w:t>
                  </w:r>
                </w:p>
              </w:tc>
              <w:tc>
                <w:tcPr>
                  <w:tcW w:w="553" w:type="dxa"/>
                  <w:tcBorders>
                    <w:top w:val="single" w:color="auto" w:sz="2" w:space="0"/>
                    <w:left w:val="single" w:color="auto" w:sz="2" w:space="0"/>
                    <w:bottom w:val="single" w:color="auto" w:sz="2" w:space="0"/>
                    <w:right w:val="single" w:color="auto" w:sz="2" w:space="0"/>
                  </w:tcBorders>
                  <w:vAlign w:val="center"/>
                </w:tcPr>
                <w:p w14:paraId="1FA78E3F">
                  <w:pPr>
                    <w:pStyle w:val="62"/>
                    <w:rPr>
                      <w:color w:val="auto"/>
                      <w:sz w:val="22"/>
                    </w:rPr>
                  </w:pPr>
                </w:p>
              </w:tc>
              <w:tc>
                <w:tcPr>
                  <w:tcW w:w="732" w:type="dxa"/>
                  <w:tcBorders>
                    <w:top w:val="single" w:color="auto" w:sz="2" w:space="0"/>
                    <w:left w:val="single" w:color="auto" w:sz="2" w:space="0"/>
                    <w:bottom w:val="single" w:color="auto" w:sz="2" w:space="0"/>
                    <w:right w:val="single" w:color="auto" w:sz="2" w:space="0"/>
                  </w:tcBorders>
                  <w:vAlign w:val="center"/>
                </w:tcPr>
                <w:p w14:paraId="781002C3">
                  <w:pPr>
                    <w:pStyle w:val="62"/>
                    <w:rPr>
                      <w:color w:val="auto"/>
                      <w:sz w:val="22"/>
                    </w:rPr>
                  </w:pPr>
                </w:p>
              </w:tc>
            </w:tr>
            <w:tr w14:paraId="331DEF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5B75EB4F">
                  <w:pPr>
                    <w:pStyle w:val="62"/>
                    <w:rPr>
                      <w:color w:val="auto"/>
                      <w:sz w:val="22"/>
                    </w:rPr>
                  </w:pPr>
                  <w:r>
                    <w:rPr>
                      <w:color w:val="auto"/>
                      <w:sz w:val="22"/>
                    </w:rPr>
                    <w:t>Ii</w:t>
                  </w:r>
                </w:p>
              </w:tc>
              <w:tc>
                <w:tcPr>
                  <w:tcW w:w="681" w:type="dxa"/>
                  <w:tcBorders>
                    <w:top w:val="single" w:color="auto" w:sz="2" w:space="0"/>
                    <w:left w:val="single" w:color="auto" w:sz="2" w:space="0"/>
                    <w:bottom w:val="single" w:color="auto" w:sz="2" w:space="0"/>
                    <w:right w:val="single" w:color="auto" w:sz="2" w:space="0"/>
                  </w:tcBorders>
                  <w:vAlign w:val="center"/>
                </w:tcPr>
                <w:p w14:paraId="4B4F2525">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64B9F446">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5A954F9C">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245ABDE7">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3B898261">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43025BAE">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26F4254D">
                  <w:pPr>
                    <w:pStyle w:val="62"/>
                    <w:rPr>
                      <w:color w:val="auto"/>
                      <w:sz w:val="22"/>
                    </w:rPr>
                  </w:pPr>
                  <w:r>
                    <w:rPr>
                      <w:color w:val="auto"/>
                      <w:sz w:val="22"/>
                    </w:rPr>
                    <w:t>/</w:t>
                  </w:r>
                </w:p>
              </w:tc>
              <w:tc>
                <w:tcPr>
                  <w:tcW w:w="731" w:type="dxa"/>
                  <w:tcBorders>
                    <w:top w:val="single" w:color="auto" w:sz="2" w:space="0"/>
                    <w:left w:val="single" w:color="auto" w:sz="2" w:space="0"/>
                    <w:bottom w:val="single" w:color="auto" w:sz="2" w:space="0"/>
                    <w:right w:val="single" w:color="auto" w:sz="2" w:space="0"/>
                  </w:tcBorders>
                  <w:vAlign w:val="center"/>
                </w:tcPr>
                <w:p w14:paraId="54F1EEBB">
                  <w:pPr>
                    <w:pStyle w:val="62"/>
                    <w:rPr>
                      <w:color w:val="auto"/>
                      <w:sz w:val="22"/>
                    </w:rPr>
                  </w:pPr>
                  <w:r>
                    <w:rPr>
                      <w:color w:val="auto"/>
                      <w:sz w:val="22"/>
                    </w:rPr>
                    <w:t>/</w:t>
                  </w:r>
                </w:p>
              </w:tc>
              <w:tc>
                <w:tcPr>
                  <w:tcW w:w="553" w:type="dxa"/>
                  <w:tcBorders>
                    <w:top w:val="single" w:color="auto" w:sz="2" w:space="0"/>
                    <w:left w:val="single" w:color="auto" w:sz="2" w:space="0"/>
                    <w:bottom w:val="single" w:color="auto" w:sz="2" w:space="0"/>
                    <w:right w:val="single" w:color="auto" w:sz="2" w:space="0"/>
                  </w:tcBorders>
                  <w:vAlign w:val="center"/>
                </w:tcPr>
                <w:p w14:paraId="2265FFD6">
                  <w:pPr>
                    <w:pStyle w:val="62"/>
                    <w:rPr>
                      <w:color w:val="auto"/>
                      <w:sz w:val="22"/>
                    </w:rPr>
                  </w:pPr>
                </w:p>
              </w:tc>
              <w:tc>
                <w:tcPr>
                  <w:tcW w:w="732" w:type="dxa"/>
                  <w:tcBorders>
                    <w:top w:val="single" w:color="auto" w:sz="2" w:space="0"/>
                    <w:left w:val="single" w:color="auto" w:sz="2" w:space="0"/>
                    <w:bottom w:val="single" w:color="auto" w:sz="2" w:space="0"/>
                    <w:right w:val="single" w:color="auto" w:sz="2" w:space="0"/>
                  </w:tcBorders>
                  <w:vAlign w:val="center"/>
                </w:tcPr>
                <w:p w14:paraId="03B100BE">
                  <w:pPr>
                    <w:pStyle w:val="62"/>
                    <w:rPr>
                      <w:color w:val="auto"/>
                      <w:sz w:val="22"/>
                    </w:rPr>
                  </w:pPr>
                </w:p>
              </w:tc>
            </w:tr>
            <w:tr w14:paraId="0F9695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6" w:type="dxa"/>
                  <w:tcBorders>
                    <w:top w:val="single" w:color="auto" w:sz="2" w:space="0"/>
                    <w:left w:val="single" w:color="auto" w:sz="2" w:space="0"/>
                    <w:bottom w:val="single" w:color="auto" w:sz="2" w:space="0"/>
                    <w:right w:val="single" w:color="auto" w:sz="2" w:space="0"/>
                  </w:tcBorders>
                  <w:vAlign w:val="center"/>
                </w:tcPr>
                <w:p w14:paraId="35CFFC1B">
                  <w:pPr>
                    <w:pStyle w:val="62"/>
                    <w:rPr>
                      <w:color w:val="auto"/>
                      <w:sz w:val="22"/>
                    </w:rPr>
                  </w:pPr>
                  <w:r>
                    <w:rPr>
                      <w:rFonts w:hint="eastAsia"/>
                      <w:color w:val="auto"/>
                      <w:sz w:val="22"/>
                    </w:rPr>
                    <w:t>标准值</w:t>
                  </w:r>
                </w:p>
              </w:tc>
              <w:tc>
                <w:tcPr>
                  <w:tcW w:w="681" w:type="dxa"/>
                  <w:tcBorders>
                    <w:top w:val="single" w:color="auto" w:sz="2" w:space="0"/>
                    <w:left w:val="single" w:color="auto" w:sz="2" w:space="0"/>
                    <w:bottom w:val="single" w:color="auto" w:sz="2" w:space="0"/>
                    <w:right w:val="single" w:color="auto" w:sz="2" w:space="0"/>
                  </w:tcBorders>
                  <w:vAlign w:val="center"/>
                </w:tcPr>
                <w:p w14:paraId="19782311">
                  <w:pPr>
                    <w:pStyle w:val="62"/>
                    <w:rPr>
                      <w:color w:val="auto"/>
                      <w:sz w:val="22"/>
                    </w:rPr>
                  </w:pPr>
                  <w:r>
                    <w:rPr>
                      <w:color w:val="auto"/>
                      <w:sz w:val="22"/>
                    </w:rPr>
                    <w:t>2256</w:t>
                  </w:r>
                </w:p>
              </w:tc>
              <w:tc>
                <w:tcPr>
                  <w:tcW w:w="731" w:type="dxa"/>
                  <w:tcBorders>
                    <w:top w:val="single" w:color="auto" w:sz="2" w:space="0"/>
                    <w:left w:val="single" w:color="auto" w:sz="2" w:space="0"/>
                    <w:bottom w:val="single" w:color="auto" w:sz="2" w:space="0"/>
                    <w:right w:val="single" w:color="auto" w:sz="2" w:space="0"/>
                  </w:tcBorders>
                  <w:vAlign w:val="center"/>
                </w:tcPr>
                <w:p w14:paraId="27D64247">
                  <w:pPr>
                    <w:pStyle w:val="62"/>
                    <w:rPr>
                      <w:color w:val="auto"/>
                      <w:sz w:val="22"/>
                    </w:rPr>
                  </w:pPr>
                  <w:r>
                    <w:rPr>
                      <w:color w:val="auto"/>
                      <w:sz w:val="22"/>
                    </w:rPr>
                    <w:t>15</w:t>
                  </w:r>
                </w:p>
              </w:tc>
              <w:tc>
                <w:tcPr>
                  <w:tcW w:w="731" w:type="dxa"/>
                  <w:tcBorders>
                    <w:top w:val="single" w:color="auto" w:sz="2" w:space="0"/>
                    <w:left w:val="single" w:color="auto" w:sz="2" w:space="0"/>
                    <w:bottom w:val="single" w:color="auto" w:sz="2" w:space="0"/>
                    <w:right w:val="single" w:color="auto" w:sz="2" w:space="0"/>
                  </w:tcBorders>
                  <w:vAlign w:val="center"/>
                </w:tcPr>
                <w:p w14:paraId="0A5198CA">
                  <w:pPr>
                    <w:pStyle w:val="62"/>
                    <w:rPr>
                      <w:color w:val="auto"/>
                      <w:sz w:val="22"/>
                    </w:rPr>
                  </w:pPr>
                  <w:r>
                    <w:rPr>
                      <w:color w:val="auto"/>
                      <w:sz w:val="22"/>
                    </w:rPr>
                    <w:t>1.5</w:t>
                  </w:r>
                </w:p>
              </w:tc>
              <w:tc>
                <w:tcPr>
                  <w:tcW w:w="731" w:type="dxa"/>
                  <w:tcBorders>
                    <w:top w:val="single" w:color="auto" w:sz="2" w:space="0"/>
                    <w:left w:val="single" w:color="auto" w:sz="2" w:space="0"/>
                    <w:bottom w:val="single" w:color="auto" w:sz="2" w:space="0"/>
                    <w:right w:val="single" w:color="auto" w:sz="2" w:space="0"/>
                  </w:tcBorders>
                  <w:vAlign w:val="center"/>
                </w:tcPr>
                <w:p w14:paraId="4B9D8017">
                  <w:pPr>
                    <w:pStyle w:val="62"/>
                    <w:rPr>
                      <w:color w:val="auto"/>
                      <w:sz w:val="22"/>
                    </w:rPr>
                  </w:pPr>
                  <w:r>
                    <w:rPr>
                      <w:color w:val="auto"/>
                      <w:sz w:val="22"/>
                    </w:rPr>
                    <w:t>15</w:t>
                  </w:r>
                </w:p>
              </w:tc>
              <w:tc>
                <w:tcPr>
                  <w:tcW w:w="731" w:type="dxa"/>
                  <w:tcBorders>
                    <w:top w:val="single" w:color="auto" w:sz="2" w:space="0"/>
                    <w:left w:val="single" w:color="auto" w:sz="2" w:space="0"/>
                    <w:bottom w:val="single" w:color="auto" w:sz="2" w:space="0"/>
                    <w:right w:val="single" w:color="auto" w:sz="2" w:space="0"/>
                  </w:tcBorders>
                  <w:vAlign w:val="center"/>
                </w:tcPr>
                <w:p w14:paraId="04AEE50E">
                  <w:pPr>
                    <w:pStyle w:val="62"/>
                    <w:rPr>
                      <w:color w:val="auto"/>
                      <w:sz w:val="22"/>
                    </w:rPr>
                  </w:pPr>
                  <w:r>
                    <w:rPr>
                      <w:color w:val="auto"/>
                      <w:sz w:val="22"/>
                    </w:rPr>
                    <w:t>151</w:t>
                  </w:r>
                </w:p>
              </w:tc>
              <w:tc>
                <w:tcPr>
                  <w:tcW w:w="731" w:type="dxa"/>
                  <w:tcBorders>
                    <w:top w:val="single" w:color="auto" w:sz="2" w:space="0"/>
                    <w:left w:val="single" w:color="auto" w:sz="2" w:space="0"/>
                    <w:bottom w:val="single" w:color="auto" w:sz="2" w:space="0"/>
                    <w:right w:val="single" w:color="auto" w:sz="2" w:space="0"/>
                  </w:tcBorders>
                  <w:vAlign w:val="center"/>
                </w:tcPr>
                <w:p w14:paraId="3E1688CD">
                  <w:pPr>
                    <w:pStyle w:val="62"/>
                    <w:rPr>
                      <w:color w:val="auto"/>
                      <w:sz w:val="22"/>
                    </w:rPr>
                  </w:pPr>
                  <w:r>
                    <w:rPr>
                      <w:color w:val="auto"/>
                      <w:sz w:val="22"/>
                    </w:rPr>
                    <w:t>1293</w:t>
                  </w:r>
                </w:p>
              </w:tc>
              <w:tc>
                <w:tcPr>
                  <w:tcW w:w="731" w:type="dxa"/>
                  <w:tcBorders>
                    <w:top w:val="single" w:color="auto" w:sz="2" w:space="0"/>
                    <w:left w:val="single" w:color="auto" w:sz="2" w:space="0"/>
                    <w:bottom w:val="single" w:color="auto" w:sz="2" w:space="0"/>
                    <w:right w:val="single" w:color="auto" w:sz="2" w:space="0"/>
                  </w:tcBorders>
                  <w:vAlign w:val="center"/>
                </w:tcPr>
                <w:p w14:paraId="7CE187E8">
                  <w:pPr>
                    <w:pStyle w:val="62"/>
                    <w:rPr>
                      <w:color w:val="auto"/>
                      <w:sz w:val="22"/>
                    </w:rPr>
                  </w:pPr>
                  <w:r>
                    <w:rPr>
                      <w:color w:val="auto"/>
                      <w:sz w:val="22"/>
                    </w:rPr>
                    <w:t>1.5</w:t>
                  </w:r>
                </w:p>
              </w:tc>
              <w:tc>
                <w:tcPr>
                  <w:tcW w:w="731" w:type="dxa"/>
                  <w:tcBorders>
                    <w:top w:val="single" w:color="auto" w:sz="2" w:space="0"/>
                    <w:left w:val="single" w:color="auto" w:sz="2" w:space="0"/>
                    <w:bottom w:val="single" w:color="auto" w:sz="2" w:space="0"/>
                    <w:right w:val="single" w:color="auto" w:sz="2" w:space="0"/>
                  </w:tcBorders>
                  <w:vAlign w:val="center"/>
                </w:tcPr>
                <w:p w14:paraId="7EE82607">
                  <w:pPr>
                    <w:pStyle w:val="62"/>
                    <w:rPr>
                      <w:color w:val="auto"/>
                      <w:sz w:val="22"/>
                    </w:rPr>
                  </w:pPr>
                  <w:r>
                    <w:rPr>
                      <w:color w:val="auto"/>
                      <w:sz w:val="22"/>
                    </w:rPr>
                    <w:t>15</w:t>
                  </w:r>
                </w:p>
              </w:tc>
              <w:tc>
                <w:tcPr>
                  <w:tcW w:w="553" w:type="dxa"/>
                  <w:tcBorders>
                    <w:top w:val="single" w:color="auto" w:sz="2" w:space="0"/>
                    <w:left w:val="single" w:color="auto" w:sz="2" w:space="0"/>
                    <w:bottom w:val="single" w:color="auto" w:sz="2" w:space="0"/>
                    <w:right w:val="single" w:color="auto" w:sz="2" w:space="0"/>
                  </w:tcBorders>
                  <w:vAlign w:val="center"/>
                </w:tcPr>
                <w:p w14:paraId="530A6E28">
                  <w:pPr>
                    <w:pStyle w:val="62"/>
                    <w:rPr>
                      <w:color w:val="auto"/>
                      <w:sz w:val="22"/>
                    </w:rPr>
                  </w:pPr>
                </w:p>
              </w:tc>
              <w:tc>
                <w:tcPr>
                  <w:tcW w:w="732" w:type="dxa"/>
                  <w:tcBorders>
                    <w:top w:val="single" w:color="auto" w:sz="2" w:space="0"/>
                    <w:left w:val="single" w:color="auto" w:sz="2" w:space="0"/>
                    <w:bottom w:val="single" w:color="auto" w:sz="2" w:space="0"/>
                    <w:right w:val="single" w:color="auto" w:sz="2" w:space="0"/>
                  </w:tcBorders>
                  <w:vAlign w:val="center"/>
                </w:tcPr>
                <w:p w14:paraId="7AC96710">
                  <w:pPr>
                    <w:pStyle w:val="62"/>
                    <w:rPr>
                      <w:color w:val="auto"/>
                      <w:sz w:val="22"/>
                    </w:rPr>
                  </w:pPr>
                </w:p>
              </w:tc>
            </w:tr>
          </w:tbl>
          <w:p w14:paraId="7C022109">
            <w:pPr>
              <w:pStyle w:val="73"/>
              <w:spacing w:line="240" w:lineRule="auto"/>
              <w:ind w:firstLine="0" w:firstLineChars="0"/>
              <w:rPr>
                <w:rFonts w:ascii="Times New Roman" w:hAnsi="Times New Roman"/>
                <w:sz w:val="22"/>
                <w:szCs w:val="22"/>
              </w:rPr>
            </w:pPr>
            <w:r>
              <w:rPr>
                <w:rFonts w:ascii="Times New Roman" w:hAnsi="Times New Roman"/>
                <w:sz w:val="22"/>
                <w:szCs w:val="22"/>
              </w:rPr>
              <w:t>注：“L”表示结果低于检出限，监测结果以检出限加“L”标识。</w:t>
            </w:r>
          </w:p>
          <w:p w14:paraId="1AD0C181">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left"/>
              <w:textAlignment w:val="auto"/>
              <w:outlineLvl w:val="0"/>
              <w:rPr>
                <w:rFonts w:eastAsia="黑体"/>
                <w:snapToGrid w:val="0"/>
                <w:sz w:val="36"/>
                <w:szCs w:val="36"/>
                <w:vertAlign w:val="baseline"/>
              </w:rPr>
            </w:pPr>
            <w:r>
              <w:rPr>
                <w:rFonts w:hint="eastAsia"/>
                <w:sz w:val="26"/>
                <w:szCs w:val="26"/>
              </w:rPr>
              <w:t>由表</w:t>
            </w:r>
            <w:r>
              <w:rPr>
                <w:sz w:val="26"/>
                <w:szCs w:val="26"/>
              </w:rPr>
              <w:t>3.1-10</w:t>
            </w:r>
            <w:r>
              <w:rPr>
                <w:rFonts w:hint="eastAsia"/>
                <w:sz w:val="26"/>
                <w:szCs w:val="26"/>
              </w:rPr>
              <w:t>可知，项目土壤现状监测点中镉、汞、六价铬、砷、铅、铜、镍、半挥发性有机物（</w:t>
            </w:r>
            <w:r>
              <w:rPr>
                <w:sz w:val="26"/>
                <w:szCs w:val="26"/>
              </w:rPr>
              <w:t>SVOC</w:t>
            </w:r>
            <w:r>
              <w:rPr>
                <w:rFonts w:hint="eastAsia"/>
                <w:sz w:val="26"/>
                <w:szCs w:val="26"/>
              </w:rPr>
              <w:t>）、挥发性有机物（</w:t>
            </w:r>
            <w:r>
              <w:rPr>
                <w:sz w:val="26"/>
                <w:szCs w:val="26"/>
              </w:rPr>
              <w:t>VOC</w:t>
            </w:r>
            <w:r>
              <w:rPr>
                <w:rFonts w:hint="eastAsia"/>
                <w:sz w:val="26"/>
                <w:szCs w:val="26"/>
              </w:rPr>
              <w:t>s）等监测因子的标准指数均小于</w:t>
            </w:r>
            <w:r>
              <w:rPr>
                <w:sz w:val="26"/>
                <w:szCs w:val="26"/>
              </w:rPr>
              <w:t>1</w:t>
            </w:r>
            <w:r>
              <w:rPr>
                <w:rFonts w:hint="eastAsia"/>
                <w:sz w:val="26"/>
                <w:szCs w:val="26"/>
              </w:rPr>
              <w:t>，监测值均低于《土壤环境质量 建设用地土壤污染风险管控标准（试行）》（</w:t>
            </w:r>
            <w:r>
              <w:rPr>
                <w:sz w:val="26"/>
                <w:szCs w:val="26"/>
              </w:rPr>
              <w:t>GB3660-2018</w:t>
            </w:r>
            <w:r>
              <w:rPr>
                <w:rFonts w:hint="eastAsia"/>
                <w:sz w:val="26"/>
                <w:szCs w:val="26"/>
              </w:rPr>
              <w:t>）中规定的第二类用地污染风险筛选值。表明区域土壤环境质量良好。</w:t>
            </w:r>
          </w:p>
        </w:tc>
      </w:tr>
      <w:tr w14:paraId="36DD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2BFF007">
            <w:pPr>
              <w:adjustRightInd w:val="0"/>
              <w:snapToGrid w:val="0"/>
              <w:jc w:val="center"/>
              <w:rPr>
                <w:rFonts w:eastAsia="黑体"/>
                <w:snapToGrid w:val="0"/>
                <w:sz w:val="36"/>
                <w:szCs w:val="36"/>
                <w:vertAlign w:val="baseline"/>
              </w:rPr>
            </w:pPr>
            <w:r>
              <w:rPr>
                <w:kern w:val="0"/>
                <w:sz w:val="26"/>
                <w:szCs w:val="26"/>
              </w:rPr>
              <w:t>环境保护目标</w:t>
            </w:r>
          </w:p>
        </w:tc>
        <w:tc>
          <w:tcPr>
            <w:tcW w:w="8270" w:type="dxa"/>
          </w:tcPr>
          <w:p w14:paraId="71858DA3">
            <w:pPr>
              <w:adjustRightInd w:val="0"/>
              <w:snapToGrid w:val="0"/>
              <w:spacing w:line="460" w:lineRule="exact"/>
              <w:jc w:val="left"/>
              <w:rPr>
                <w:b/>
                <w:bCs/>
                <w:sz w:val="26"/>
                <w:szCs w:val="26"/>
              </w:rPr>
            </w:pPr>
            <w:r>
              <w:rPr>
                <w:b/>
                <w:bCs/>
                <w:sz w:val="26"/>
                <w:szCs w:val="26"/>
              </w:rPr>
              <w:t>3.2环境保护目标</w:t>
            </w:r>
          </w:p>
          <w:p w14:paraId="0EA40DA5">
            <w:pPr>
              <w:adjustRightInd w:val="0"/>
              <w:snapToGrid w:val="0"/>
              <w:spacing w:line="460" w:lineRule="exact"/>
              <w:jc w:val="left"/>
              <w:rPr>
                <w:b/>
                <w:bCs/>
                <w:sz w:val="26"/>
                <w:szCs w:val="26"/>
              </w:rPr>
            </w:pPr>
            <w:r>
              <w:rPr>
                <w:rFonts w:hint="eastAsia"/>
                <w:b/>
                <w:bCs/>
                <w:sz w:val="26"/>
                <w:szCs w:val="26"/>
              </w:rPr>
              <w:t>3</w:t>
            </w:r>
            <w:r>
              <w:rPr>
                <w:b/>
                <w:bCs/>
                <w:sz w:val="26"/>
                <w:szCs w:val="26"/>
              </w:rPr>
              <w:t>.2.1</w:t>
            </w:r>
            <w:r>
              <w:rPr>
                <w:rFonts w:hint="eastAsia"/>
                <w:b/>
                <w:bCs/>
                <w:sz w:val="26"/>
                <w:szCs w:val="26"/>
              </w:rPr>
              <w:t>外环境关系</w:t>
            </w:r>
          </w:p>
          <w:p w14:paraId="7F6DA36B">
            <w:pPr>
              <w:adjustRightInd w:val="0"/>
              <w:snapToGrid w:val="0"/>
              <w:spacing w:line="460" w:lineRule="exact"/>
              <w:ind w:firstLine="520" w:firstLineChars="200"/>
              <w:jc w:val="left"/>
              <w:rPr>
                <w:sz w:val="26"/>
                <w:szCs w:val="26"/>
              </w:rPr>
            </w:pPr>
            <w:r>
              <w:rPr>
                <w:rFonts w:hint="eastAsia"/>
                <w:sz w:val="26"/>
                <w:szCs w:val="26"/>
              </w:rPr>
              <w:t>本项目外环境关系见下表</w:t>
            </w:r>
            <w:r>
              <w:rPr>
                <w:sz w:val="26"/>
                <w:szCs w:val="26"/>
              </w:rPr>
              <w:t>3</w:t>
            </w:r>
            <w:r>
              <w:rPr>
                <w:rFonts w:hint="eastAsia"/>
                <w:sz w:val="26"/>
                <w:szCs w:val="26"/>
              </w:rPr>
              <w:t>.2-1。</w:t>
            </w:r>
          </w:p>
          <w:p w14:paraId="743042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6"/>
                <w:szCs w:val="26"/>
                <w:highlight w:val="yellow"/>
              </w:rPr>
            </w:pPr>
            <w:r>
              <w:rPr>
                <w:sz w:val="22"/>
                <w:szCs w:val="22"/>
              </w:rPr>
              <w:t>表3.2-1</w:t>
            </w:r>
            <w:r>
              <w:rPr>
                <w:rFonts w:hint="eastAsia"/>
                <w:sz w:val="22"/>
                <w:szCs w:val="22"/>
                <w:lang w:val="en-US" w:eastAsia="zh-CN"/>
              </w:rPr>
              <w:t xml:space="preserve">  </w:t>
            </w:r>
            <w:r>
              <w:rPr>
                <w:bCs/>
                <w:sz w:val="22"/>
                <w:szCs w:val="22"/>
              </w:rPr>
              <w:t>本项目</w:t>
            </w:r>
            <w:r>
              <w:rPr>
                <w:rFonts w:hint="eastAsia"/>
                <w:bCs/>
                <w:sz w:val="22"/>
                <w:szCs w:val="22"/>
              </w:rPr>
              <w:t>外环境关系</w:t>
            </w:r>
            <w:r>
              <w:rPr>
                <w:sz w:val="22"/>
                <w:szCs w:val="22"/>
              </w:rPr>
              <w:t>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3274"/>
              <w:gridCol w:w="869"/>
              <w:gridCol w:w="1434"/>
              <w:gridCol w:w="1672"/>
            </w:tblGrid>
            <w:tr w14:paraId="464B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76" w:type="dxa"/>
                  <w:vAlign w:val="center"/>
                </w:tcPr>
                <w:p w14:paraId="5F6850FE">
                  <w:pPr>
                    <w:autoSpaceDE w:val="0"/>
                    <w:autoSpaceDN w:val="0"/>
                    <w:adjustRightInd w:val="0"/>
                    <w:spacing w:line="300" w:lineRule="exact"/>
                    <w:jc w:val="center"/>
                    <w:rPr>
                      <w:kern w:val="0"/>
                      <w:sz w:val="22"/>
                      <w:szCs w:val="22"/>
                    </w:rPr>
                  </w:pPr>
                  <w:r>
                    <w:rPr>
                      <w:kern w:val="0"/>
                      <w:sz w:val="22"/>
                      <w:szCs w:val="22"/>
                    </w:rPr>
                    <w:t>序号</w:t>
                  </w:r>
                </w:p>
              </w:tc>
              <w:tc>
                <w:tcPr>
                  <w:tcW w:w="3265" w:type="dxa"/>
                  <w:vAlign w:val="center"/>
                </w:tcPr>
                <w:p w14:paraId="7D306EBD">
                  <w:pPr>
                    <w:autoSpaceDE w:val="0"/>
                    <w:autoSpaceDN w:val="0"/>
                    <w:adjustRightInd w:val="0"/>
                    <w:spacing w:line="300" w:lineRule="exact"/>
                    <w:jc w:val="center"/>
                    <w:rPr>
                      <w:kern w:val="0"/>
                      <w:sz w:val="22"/>
                      <w:szCs w:val="22"/>
                    </w:rPr>
                  </w:pPr>
                  <w:r>
                    <w:rPr>
                      <w:rFonts w:hint="eastAsia"/>
                      <w:kern w:val="0"/>
                      <w:sz w:val="22"/>
                      <w:szCs w:val="22"/>
                    </w:rPr>
                    <w:t>名称</w:t>
                  </w:r>
                </w:p>
              </w:tc>
              <w:tc>
                <w:tcPr>
                  <w:tcW w:w="850" w:type="dxa"/>
                  <w:vAlign w:val="center"/>
                </w:tcPr>
                <w:p w14:paraId="1F2AD1FE">
                  <w:pPr>
                    <w:autoSpaceDE w:val="0"/>
                    <w:autoSpaceDN w:val="0"/>
                    <w:adjustRightInd w:val="0"/>
                    <w:spacing w:line="300" w:lineRule="exact"/>
                    <w:jc w:val="center"/>
                    <w:rPr>
                      <w:kern w:val="0"/>
                      <w:sz w:val="22"/>
                      <w:szCs w:val="22"/>
                    </w:rPr>
                  </w:pPr>
                  <w:r>
                    <w:rPr>
                      <w:kern w:val="0"/>
                      <w:sz w:val="22"/>
                      <w:szCs w:val="22"/>
                    </w:rPr>
                    <w:t>方位</w:t>
                  </w:r>
                </w:p>
              </w:tc>
              <w:tc>
                <w:tcPr>
                  <w:tcW w:w="1418" w:type="dxa"/>
                  <w:vAlign w:val="center"/>
                </w:tcPr>
                <w:p w14:paraId="63B2C63A">
                  <w:pPr>
                    <w:autoSpaceDE w:val="0"/>
                    <w:autoSpaceDN w:val="0"/>
                    <w:adjustRightInd w:val="0"/>
                    <w:spacing w:line="300" w:lineRule="exact"/>
                    <w:jc w:val="center"/>
                    <w:rPr>
                      <w:kern w:val="0"/>
                      <w:sz w:val="22"/>
                      <w:szCs w:val="22"/>
                    </w:rPr>
                  </w:pPr>
                  <w:r>
                    <w:rPr>
                      <w:kern w:val="0"/>
                      <w:sz w:val="22"/>
                      <w:szCs w:val="22"/>
                    </w:rPr>
                    <w:t>与本项目</w:t>
                  </w:r>
                  <w:r>
                    <w:rPr>
                      <w:rFonts w:hint="eastAsia"/>
                      <w:kern w:val="0"/>
                      <w:sz w:val="22"/>
                      <w:szCs w:val="22"/>
                    </w:rPr>
                    <w:t>厂界</w:t>
                  </w:r>
                  <w:r>
                    <w:rPr>
                      <w:kern w:val="0"/>
                      <w:sz w:val="22"/>
                      <w:szCs w:val="22"/>
                    </w:rPr>
                    <w:t>最近距离</w:t>
                  </w:r>
                </w:p>
              </w:tc>
              <w:tc>
                <w:tcPr>
                  <w:tcW w:w="1655" w:type="dxa"/>
                  <w:vAlign w:val="center"/>
                </w:tcPr>
                <w:p w14:paraId="61DEC168">
                  <w:pPr>
                    <w:autoSpaceDE w:val="0"/>
                    <w:autoSpaceDN w:val="0"/>
                    <w:adjustRightInd w:val="0"/>
                    <w:spacing w:line="300" w:lineRule="exact"/>
                    <w:jc w:val="center"/>
                    <w:rPr>
                      <w:kern w:val="0"/>
                      <w:sz w:val="22"/>
                      <w:szCs w:val="22"/>
                    </w:rPr>
                  </w:pPr>
                  <w:r>
                    <w:rPr>
                      <w:rFonts w:hint="eastAsia"/>
                      <w:kern w:val="0"/>
                      <w:sz w:val="22"/>
                      <w:szCs w:val="22"/>
                    </w:rPr>
                    <w:t>性质</w:t>
                  </w:r>
                </w:p>
              </w:tc>
            </w:tr>
            <w:tr w14:paraId="5BA8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7E373FB9">
                  <w:pPr>
                    <w:autoSpaceDE w:val="0"/>
                    <w:autoSpaceDN w:val="0"/>
                    <w:adjustRightInd w:val="0"/>
                    <w:spacing w:line="300" w:lineRule="exact"/>
                    <w:jc w:val="center"/>
                    <w:rPr>
                      <w:kern w:val="0"/>
                      <w:sz w:val="22"/>
                      <w:szCs w:val="22"/>
                    </w:rPr>
                  </w:pPr>
                  <w:r>
                    <w:rPr>
                      <w:kern w:val="0"/>
                      <w:sz w:val="22"/>
                      <w:szCs w:val="22"/>
                    </w:rPr>
                    <w:t>1</w:t>
                  </w:r>
                </w:p>
              </w:tc>
              <w:tc>
                <w:tcPr>
                  <w:tcW w:w="3265" w:type="dxa"/>
                  <w:vAlign w:val="center"/>
                </w:tcPr>
                <w:p w14:paraId="4F7FA860">
                  <w:pPr>
                    <w:autoSpaceDE w:val="0"/>
                    <w:autoSpaceDN w:val="0"/>
                    <w:adjustRightInd w:val="0"/>
                    <w:spacing w:line="300" w:lineRule="exact"/>
                    <w:jc w:val="center"/>
                    <w:rPr>
                      <w:kern w:val="0"/>
                      <w:sz w:val="22"/>
                      <w:szCs w:val="22"/>
                    </w:rPr>
                  </w:pPr>
                  <w:r>
                    <w:rPr>
                      <w:rFonts w:hint="eastAsia"/>
                      <w:kern w:val="0"/>
                      <w:sz w:val="22"/>
                      <w:szCs w:val="22"/>
                      <w:lang w:val="en-US" w:eastAsia="zh-CN"/>
                    </w:rPr>
                    <w:t>华福</w:t>
                  </w:r>
                  <w:r>
                    <w:rPr>
                      <w:rFonts w:hint="eastAsia"/>
                      <w:kern w:val="0"/>
                      <w:sz w:val="22"/>
                      <w:szCs w:val="22"/>
                    </w:rPr>
                    <w:t>大道</w:t>
                  </w:r>
                </w:p>
              </w:tc>
              <w:tc>
                <w:tcPr>
                  <w:tcW w:w="850" w:type="dxa"/>
                  <w:vAlign w:val="center"/>
                </w:tcPr>
                <w:p w14:paraId="66D4C241">
                  <w:pPr>
                    <w:autoSpaceDE w:val="0"/>
                    <w:autoSpaceDN w:val="0"/>
                    <w:adjustRightInd w:val="0"/>
                    <w:spacing w:line="300" w:lineRule="exact"/>
                    <w:jc w:val="center"/>
                    <w:rPr>
                      <w:rFonts w:hint="eastAsia" w:eastAsia="宋体"/>
                      <w:kern w:val="0"/>
                      <w:sz w:val="22"/>
                      <w:szCs w:val="22"/>
                      <w:lang w:eastAsia="zh-CN"/>
                    </w:rPr>
                  </w:pPr>
                  <w:r>
                    <w:rPr>
                      <w:rFonts w:hint="eastAsia"/>
                      <w:kern w:val="0"/>
                      <w:sz w:val="22"/>
                      <w:szCs w:val="22"/>
                      <w:lang w:val="en-US" w:eastAsia="zh-CN"/>
                    </w:rPr>
                    <w:t>E</w:t>
                  </w:r>
                </w:p>
              </w:tc>
              <w:tc>
                <w:tcPr>
                  <w:tcW w:w="1418" w:type="dxa"/>
                  <w:vAlign w:val="center"/>
                </w:tcPr>
                <w:p w14:paraId="74EE38EB">
                  <w:pPr>
                    <w:autoSpaceDE w:val="0"/>
                    <w:autoSpaceDN w:val="0"/>
                    <w:adjustRightInd w:val="0"/>
                    <w:spacing w:line="300" w:lineRule="exact"/>
                    <w:jc w:val="center"/>
                    <w:rPr>
                      <w:kern w:val="0"/>
                      <w:sz w:val="22"/>
                      <w:szCs w:val="22"/>
                    </w:rPr>
                  </w:pPr>
                  <w:r>
                    <w:rPr>
                      <w:rFonts w:hint="eastAsia"/>
                      <w:kern w:val="0"/>
                      <w:sz w:val="22"/>
                      <w:szCs w:val="22"/>
                    </w:rPr>
                    <w:t>紧邻</w:t>
                  </w:r>
                </w:p>
              </w:tc>
              <w:tc>
                <w:tcPr>
                  <w:tcW w:w="1655" w:type="dxa"/>
                  <w:vAlign w:val="center"/>
                </w:tcPr>
                <w:p w14:paraId="25F4481F">
                  <w:pPr>
                    <w:autoSpaceDE w:val="0"/>
                    <w:autoSpaceDN w:val="0"/>
                    <w:adjustRightInd w:val="0"/>
                    <w:spacing w:line="300" w:lineRule="exact"/>
                    <w:jc w:val="center"/>
                    <w:rPr>
                      <w:kern w:val="0"/>
                      <w:sz w:val="22"/>
                      <w:szCs w:val="22"/>
                    </w:rPr>
                  </w:pPr>
                  <w:r>
                    <w:rPr>
                      <w:rFonts w:hint="eastAsia"/>
                      <w:kern w:val="0"/>
                      <w:sz w:val="22"/>
                      <w:szCs w:val="22"/>
                    </w:rPr>
                    <w:t>城市主干路</w:t>
                  </w:r>
                </w:p>
              </w:tc>
            </w:tr>
            <w:tr w14:paraId="1BE8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4008479F">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2</w:t>
                  </w:r>
                </w:p>
              </w:tc>
              <w:tc>
                <w:tcPr>
                  <w:tcW w:w="3265" w:type="dxa"/>
                  <w:vAlign w:val="center"/>
                </w:tcPr>
                <w:p w14:paraId="078A7F71">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地铁5号线</w:t>
                  </w:r>
                </w:p>
              </w:tc>
              <w:tc>
                <w:tcPr>
                  <w:tcW w:w="850" w:type="dxa"/>
                  <w:shd w:val="clear" w:color="auto" w:fill="auto"/>
                  <w:vAlign w:val="center"/>
                </w:tcPr>
                <w:p w14:paraId="53E4F1F3">
                  <w:pPr>
                    <w:autoSpaceDE w:val="0"/>
                    <w:autoSpaceDN w:val="0"/>
                    <w:adjustRightInd w:val="0"/>
                    <w:spacing w:line="300" w:lineRule="exact"/>
                    <w:jc w:val="center"/>
                    <w:rPr>
                      <w:rFonts w:hint="eastAsia" w:ascii="Times New Roman" w:hAnsi="Times New Roman" w:eastAsia="宋体" w:cs="Times New Roman"/>
                      <w:kern w:val="0"/>
                      <w:sz w:val="22"/>
                      <w:szCs w:val="22"/>
                      <w:lang w:val="en-US" w:eastAsia="zh-CN" w:bidi="ar-SA"/>
                    </w:rPr>
                  </w:pPr>
                  <w:r>
                    <w:rPr>
                      <w:rFonts w:hint="eastAsia"/>
                      <w:kern w:val="0"/>
                      <w:sz w:val="22"/>
                      <w:szCs w:val="22"/>
                      <w:lang w:val="en-US" w:eastAsia="zh-CN"/>
                    </w:rPr>
                    <w:t>E</w:t>
                  </w:r>
                </w:p>
              </w:tc>
              <w:tc>
                <w:tcPr>
                  <w:tcW w:w="1418" w:type="dxa"/>
                  <w:shd w:val="clear" w:color="auto" w:fill="auto"/>
                  <w:vAlign w:val="center"/>
                </w:tcPr>
                <w:p w14:paraId="5E28060F">
                  <w:pPr>
                    <w:autoSpaceDE w:val="0"/>
                    <w:autoSpaceDN w:val="0"/>
                    <w:adjustRightInd w:val="0"/>
                    <w:spacing w:line="300" w:lineRule="exact"/>
                    <w:jc w:val="center"/>
                    <w:rPr>
                      <w:rFonts w:hint="eastAsia" w:ascii="Times New Roman" w:hAnsi="Times New Roman" w:eastAsia="宋体" w:cs="Times New Roman"/>
                      <w:kern w:val="0"/>
                      <w:sz w:val="22"/>
                      <w:szCs w:val="22"/>
                      <w:lang w:val="en-US" w:eastAsia="zh-CN" w:bidi="ar-SA"/>
                    </w:rPr>
                  </w:pPr>
                  <w:r>
                    <w:rPr>
                      <w:rFonts w:hint="eastAsia"/>
                      <w:kern w:val="0"/>
                      <w:sz w:val="22"/>
                      <w:szCs w:val="22"/>
                    </w:rPr>
                    <w:t>紧邻</w:t>
                  </w:r>
                </w:p>
              </w:tc>
              <w:tc>
                <w:tcPr>
                  <w:tcW w:w="1655" w:type="dxa"/>
                  <w:shd w:val="clear" w:color="auto" w:fill="auto"/>
                  <w:vAlign w:val="center"/>
                </w:tcPr>
                <w:p w14:paraId="074E70E3">
                  <w:pPr>
                    <w:autoSpaceDE w:val="0"/>
                    <w:autoSpaceDN w:val="0"/>
                    <w:adjustRightInd w:val="0"/>
                    <w:spacing w:line="300" w:lineRule="exact"/>
                    <w:jc w:val="center"/>
                    <w:rPr>
                      <w:rFonts w:hint="default" w:ascii="Times New Roman" w:hAnsi="Times New Roman" w:eastAsia="宋体" w:cs="Times New Roman"/>
                      <w:kern w:val="0"/>
                      <w:sz w:val="22"/>
                      <w:szCs w:val="22"/>
                      <w:lang w:val="en-US" w:eastAsia="zh-CN" w:bidi="ar-SA"/>
                    </w:rPr>
                  </w:pPr>
                  <w:r>
                    <w:rPr>
                      <w:rFonts w:hint="eastAsia"/>
                      <w:kern w:val="0"/>
                      <w:sz w:val="22"/>
                      <w:szCs w:val="22"/>
                    </w:rPr>
                    <w:t>城市</w:t>
                  </w:r>
                  <w:r>
                    <w:rPr>
                      <w:rFonts w:hint="eastAsia"/>
                      <w:kern w:val="0"/>
                      <w:sz w:val="22"/>
                      <w:szCs w:val="22"/>
                      <w:lang w:val="en-US" w:eastAsia="zh-CN"/>
                    </w:rPr>
                    <w:t>交通干线</w:t>
                  </w:r>
                </w:p>
              </w:tc>
            </w:tr>
            <w:tr w14:paraId="42C9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5F2B7508">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3</w:t>
                  </w:r>
                </w:p>
              </w:tc>
              <w:tc>
                <w:tcPr>
                  <w:tcW w:w="3265" w:type="dxa"/>
                  <w:vAlign w:val="center"/>
                </w:tcPr>
                <w:p w14:paraId="29D1237F">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重庆双鹰仓储物流园</w:t>
                  </w:r>
                </w:p>
              </w:tc>
              <w:tc>
                <w:tcPr>
                  <w:tcW w:w="850" w:type="dxa"/>
                  <w:vAlign w:val="center"/>
                </w:tcPr>
                <w:p w14:paraId="0DDF9967">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N</w:t>
                  </w:r>
                </w:p>
              </w:tc>
              <w:tc>
                <w:tcPr>
                  <w:tcW w:w="1418" w:type="dxa"/>
                  <w:vAlign w:val="center"/>
                </w:tcPr>
                <w:p w14:paraId="1FE3FE1D">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紧邻</w:t>
                  </w:r>
                </w:p>
              </w:tc>
              <w:tc>
                <w:tcPr>
                  <w:tcW w:w="1655" w:type="dxa"/>
                  <w:vAlign w:val="center"/>
                </w:tcPr>
                <w:p w14:paraId="6FC8011E">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仓储物流</w:t>
                  </w:r>
                </w:p>
              </w:tc>
            </w:tr>
            <w:tr w14:paraId="743A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34913085">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4</w:t>
                  </w:r>
                </w:p>
              </w:tc>
              <w:tc>
                <w:tcPr>
                  <w:tcW w:w="3265" w:type="dxa"/>
                  <w:vAlign w:val="center"/>
                </w:tcPr>
                <w:p w14:paraId="16EA6259">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台州远成物流</w:t>
                  </w:r>
                </w:p>
              </w:tc>
              <w:tc>
                <w:tcPr>
                  <w:tcW w:w="850" w:type="dxa"/>
                  <w:vAlign w:val="center"/>
                </w:tcPr>
                <w:p w14:paraId="68D0F473">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W</w:t>
                  </w:r>
                </w:p>
              </w:tc>
              <w:tc>
                <w:tcPr>
                  <w:tcW w:w="1418" w:type="dxa"/>
                  <w:vAlign w:val="center"/>
                </w:tcPr>
                <w:p w14:paraId="4FC1B0F5">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30m</w:t>
                  </w:r>
                </w:p>
              </w:tc>
              <w:tc>
                <w:tcPr>
                  <w:tcW w:w="1655" w:type="dxa"/>
                  <w:vAlign w:val="center"/>
                </w:tcPr>
                <w:p w14:paraId="0A2E5DDD">
                  <w:pPr>
                    <w:autoSpaceDE w:val="0"/>
                    <w:autoSpaceDN w:val="0"/>
                    <w:adjustRightInd w:val="0"/>
                    <w:spacing w:line="300" w:lineRule="exact"/>
                    <w:jc w:val="center"/>
                    <w:rPr>
                      <w:rFonts w:hint="default"/>
                      <w:kern w:val="0"/>
                      <w:sz w:val="22"/>
                      <w:szCs w:val="22"/>
                      <w:lang w:val="en-US"/>
                    </w:rPr>
                  </w:pPr>
                  <w:r>
                    <w:rPr>
                      <w:rFonts w:hint="eastAsia"/>
                      <w:kern w:val="0"/>
                      <w:sz w:val="22"/>
                      <w:szCs w:val="22"/>
                      <w:lang w:val="en-US" w:eastAsia="zh-CN"/>
                    </w:rPr>
                    <w:t>仓储物流</w:t>
                  </w:r>
                </w:p>
              </w:tc>
            </w:tr>
            <w:tr w14:paraId="5F00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6F6385DA">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5</w:t>
                  </w:r>
                </w:p>
              </w:tc>
              <w:tc>
                <w:tcPr>
                  <w:tcW w:w="3265" w:type="dxa"/>
                  <w:vAlign w:val="center"/>
                </w:tcPr>
                <w:p w14:paraId="32570020">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重庆隆发（渝荣）货运代理有限公司</w:t>
                  </w:r>
                </w:p>
              </w:tc>
              <w:tc>
                <w:tcPr>
                  <w:tcW w:w="850" w:type="dxa"/>
                  <w:vAlign w:val="center"/>
                </w:tcPr>
                <w:p w14:paraId="38E00E32">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S</w:t>
                  </w:r>
                </w:p>
              </w:tc>
              <w:tc>
                <w:tcPr>
                  <w:tcW w:w="1418" w:type="dxa"/>
                  <w:vAlign w:val="center"/>
                </w:tcPr>
                <w:p w14:paraId="7D8546AA">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10m</w:t>
                  </w:r>
                </w:p>
              </w:tc>
              <w:tc>
                <w:tcPr>
                  <w:tcW w:w="1655" w:type="dxa"/>
                  <w:vAlign w:val="center"/>
                </w:tcPr>
                <w:p w14:paraId="6D955EDF">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仓储物流</w:t>
                  </w:r>
                </w:p>
              </w:tc>
            </w:tr>
            <w:tr w14:paraId="10B4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15CE61A3">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6</w:t>
                  </w:r>
                </w:p>
              </w:tc>
              <w:tc>
                <w:tcPr>
                  <w:tcW w:w="3265" w:type="dxa"/>
                  <w:vAlign w:val="center"/>
                </w:tcPr>
                <w:p w14:paraId="2677A6FC">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恒通国际汽摩城</w:t>
                  </w:r>
                </w:p>
              </w:tc>
              <w:tc>
                <w:tcPr>
                  <w:tcW w:w="850" w:type="dxa"/>
                  <w:vAlign w:val="center"/>
                </w:tcPr>
                <w:p w14:paraId="43B92927">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SW</w:t>
                  </w:r>
                </w:p>
              </w:tc>
              <w:tc>
                <w:tcPr>
                  <w:tcW w:w="1418" w:type="dxa"/>
                  <w:vAlign w:val="center"/>
                </w:tcPr>
                <w:p w14:paraId="6CDCD560">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10</w:t>
                  </w:r>
                </w:p>
              </w:tc>
              <w:tc>
                <w:tcPr>
                  <w:tcW w:w="1655" w:type="dxa"/>
                  <w:vAlign w:val="center"/>
                </w:tcPr>
                <w:p w14:paraId="5F194D67">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仓储物流</w:t>
                  </w:r>
                </w:p>
              </w:tc>
            </w:tr>
            <w:tr w14:paraId="2B93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34CA036F">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7</w:t>
                  </w:r>
                </w:p>
              </w:tc>
              <w:tc>
                <w:tcPr>
                  <w:tcW w:w="3265" w:type="dxa"/>
                  <w:vAlign w:val="center"/>
                </w:tcPr>
                <w:p w14:paraId="59C29016">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石龙小区</w:t>
                  </w:r>
                </w:p>
              </w:tc>
              <w:tc>
                <w:tcPr>
                  <w:tcW w:w="850" w:type="dxa"/>
                  <w:vAlign w:val="center"/>
                </w:tcPr>
                <w:p w14:paraId="18B4E2FE">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E</w:t>
                  </w:r>
                </w:p>
              </w:tc>
              <w:tc>
                <w:tcPr>
                  <w:tcW w:w="1418" w:type="dxa"/>
                  <w:vAlign w:val="center"/>
                </w:tcPr>
                <w:p w14:paraId="08FE4AE7">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80</w:t>
                  </w:r>
                </w:p>
              </w:tc>
              <w:tc>
                <w:tcPr>
                  <w:tcW w:w="1655" w:type="dxa"/>
                  <w:vAlign w:val="center"/>
                </w:tcPr>
                <w:p w14:paraId="3DA92918">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居民小区</w:t>
                  </w:r>
                </w:p>
              </w:tc>
            </w:tr>
            <w:tr w14:paraId="2C41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5ECFC989">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8</w:t>
                  </w:r>
                </w:p>
              </w:tc>
              <w:tc>
                <w:tcPr>
                  <w:tcW w:w="3265" w:type="dxa"/>
                  <w:vAlign w:val="center"/>
                </w:tcPr>
                <w:p w14:paraId="60301244">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rPr>
                    <w:t>金地自在城朗峯</w:t>
                  </w:r>
                </w:p>
              </w:tc>
              <w:tc>
                <w:tcPr>
                  <w:tcW w:w="850" w:type="dxa"/>
                  <w:vAlign w:val="center"/>
                </w:tcPr>
                <w:p w14:paraId="00EF182D">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NE</w:t>
                  </w:r>
                </w:p>
              </w:tc>
              <w:tc>
                <w:tcPr>
                  <w:tcW w:w="1418" w:type="dxa"/>
                  <w:vAlign w:val="center"/>
                </w:tcPr>
                <w:p w14:paraId="364AD494">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250</w:t>
                  </w:r>
                </w:p>
              </w:tc>
              <w:tc>
                <w:tcPr>
                  <w:tcW w:w="1655" w:type="dxa"/>
                  <w:vAlign w:val="center"/>
                </w:tcPr>
                <w:p w14:paraId="0B5E5A9B">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居民小区</w:t>
                  </w:r>
                </w:p>
              </w:tc>
            </w:tr>
            <w:tr w14:paraId="3F76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6604D790">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9</w:t>
                  </w:r>
                </w:p>
              </w:tc>
              <w:tc>
                <w:tcPr>
                  <w:tcW w:w="3265" w:type="dxa"/>
                  <w:vAlign w:val="center"/>
                </w:tcPr>
                <w:p w14:paraId="795B0239">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rPr>
                    <w:t>金地自在城艺境雅苑</w:t>
                  </w:r>
                </w:p>
              </w:tc>
              <w:tc>
                <w:tcPr>
                  <w:tcW w:w="850" w:type="dxa"/>
                  <w:vAlign w:val="center"/>
                </w:tcPr>
                <w:p w14:paraId="6221C8B5">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E</w:t>
                  </w:r>
                </w:p>
              </w:tc>
              <w:tc>
                <w:tcPr>
                  <w:tcW w:w="1418" w:type="dxa"/>
                  <w:vAlign w:val="center"/>
                </w:tcPr>
                <w:p w14:paraId="2588F69D">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295</w:t>
                  </w:r>
                </w:p>
              </w:tc>
              <w:tc>
                <w:tcPr>
                  <w:tcW w:w="1655" w:type="dxa"/>
                  <w:vAlign w:val="center"/>
                </w:tcPr>
                <w:p w14:paraId="729E4ED2">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居民小区</w:t>
                  </w:r>
                </w:p>
              </w:tc>
            </w:tr>
            <w:tr w14:paraId="0403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7748AC28">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10</w:t>
                  </w:r>
                </w:p>
              </w:tc>
              <w:tc>
                <w:tcPr>
                  <w:tcW w:w="3265" w:type="dxa"/>
                  <w:vAlign w:val="center"/>
                </w:tcPr>
                <w:p w14:paraId="10BF19E7">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金地</w:t>
                  </w:r>
                  <w:r>
                    <w:rPr>
                      <w:rFonts w:hint="eastAsia"/>
                      <w:kern w:val="0"/>
                      <w:sz w:val="22"/>
                      <w:szCs w:val="22"/>
                    </w:rPr>
                    <w:t>自在城博苑</w:t>
                  </w:r>
                </w:p>
              </w:tc>
              <w:tc>
                <w:tcPr>
                  <w:tcW w:w="850" w:type="dxa"/>
                  <w:vAlign w:val="center"/>
                </w:tcPr>
                <w:p w14:paraId="61F1EAE0">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SE</w:t>
                  </w:r>
                </w:p>
              </w:tc>
              <w:tc>
                <w:tcPr>
                  <w:tcW w:w="1418" w:type="dxa"/>
                  <w:vAlign w:val="center"/>
                </w:tcPr>
                <w:p w14:paraId="2CA6A1E2">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450</w:t>
                  </w:r>
                </w:p>
              </w:tc>
              <w:tc>
                <w:tcPr>
                  <w:tcW w:w="1655" w:type="dxa"/>
                  <w:vAlign w:val="center"/>
                </w:tcPr>
                <w:p w14:paraId="6647B40A">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居民小区</w:t>
                  </w:r>
                </w:p>
              </w:tc>
            </w:tr>
            <w:tr w14:paraId="7501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2F87DCE0">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11</w:t>
                  </w:r>
                </w:p>
              </w:tc>
              <w:tc>
                <w:tcPr>
                  <w:tcW w:w="3265" w:type="dxa"/>
                  <w:vAlign w:val="center"/>
                </w:tcPr>
                <w:p w14:paraId="020E82ED">
                  <w:pPr>
                    <w:autoSpaceDE w:val="0"/>
                    <w:autoSpaceDN w:val="0"/>
                    <w:adjustRightInd w:val="0"/>
                    <w:spacing w:line="300" w:lineRule="exact"/>
                    <w:jc w:val="center"/>
                    <w:rPr>
                      <w:rFonts w:hint="eastAsia"/>
                      <w:kern w:val="0"/>
                      <w:sz w:val="22"/>
                      <w:szCs w:val="22"/>
                      <w:lang w:val="en-US" w:eastAsia="zh-CN"/>
                    </w:rPr>
                  </w:pPr>
                  <w:r>
                    <w:rPr>
                      <w:rFonts w:hint="eastAsia"/>
                      <w:sz w:val="22"/>
                      <w:szCs w:val="22"/>
                    </w:rPr>
                    <w:t>联发西城首府</w:t>
                  </w:r>
                </w:p>
              </w:tc>
              <w:tc>
                <w:tcPr>
                  <w:tcW w:w="850" w:type="dxa"/>
                  <w:vAlign w:val="center"/>
                </w:tcPr>
                <w:p w14:paraId="4C68C300">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S</w:t>
                  </w:r>
                </w:p>
              </w:tc>
              <w:tc>
                <w:tcPr>
                  <w:tcW w:w="1418" w:type="dxa"/>
                  <w:vAlign w:val="center"/>
                </w:tcPr>
                <w:p w14:paraId="2C688143">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320</w:t>
                  </w:r>
                </w:p>
              </w:tc>
              <w:tc>
                <w:tcPr>
                  <w:tcW w:w="1655" w:type="dxa"/>
                  <w:vAlign w:val="center"/>
                </w:tcPr>
                <w:p w14:paraId="0E519296">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居民小区</w:t>
                  </w:r>
                </w:p>
              </w:tc>
            </w:tr>
            <w:tr w14:paraId="5F5D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4181F7F5">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12</w:t>
                  </w:r>
                </w:p>
              </w:tc>
              <w:tc>
                <w:tcPr>
                  <w:tcW w:w="3265" w:type="dxa"/>
                  <w:vAlign w:val="center"/>
                </w:tcPr>
                <w:p w14:paraId="52F3DA65">
                  <w:pPr>
                    <w:autoSpaceDE w:val="0"/>
                    <w:autoSpaceDN w:val="0"/>
                    <w:adjustRightInd w:val="0"/>
                    <w:spacing w:line="300" w:lineRule="exact"/>
                    <w:jc w:val="center"/>
                    <w:rPr>
                      <w:rFonts w:hint="eastAsia"/>
                      <w:kern w:val="0"/>
                      <w:sz w:val="22"/>
                      <w:szCs w:val="22"/>
                      <w:lang w:val="en-US" w:eastAsia="zh-CN"/>
                    </w:rPr>
                  </w:pPr>
                  <w:r>
                    <w:rPr>
                      <w:rFonts w:hint="eastAsia"/>
                      <w:sz w:val="22"/>
                      <w:szCs w:val="22"/>
                    </w:rPr>
                    <w:t>重庆西区医院</w:t>
                  </w:r>
                </w:p>
              </w:tc>
              <w:tc>
                <w:tcPr>
                  <w:tcW w:w="850" w:type="dxa"/>
                  <w:vAlign w:val="center"/>
                </w:tcPr>
                <w:p w14:paraId="784A2963">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NE</w:t>
                  </w:r>
                </w:p>
              </w:tc>
              <w:tc>
                <w:tcPr>
                  <w:tcW w:w="1418" w:type="dxa"/>
                  <w:vAlign w:val="center"/>
                </w:tcPr>
                <w:p w14:paraId="1D3D3E15">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460</w:t>
                  </w:r>
                </w:p>
              </w:tc>
              <w:tc>
                <w:tcPr>
                  <w:tcW w:w="1655" w:type="dxa"/>
                  <w:vAlign w:val="center"/>
                </w:tcPr>
                <w:p w14:paraId="229053D6">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医院</w:t>
                  </w:r>
                </w:p>
              </w:tc>
            </w:tr>
            <w:tr w14:paraId="45DF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40F75F83">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13</w:t>
                  </w:r>
                </w:p>
              </w:tc>
              <w:tc>
                <w:tcPr>
                  <w:tcW w:w="3265" w:type="dxa"/>
                  <w:vAlign w:val="center"/>
                </w:tcPr>
                <w:p w14:paraId="0D4E8914">
                  <w:pPr>
                    <w:autoSpaceDE w:val="0"/>
                    <w:autoSpaceDN w:val="0"/>
                    <w:adjustRightInd w:val="0"/>
                    <w:spacing w:line="300" w:lineRule="exact"/>
                    <w:jc w:val="center"/>
                    <w:rPr>
                      <w:rFonts w:hint="eastAsia"/>
                      <w:kern w:val="0"/>
                      <w:sz w:val="22"/>
                      <w:szCs w:val="22"/>
                      <w:lang w:val="en-US" w:eastAsia="zh-CN"/>
                    </w:rPr>
                  </w:pPr>
                  <w:r>
                    <w:rPr>
                      <w:rFonts w:hint="eastAsia"/>
                      <w:sz w:val="22"/>
                      <w:szCs w:val="22"/>
                    </w:rPr>
                    <w:t>金地自在城领峯</w:t>
                  </w:r>
                </w:p>
              </w:tc>
              <w:tc>
                <w:tcPr>
                  <w:tcW w:w="850" w:type="dxa"/>
                  <w:vAlign w:val="center"/>
                </w:tcPr>
                <w:p w14:paraId="46FE4C02">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rPr>
                    <w:t>NE</w:t>
                  </w:r>
                </w:p>
              </w:tc>
              <w:tc>
                <w:tcPr>
                  <w:tcW w:w="1418" w:type="dxa"/>
                  <w:vAlign w:val="center"/>
                </w:tcPr>
                <w:p w14:paraId="5762E9F6">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540</w:t>
                  </w:r>
                </w:p>
              </w:tc>
              <w:tc>
                <w:tcPr>
                  <w:tcW w:w="1655" w:type="dxa"/>
                  <w:vAlign w:val="center"/>
                </w:tcPr>
                <w:p w14:paraId="3C921AA8">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居民小区</w:t>
                  </w:r>
                </w:p>
              </w:tc>
            </w:tr>
            <w:tr w14:paraId="7DA2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6" w:type="dxa"/>
                  <w:vAlign w:val="center"/>
                </w:tcPr>
                <w:p w14:paraId="506DE258">
                  <w:pPr>
                    <w:autoSpaceDE w:val="0"/>
                    <w:autoSpaceDN w:val="0"/>
                    <w:adjustRightInd w:val="0"/>
                    <w:spacing w:line="300" w:lineRule="exact"/>
                    <w:jc w:val="center"/>
                    <w:rPr>
                      <w:rFonts w:hint="default"/>
                      <w:kern w:val="0"/>
                      <w:sz w:val="22"/>
                      <w:szCs w:val="22"/>
                      <w:lang w:val="en-US" w:eastAsia="zh-CN"/>
                    </w:rPr>
                  </w:pPr>
                  <w:r>
                    <w:rPr>
                      <w:rFonts w:hint="eastAsia"/>
                      <w:kern w:val="0"/>
                      <w:sz w:val="22"/>
                      <w:szCs w:val="22"/>
                      <w:lang w:val="en-US" w:eastAsia="zh-CN"/>
                    </w:rPr>
                    <w:t>14</w:t>
                  </w:r>
                </w:p>
              </w:tc>
              <w:tc>
                <w:tcPr>
                  <w:tcW w:w="3265" w:type="dxa"/>
                  <w:vAlign w:val="center"/>
                </w:tcPr>
                <w:p w14:paraId="0C33C144">
                  <w:pPr>
                    <w:autoSpaceDE w:val="0"/>
                    <w:autoSpaceDN w:val="0"/>
                    <w:adjustRightInd w:val="0"/>
                    <w:spacing w:line="300" w:lineRule="exact"/>
                    <w:jc w:val="center"/>
                    <w:rPr>
                      <w:rFonts w:hint="eastAsia"/>
                      <w:kern w:val="0"/>
                      <w:sz w:val="22"/>
                      <w:szCs w:val="22"/>
                      <w:lang w:val="en-US" w:eastAsia="zh-CN"/>
                    </w:rPr>
                  </w:pPr>
                  <w:r>
                    <w:rPr>
                      <w:rFonts w:hint="eastAsia"/>
                      <w:sz w:val="22"/>
                      <w:szCs w:val="22"/>
                    </w:rPr>
                    <w:t>大渡口区慧泉小学</w:t>
                  </w:r>
                </w:p>
              </w:tc>
              <w:tc>
                <w:tcPr>
                  <w:tcW w:w="850" w:type="dxa"/>
                  <w:vAlign w:val="center"/>
                </w:tcPr>
                <w:p w14:paraId="53AC7A85">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SE</w:t>
                  </w:r>
                </w:p>
              </w:tc>
              <w:tc>
                <w:tcPr>
                  <w:tcW w:w="1418" w:type="dxa"/>
                  <w:vAlign w:val="center"/>
                </w:tcPr>
                <w:p w14:paraId="1749A260">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430</w:t>
                  </w:r>
                </w:p>
              </w:tc>
              <w:tc>
                <w:tcPr>
                  <w:tcW w:w="1655" w:type="dxa"/>
                  <w:vAlign w:val="center"/>
                </w:tcPr>
                <w:p w14:paraId="3F866F8E">
                  <w:pPr>
                    <w:autoSpaceDE w:val="0"/>
                    <w:autoSpaceDN w:val="0"/>
                    <w:adjustRightInd w:val="0"/>
                    <w:spacing w:line="300" w:lineRule="exact"/>
                    <w:jc w:val="center"/>
                    <w:rPr>
                      <w:rFonts w:hint="eastAsia"/>
                      <w:kern w:val="0"/>
                      <w:sz w:val="22"/>
                      <w:szCs w:val="22"/>
                      <w:lang w:val="en-US" w:eastAsia="zh-CN"/>
                    </w:rPr>
                  </w:pPr>
                  <w:r>
                    <w:rPr>
                      <w:rFonts w:hint="eastAsia"/>
                      <w:kern w:val="0"/>
                      <w:sz w:val="22"/>
                      <w:szCs w:val="22"/>
                      <w:lang w:val="en-US" w:eastAsia="zh-CN"/>
                    </w:rPr>
                    <w:t>学校</w:t>
                  </w:r>
                </w:p>
              </w:tc>
            </w:tr>
          </w:tbl>
          <w:p w14:paraId="63EC5BEF">
            <w:pPr>
              <w:adjustRightInd w:val="0"/>
              <w:snapToGrid w:val="0"/>
              <w:spacing w:line="460" w:lineRule="exact"/>
              <w:jc w:val="left"/>
              <w:rPr>
                <w:b/>
                <w:sz w:val="26"/>
                <w:szCs w:val="26"/>
              </w:rPr>
            </w:pPr>
            <w:r>
              <w:rPr>
                <w:b/>
                <w:sz w:val="26"/>
                <w:szCs w:val="26"/>
              </w:rPr>
              <w:t>3.2.2大气环境</w:t>
            </w:r>
          </w:p>
          <w:p w14:paraId="05C6669B">
            <w:pPr>
              <w:adjustRightInd w:val="0"/>
              <w:snapToGrid w:val="0"/>
              <w:spacing w:line="460" w:lineRule="exact"/>
              <w:ind w:firstLine="520" w:firstLineChars="200"/>
              <w:rPr>
                <w:bCs/>
                <w:sz w:val="26"/>
                <w:szCs w:val="26"/>
              </w:rPr>
            </w:pPr>
            <w:r>
              <w:rPr>
                <w:rFonts w:hint="eastAsia"/>
                <w:bCs/>
                <w:sz w:val="26"/>
                <w:szCs w:val="26"/>
              </w:rPr>
              <w:t>本项目位于重庆市九龙坡区华福大道北段400号，根据现场踏勘及调查了解，项目位于城市建成区，</w:t>
            </w:r>
            <w:r>
              <w:rPr>
                <w:rFonts w:hint="eastAsia"/>
                <w:bCs/>
                <w:sz w:val="26"/>
                <w:szCs w:val="26"/>
                <w:lang w:val="en-US" w:eastAsia="zh-CN"/>
              </w:rPr>
              <w:t>其</w:t>
            </w:r>
            <w:r>
              <w:rPr>
                <w:rFonts w:hint="eastAsia"/>
                <w:bCs/>
                <w:sz w:val="26"/>
                <w:szCs w:val="26"/>
              </w:rPr>
              <w:t>5</w:t>
            </w:r>
            <w:r>
              <w:rPr>
                <w:bCs/>
                <w:sz w:val="26"/>
                <w:szCs w:val="26"/>
              </w:rPr>
              <w:t>00m</w:t>
            </w:r>
            <w:r>
              <w:rPr>
                <w:rFonts w:hint="eastAsia"/>
                <w:bCs/>
                <w:sz w:val="26"/>
                <w:szCs w:val="26"/>
              </w:rPr>
              <w:t>范围内无自然保护区、风景名胜区等敏感点，大气环境敏感目标主要居民小区、学校等，详</w:t>
            </w:r>
            <w:r>
              <w:rPr>
                <w:bCs/>
                <w:sz w:val="26"/>
                <w:szCs w:val="26"/>
              </w:rPr>
              <w:t>见下表</w:t>
            </w:r>
            <w:r>
              <w:rPr>
                <w:rFonts w:hint="eastAsia"/>
                <w:bCs/>
                <w:sz w:val="26"/>
                <w:szCs w:val="26"/>
              </w:rPr>
              <w:t>3</w:t>
            </w:r>
            <w:r>
              <w:rPr>
                <w:bCs/>
                <w:sz w:val="26"/>
                <w:szCs w:val="26"/>
              </w:rPr>
              <w:t>.2</w:t>
            </w:r>
            <w:r>
              <w:rPr>
                <w:rFonts w:hint="eastAsia"/>
                <w:bCs/>
                <w:sz w:val="26"/>
                <w:szCs w:val="26"/>
              </w:rPr>
              <w:t>-</w:t>
            </w:r>
            <w:r>
              <w:rPr>
                <w:bCs/>
                <w:sz w:val="26"/>
                <w:szCs w:val="26"/>
              </w:rPr>
              <w:t>2</w:t>
            </w:r>
            <w:r>
              <w:rPr>
                <w:rFonts w:hint="eastAsia"/>
                <w:bCs/>
                <w:sz w:val="26"/>
                <w:szCs w:val="26"/>
              </w:rPr>
              <w:t>和</w:t>
            </w:r>
            <w:r>
              <w:rPr>
                <w:rFonts w:hint="eastAsia"/>
                <w:b/>
                <w:sz w:val="26"/>
                <w:szCs w:val="26"/>
                <w:u w:val="single"/>
              </w:rPr>
              <w:t>附图</w:t>
            </w:r>
            <w:r>
              <w:rPr>
                <w:rFonts w:hint="eastAsia"/>
                <w:bCs/>
                <w:sz w:val="26"/>
                <w:szCs w:val="26"/>
              </w:rPr>
              <w:t>。</w:t>
            </w:r>
          </w:p>
          <w:p w14:paraId="5552CE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2"/>
                <w:szCs w:val="22"/>
              </w:rPr>
            </w:pPr>
            <w:r>
              <w:rPr>
                <w:sz w:val="22"/>
                <w:szCs w:val="22"/>
              </w:rPr>
              <w:t>表3.2-2</w:t>
            </w:r>
            <w:r>
              <w:rPr>
                <w:rFonts w:hint="eastAsia"/>
                <w:sz w:val="22"/>
                <w:szCs w:val="22"/>
                <w:lang w:val="en-US" w:eastAsia="zh-CN"/>
              </w:rPr>
              <w:t xml:space="preserve">  </w:t>
            </w:r>
            <w:r>
              <w:rPr>
                <w:bCs/>
                <w:sz w:val="22"/>
                <w:szCs w:val="22"/>
              </w:rPr>
              <w:t>本项目</w:t>
            </w:r>
            <w:r>
              <w:rPr>
                <w:rFonts w:hint="eastAsia"/>
                <w:bCs/>
                <w:sz w:val="22"/>
                <w:szCs w:val="22"/>
              </w:rPr>
              <w:t>大气</w:t>
            </w:r>
            <w:r>
              <w:rPr>
                <w:bCs/>
                <w:sz w:val="22"/>
                <w:szCs w:val="22"/>
              </w:rPr>
              <w:t>环境保护目标</w:t>
            </w:r>
            <w:r>
              <w:rPr>
                <w:sz w:val="22"/>
                <w:szCs w:val="22"/>
              </w:rPr>
              <w:t>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628"/>
              <w:gridCol w:w="1030"/>
              <w:gridCol w:w="668"/>
              <w:gridCol w:w="591"/>
              <w:gridCol w:w="674"/>
              <w:gridCol w:w="1079"/>
              <w:gridCol w:w="1996"/>
              <w:gridCol w:w="901"/>
            </w:tblGrid>
            <w:tr w14:paraId="0A97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462" w:type="dxa"/>
                  <w:vMerge w:val="restart"/>
                  <w:vAlign w:val="center"/>
                </w:tcPr>
                <w:p w14:paraId="77750D60">
                  <w:pPr>
                    <w:autoSpaceDE w:val="0"/>
                    <w:autoSpaceDN w:val="0"/>
                    <w:adjustRightInd w:val="0"/>
                    <w:spacing w:line="300" w:lineRule="exact"/>
                    <w:jc w:val="center"/>
                    <w:rPr>
                      <w:kern w:val="0"/>
                      <w:sz w:val="22"/>
                      <w:szCs w:val="22"/>
                    </w:rPr>
                  </w:pPr>
                  <w:r>
                    <w:rPr>
                      <w:kern w:val="0"/>
                      <w:sz w:val="22"/>
                      <w:szCs w:val="22"/>
                    </w:rPr>
                    <w:t>序</w:t>
                  </w:r>
                </w:p>
                <w:p w14:paraId="593E049B">
                  <w:pPr>
                    <w:autoSpaceDE w:val="0"/>
                    <w:autoSpaceDN w:val="0"/>
                    <w:adjustRightInd w:val="0"/>
                    <w:spacing w:line="300" w:lineRule="exact"/>
                    <w:jc w:val="center"/>
                    <w:rPr>
                      <w:kern w:val="0"/>
                      <w:sz w:val="22"/>
                      <w:szCs w:val="22"/>
                    </w:rPr>
                  </w:pPr>
                  <w:r>
                    <w:rPr>
                      <w:kern w:val="0"/>
                      <w:sz w:val="22"/>
                      <w:szCs w:val="22"/>
                    </w:rPr>
                    <w:t>号</w:t>
                  </w:r>
                </w:p>
              </w:tc>
              <w:tc>
                <w:tcPr>
                  <w:tcW w:w="619" w:type="dxa"/>
                  <w:vMerge w:val="restart"/>
                  <w:vAlign w:val="center"/>
                </w:tcPr>
                <w:p w14:paraId="4C087772">
                  <w:pPr>
                    <w:autoSpaceDE w:val="0"/>
                    <w:autoSpaceDN w:val="0"/>
                    <w:adjustRightInd w:val="0"/>
                    <w:spacing w:line="300" w:lineRule="exact"/>
                    <w:jc w:val="center"/>
                    <w:rPr>
                      <w:kern w:val="0"/>
                      <w:sz w:val="22"/>
                      <w:szCs w:val="22"/>
                    </w:rPr>
                  </w:pPr>
                  <w:r>
                    <w:rPr>
                      <w:kern w:val="0"/>
                      <w:sz w:val="22"/>
                      <w:szCs w:val="22"/>
                    </w:rPr>
                    <w:t>环境</w:t>
                  </w:r>
                </w:p>
                <w:p w14:paraId="6712F71B">
                  <w:pPr>
                    <w:autoSpaceDE w:val="0"/>
                    <w:autoSpaceDN w:val="0"/>
                    <w:adjustRightInd w:val="0"/>
                    <w:spacing w:line="300" w:lineRule="exact"/>
                    <w:jc w:val="center"/>
                    <w:rPr>
                      <w:kern w:val="0"/>
                      <w:sz w:val="22"/>
                      <w:szCs w:val="22"/>
                    </w:rPr>
                  </w:pPr>
                  <w:r>
                    <w:rPr>
                      <w:kern w:val="0"/>
                      <w:sz w:val="22"/>
                      <w:szCs w:val="22"/>
                    </w:rPr>
                    <w:t>要素</w:t>
                  </w:r>
                </w:p>
              </w:tc>
              <w:tc>
                <w:tcPr>
                  <w:tcW w:w="1035" w:type="dxa"/>
                  <w:vMerge w:val="restart"/>
                  <w:vAlign w:val="center"/>
                </w:tcPr>
                <w:p w14:paraId="2381D85E">
                  <w:pPr>
                    <w:autoSpaceDE w:val="0"/>
                    <w:autoSpaceDN w:val="0"/>
                    <w:adjustRightInd w:val="0"/>
                    <w:spacing w:line="300" w:lineRule="exact"/>
                    <w:jc w:val="center"/>
                    <w:rPr>
                      <w:kern w:val="0"/>
                      <w:sz w:val="22"/>
                      <w:szCs w:val="22"/>
                    </w:rPr>
                  </w:pPr>
                  <w:r>
                    <w:rPr>
                      <w:kern w:val="0"/>
                      <w:sz w:val="22"/>
                      <w:szCs w:val="22"/>
                    </w:rPr>
                    <w:t>环境保护目标</w:t>
                  </w:r>
                </w:p>
              </w:tc>
              <w:tc>
                <w:tcPr>
                  <w:tcW w:w="660" w:type="dxa"/>
                  <w:vMerge w:val="restart"/>
                  <w:vAlign w:val="center"/>
                </w:tcPr>
                <w:p w14:paraId="0124AE2D">
                  <w:pPr>
                    <w:autoSpaceDE w:val="0"/>
                    <w:autoSpaceDN w:val="0"/>
                    <w:adjustRightInd w:val="0"/>
                    <w:spacing w:line="300" w:lineRule="exact"/>
                    <w:jc w:val="center"/>
                    <w:rPr>
                      <w:kern w:val="0"/>
                      <w:sz w:val="22"/>
                      <w:szCs w:val="22"/>
                    </w:rPr>
                  </w:pPr>
                  <w:r>
                    <w:rPr>
                      <w:kern w:val="0"/>
                      <w:sz w:val="22"/>
                      <w:szCs w:val="22"/>
                    </w:rPr>
                    <w:t>方位</w:t>
                  </w:r>
                </w:p>
              </w:tc>
              <w:tc>
                <w:tcPr>
                  <w:tcW w:w="1246" w:type="dxa"/>
                  <w:gridSpan w:val="2"/>
                  <w:vAlign w:val="center"/>
                </w:tcPr>
                <w:p w14:paraId="25E08768">
                  <w:pPr>
                    <w:autoSpaceDE w:val="0"/>
                    <w:autoSpaceDN w:val="0"/>
                    <w:adjustRightInd w:val="0"/>
                    <w:spacing w:line="300" w:lineRule="exact"/>
                    <w:jc w:val="center"/>
                    <w:rPr>
                      <w:rFonts w:hint="eastAsia" w:eastAsia="宋体"/>
                      <w:sz w:val="22"/>
                      <w:szCs w:val="22"/>
                      <w:lang w:eastAsia="zh-CN"/>
                    </w:rPr>
                  </w:pPr>
                  <w:r>
                    <w:rPr>
                      <w:rFonts w:hint="eastAsia"/>
                      <w:sz w:val="22"/>
                      <w:szCs w:val="22"/>
                      <w:lang w:val="en-US" w:eastAsia="zh-CN"/>
                    </w:rPr>
                    <w:t>坐标</w:t>
                  </w:r>
                </w:p>
              </w:tc>
              <w:tc>
                <w:tcPr>
                  <w:tcW w:w="1085" w:type="dxa"/>
                  <w:vMerge w:val="restart"/>
                  <w:vAlign w:val="center"/>
                </w:tcPr>
                <w:p w14:paraId="1422AB32">
                  <w:pPr>
                    <w:autoSpaceDE w:val="0"/>
                    <w:autoSpaceDN w:val="0"/>
                    <w:adjustRightInd w:val="0"/>
                    <w:spacing w:line="300" w:lineRule="exact"/>
                    <w:jc w:val="center"/>
                    <w:rPr>
                      <w:kern w:val="0"/>
                      <w:sz w:val="22"/>
                      <w:szCs w:val="22"/>
                    </w:rPr>
                  </w:pPr>
                  <w:r>
                    <w:rPr>
                      <w:kern w:val="0"/>
                      <w:sz w:val="22"/>
                      <w:szCs w:val="22"/>
                    </w:rPr>
                    <w:t>与本项目</w:t>
                  </w:r>
                  <w:r>
                    <w:rPr>
                      <w:rFonts w:hint="eastAsia"/>
                      <w:kern w:val="0"/>
                      <w:sz w:val="22"/>
                      <w:szCs w:val="22"/>
                    </w:rPr>
                    <w:t>厂界</w:t>
                  </w:r>
                  <w:r>
                    <w:rPr>
                      <w:kern w:val="0"/>
                      <w:sz w:val="22"/>
                      <w:szCs w:val="22"/>
                    </w:rPr>
                    <w:t>最近距离</w:t>
                  </w:r>
                  <w:r>
                    <w:rPr>
                      <w:rFonts w:hint="eastAsia"/>
                      <w:kern w:val="0"/>
                      <w:sz w:val="22"/>
                      <w:szCs w:val="22"/>
                    </w:rPr>
                    <w:t>（m）</w:t>
                  </w:r>
                </w:p>
              </w:tc>
              <w:tc>
                <w:tcPr>
                  <w:tcW w:w="2033" w:type="dxa"/>
                  <w:vMerge w:val="restart"/>
                  <w:vAlign w:val="center"/>
                </w:tcPr>
                <w:p w14:paraId="05824C20">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环境特性</w:t>
                  </w:r>
                </w:p>
              </w:tc>
              <w:tc>
                <w:tcPr>
                  <w:tcW w:w="901" w:type="dxa"/>
                  <w:vMerge w:val="restart"/>
                  <w:vAlign w:val="center"/>
                </w:tcPr>
                <w:p w14:paraId="619F9B01">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环境功能区要求</w:t>
                  </w:r>
                </w:p>
              </w:tc>
            </w:tr>
            <w:tr w14:paraId="25E8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62" w:type="dxa"/>
                  <w:vMerge w:val="continue"/>
                  <w:vAlign w:val="center"/>
                </w:tcPr>
                <w:p w14:paraId="7B22E6B1">
                  <w:pPr>
                    <w:autoSpaceDE w:val="0"/>
                    <w:autoSpaceDN w:val="0"/>
                    <w:adjustRightInd w:val="0"/>
                    <w:spacing w:line="300" w:lineRule="exact"/>
                    <w:jc w:val="center"/>
                  </w:pPr>
                </w:p>
              </w:tc>
              <w:tc>
                <w:tcPr>
                  <w:tcW w:w="619" w:type="dxa"/>
                  <w:vMerge w:val="continue"/>
                  <w:vAlign w:val="center"/>
                </w:tcPr>
                <w:p w14:paraId="600374D2">
                  <w:pPr>
                    <w:autoSpaceDE w:val="0"/>
                    <w:autoSpaceDN w:val="0"/>
                    <w:adjustRightInd w:val="0"/>
                    <w:spacing w:line="300" w:lineRule="exact"/>
                    <w:jc w:val="center"/>
                  </w:pPr>
                </w:p>
              </w:tc>
              <w:tc>
                <w:tcPr>
                  <w:tcW w:w="1035" w:type="dxa"/>
                  <w:vMerge w:val="continue"/>
                  <w:vAlign w:val="center"/>
                </w:tcPr>
                <w:p w14:paraId="4C7E465F">
                  <w:pPr>
                    <w:autoSpaceDE w:val="0"/>
                    <w:autoSpaceDN w:val="0"/>
                    <w:adjustRightInd w:val="0"/>
                    <w:spacing w:line="300" w:lineRule="exact"/>
                    <w:jc w:val="center"/>
                  </w:pPr>
                </w:p>
              </w:tc>
              <w:tc>
                <w:tcPr>
                  <w:tcW w:w="660" w:type="dxa"/>
                  <w:vMerge w:val="continue"/>
                  <w:vAlign w:val="center"/>
                </w:tcPr>
                <w:p w14:paraId="7F391852">
                  <w:pPr>
                    <w:autoSpaceDE w:val="0"/>
                    <w:autoSpaceDN w:val="0"/>
                    <w:adjustRightInd w:val="0"/>
                    <w:spacing w:line="300" w:lineRule="exact"/>
                    <w:jc w:val="center"/>
                  </w:pPr>
                </w:p>
              </w:tc>
              <w:tc>
                <w:tcPr>
                  <w:tcW w:w="580" w:type="dxa"/>
                  <w:vAlign w:val="center"/>
                </w:tcPr>
                <w:p w14:paraId="6AE04AD7">
                  <w:pPr>
                    <w:autoSpaceDE w:val="0"/>
                    <w:autoSpaceDN w:val="0"/>
                    <w:adjustRightInd w:val="0"/>
                    <w:spacing w:line="300" w:lineRule="exact"/>
                    <w:jc w:val="center"/>
                    <w:rPr>
                      <w:rFonts w:hint="default"/>
                      <w:sz w:val="22"/>
                      <w:szCs w:val="22"/>
                      <w:lang w:val="en-US" w:eastAsia="zh-CN"/>
                    </w:rPr>
                  </w:pPr>
                  <w:r>
                    <w:rPr>
                      <w:rFonts w:hint="eastAsia"/>
                      <w:sz w:val="22"/>
                      <w:szCs w:val="22"/>
                      <w:lang w:val="en-US" w:eastAsia="zh-CN"/>
                    </w:rPr>
                    <w:t>X</w:t>
                  </w:r>
                </w:p>
              </w:tc>
              <w:tc>
                <w:tcPr>
                  <w:tcW w:w="666" w:type="dxa"/>
                  <w:vAlign w:val="center"/>
                </w:tcPr>
                <w:p w14:paraId="1294540A">
                  <w:pPr>
                    <w:autoSpaceDE w:val="0"/>
                    <w:autoSpaceDN w:val="0"/>
                    <w:adjustRightInd w:val="0"/>
                    <w:spacing w:line="300" w:lineRule="exact"/>
                    <w:jc w:val="center"/>
                    <w:rPr>
                      <w:rFonts w:hint="default"/>
                      <w:sz w:val="22"/>
                      <w:szCs w:val="22"/>
                      <w:lang w:val="en-US" w:eastAsia="zh-CN"/>
                    </w:rPr>
                  </w:pPr>
                  <w:r>
                    <w:rPr>
                      <w:rFonts w:hint="eastAsia"/>
                      <w:sz w:val="22"/>
                      <w:szCs w:val="22"/>
                      <w:lang w:val="en-US" w:eastAsia="zh-CN"/>
                    </w:rPr>
                    <w:t>Y</w:t>
                  </w:r>
                </w:p>
              </w:tc>
              <w:tc>
                <w:tcPr>
                  <w:tcW w:w="1085" w:type="dxa"/>
                  <w:vMerge w:val="continue"/>
                  <w:vAlign w:val="center"/>
                </w:tcPr>
                <w:p w14:paraId="24B4CE20">
                  <w:pPr>
                    <w:autoSpaceDE w:val="0"/>
                    <w:autoSpaceDN w:val="0"/>
                    <w:adjustRightInd w:val="0"/>
                    <w:spacing w:line="300" w:lineRule="exact"/>
                    <w:jc w:val="center"/>
                    <w:rPr>
                      <w:rFonts w:hint="eastAsia"/>
                      <w:sz w:val="22"/>
                      <w:szCs w:val="22"/>
                      <w:lang w:val="en-US" w:eastAsia="zh-CN"/>
                    </w:rPr>
                  </w:pPr>
                </w:p>
              </w:tc>
              <w:tc>
                <w:tcPr>
                  <w:tcW w:w="2033" w:type="dxa"/>
                  <w:vMerge w:val="continue"/>
                  <w:vAlign w:val="center"/>
                </w:tcPr>
                <w:p w14:paraId="014593FC">
                  <w:pPr>
                    <w:autoSpaceDE w:val="0"/>
                    <w:autoSpaceDN w:val="0"/>
                    <w:adjustRightInd w:val="0"/>
                    <w:spacing w:line="300" w:lineRule="exact"/>
                    <w:jc w:val="center"/>
                    <w:rPr>
                      <w:rFonts w:hint="eastAsia"/>
                      <w:sz w:val="22"/>
                      <w:szCs w:val="22"/>
                      <w:lang w:val="en-US" w:eastAsia="zh-CN"/>
                    </w:rPr>
                  </w:pPr>
                </w:p>
              </w:tc>
              <w:tc>
                <w:tcPr>
                  <w:tcW w:w="901" w:type="dxa"/>
                  <w:vMerge w:val="continue"/>
                  <w:vAlign w:val="center"/>
                </w:tcPr>
                <w:p w14:paraId="74AA47CE">
                  <w:pPr>
                    <w:autoSpaceDE w:val="0"/>
                    <w:autoSpaceDN w:val="0"/>
                    <w:adjustRightInd w:val="0"/>
                    <w:spacing w:line="300" w:lineRule="exact"/>
                    <w:jc w:val="center"/>
                    <w:rPr>
                      <w:rFonts w:hint="eastAsia"/>
                      <w:sz w:val="22"/>
                      <w:szCs w:val="22"/>
                      <w:lang w:val="en-US" w:eastAsia="zh-CN"/>
                    </w:rPr>
                  </w:pPr>
                </w:p>
              </w:tc>
            </w:tr>
            <w:tr w14:paraId="6D50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15D37052">
                  <w:pPr>
                    <w:autoSpaceDE w:val="0"/>
                    <w:autoSpaceDN w:val="0"/>
                    <w:adjustRightInd w:val="0"/>
                    <w:spacing w:line="300" w:lineRule="exact"/>
                    <w:jc w:val="center"/>
                    <w:rPr>
                      <w:kern w:val="0"/>
                      <w:sz w:val="22"/>
                      <w:szCs w:val="22"/>
                    </w:rPr>
                  </w:pPr>
                  <w:r>
                    <w:rPr>
                      <w:kern w:val="0"/>
                      <w:sz w:val="22"/>
                      <w:szCs w:val="22"/>
                    </w:rPr>
                    <w:t>1</w:t>
                  </w:r>
                </w:p>
              </w:tc>
              <w:tc>
                <w:tcPr>
                  <w:tcW w:w="619" w:type="dxa"/>
                  <w:vMerge w:val="restart"/>
                  <w:vAlign w:val="center"/>
                </w:tcPr>
                <w:p w14:paraId="4D7FB254">
                  <w:pPr>
                    <w:autoSpaceDE w:val="0"/>
                    <w:autoSpaceDN w:val="0"/>
                    <w:adjustRightInd w:val="0"/>
                    <w:spacing w:line="300" w:lineRule="exact"/>
                    <w:jc w:val="center"/>
                    <w:rPr>
                      <w:kern w:val="0"/>
                      <w:sz w:val="22"/>
                      <w:szCs w:val="22"/>
                    </w:rPr>
                  </w:pPr>
                  <w:r>
                    <w:rPr>
                      <w:kern w:val="0"/>
                      <w:sz w:val="22"/>
                      <w:szCs w:val="22"/>
                    </w:rPr>
                    <w:t>大气环境</w:t>
                  </w:r>
                </w:p>
              </w:tc>
              <w:tc>
                <w:tcPr>
                  <w:tcW w:w="1035" w:type="dxa"/>
                  <w:vAlign w:val="center"/>
                </w:tcPr>
                <w:p w14:paraId="370724A4">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石龙小区</w:t>
                  </w:r>
                </w:p>
              </w:tc>
              <w:tc>
                <w:tcPr>
                  <w:tcW w:w="660" w:type="dxa"/>
                  <w:vAlign w:val="center"/>
                </w:tcPr>
                <w:p w14:paraId="16358F56">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E</w:t>
                  </w:r>
                </w:p>
              </w:tc>
              <w:tc>
                <w:tcPr>
                  <w:tcW w:w="580" w:type="dxa"/>
                  <w:vAlign w:val="center"/>
                </w:tcPr>
                <w:p w14:paraId="150E822E">
                  <w:pPr>
                    <w:autoSpaceDE w:val="0"/>
                    <w:autoSpaceDN w:val="0"/>
                    <w:adjustRightInd w:val="0"/>
                    <w:spacing w:line="300" w:lineRule="exact"/>
                    <w:jc w:val="center"/>
                    <w:rPr>
                      <w:rFonts w:hint="default" w:eastAsia="宋体"/>
                      <w:sz w:val="22"/>
                      <w:szCs w:val="22"/>
                      <w:lang w:val="en-US" w:eastAsia="zh-CN"/>
                    </w:rPr>
                  </w:pPr>
                  <w:r>
                    <w:rPr>
                      <w:rFonts w:hint="eastAsia"/>
                      <w:sz w:val="22"/>
                      <w:szCs w:val="22"/>
                      <w:lang w:val="en-US" w:eastAsia="zh-CN"/>
                    </w:rPr>
                    <w:t>80</w:t>
                  </w:r>
                </w:p>
              </w:tc>
              <w:tc>
                <w:tcPr>
                  <w:tcW w:w="666" w:type="dxa"/>
                  <w:vAlign w:val="center"/>
                </w:tcPr>
                <w:p w14:paraId="3FE10085">
                  <w:pPr>
                    <w:autoSpaceDE w:val="0"/>
                    <w:autoSpaceDN w:val="0"/>
                    <w:adjustRightInd w:val="0"/>
                    <w:spacing w:line="300" w:lineRule="exact"/>
                    <w:jc w:val="center"/>
                    <w:rPr>
                      <w:rFonts w:hint="eastAsia" w:eastAsia="宋体"/>
                      <w:sz w:val="22"/>
                      <w:szCs w:val="22"/>
                      <w:lang w:val="en-US" w:eastAsia="zh-CN"/>
                    </w:rPr>
                  </w:pPr>
                  <w:r>
                    <w:rPr>
                      <w:rFonts w:hint="eastAsia"/>
                      <w:sz w:val="22"/>
                      <w:szCs w:val="22"/>
                      <w:lang w:val="en-US" w:eastAsia="zh-CN"/>
                    </w:rPr>
                    <w:t>0</w:t>
                  </w:r>
                </w:p>
              </w:tc>
              <w:tc>
                <w:tcPr>
                  <w:tcW w:w="1085" w:type="dxa"/>
                  <w:vAlign w:val="center"/>
                </w:tcPr>
                <w:p w14:paraId="1C80929A">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80</w:t>
                  </w:r>
                </w:p>
              </w:tc>
              <w:tc>
                <w:tcPr>
                  <w:tcW w:w="2033" w:type="dxa"/>
                  <w:vAlign w:val="center"/>
                </w:tcPr>
                <w:p w14:paraId="18A3D5B6">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居民小区，</w:t>
                  </w:r>
                  <w:r>
                    <w:rPr>
                      <w:rFonts w:hint="eastAsia" w:eastAsia="宋体" w:cs="Times New Roman"/>
                      <w:color w:val="auto"/>
                      <w:kern w:val="0"/>
                      <w:sz w:val="22"/>
                      <w:szCs w:val="22"/>
                      <w:lang w:val="en-US" w:eastAsia="zh-CN" w:bidi="ar-SA"/>
                    </w:rPr>
                    <w:t>300户，约900人</w:t>
                  </w:r>
                </w:p>
              </w:tc>
              <w:tc>
                <w:tcPr>
                  <w:tcW w:w="901" w:type="dxa"/>
                  <w:vMerge w:val="restart"/>
                  <w:vAlign w:val="center"/>
                </w:tcPr>
                <w:p w14:paraId="63063BCA">
                  <w:pPr>
                    <w:autoSpaceDE w:val="0"/>
                    <w:autoSpaceDN w:val="0"/>
                    <w:adjustRightInd w:val="0"/>
                    <w:spacing w:line="300" w:lineRule="exact"/>
                    <w:jc w:val="center"/>
                    <w:rPr>
                      <w:kern w:val="0"/>
                      <w:sz w:val="22"/>
                      <w:szCs w:val="22"/>
                    </w:rPr>
                  </w:pPr>
                  <w:r>
                    <w:rPr>
                      <w:rFonts w:hint="eastAsia" w:ascii="Times New Roman" w:hAnsi="Times New Roman" w:eastAsia="宋体" w:cs="Times New Roman"/>
                      <w:b w:val="0"/>
                      <w:bCs w:val="0"/>
                      <w:color w:val="auto"/>
                      <w:kern w:val="2"/>
                      <w:sz w:val="22"/>
                      <w:szCs w:val="22"/>
                      <w:vertAlign w:val="baseline"/>
                      <w:lang w:val="en-US" w:eastAsia="zh-CN" w:bidi="ar-SA"/>
                    </w:rPr>
                    <w:t>《环境空气质量标准》（GB3095-2012）二级</w:t>
                  </w:r>
                </w:p>
              </w:tc>
            </w:tr>
            <w:tr w14:paraId="74DC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30A66453">
                  <w:pPr>
                    <w:autoSpaceDE w:val="0"/>
                    <w:autoSpaceDN w:val="0"/>
                    <w:adjustRightInd w:val="0"/>
                    <w:spacing w:line="300" w:lineRule="exact"/>
                    <w:jc w:val="center"/>
                    <w:rPr>
                      <w:kern w:val="0"/>
                      <w:sz w:val="22"/>
                      <w:szCs w:val="22"/>
                    </w:rPr>
                  </w:pPr>
                  <w:r>
                    <w:rPr>
                      <w:rFonts w:hint="eastAsia"/>
                      <w:kern w:val="0"/>
                      <w:sz w:val="22"/>
                      <w:szCs w:val="22"/>
                    </w:rPr>
                    <w:t>2</w:t>
                  </w:r>
                </w:p>
              </w:tc>
              <w:tc>
                <w:tcPr>
                  <w:tcW w:w="619" w:type="dxa"/>
                  <w:vMerge w:val="continue"/>
                  <w:vAlign w:val="center"/>
                </w:tcPr>
                <w:p w14:paraId="2CCEF664">
                  <w:pPr>
                    <w:autoSpaceDE w:val="0"/>
                    <w:autoSpaceDN w:val="0"/>
                    <w:adjustRightInd w:val="0"/>
                    <w:spacing w:line="300" w:lineRule="exact"/>
                    <w:jc w:val="center"/>
                    <w:rPr>
                      <w:kern w:val="0"/>
                      <w:sz w:val="22"/>
                      <w:szCs w:val="22"/>
                    </w:rPr>
                  </w:pPr>
                </w:p>
              </w:tc>
              <w:tc>
                <w:tcPr>
                  <w:tcW w:w="1035" w:type="dxa"/>
                  <w:vAlign w:val="center"/>
                </w:tcPr>
                <w:p w14:paraId="4CCE7149">
                  <w:pPr>
                    <w:autoSpaceDE w:val="0"/>
                    <w:autoSpaceDN w:val="0"/>
                    <w:adjustRightInd w:val="0"/>
                    <w:spacing w:line="300" w:lineRule="exact"/>
                    <w:jc w:val="center"/>
                    <w:rPr>
                      <w:kern w:val="0"/>
                      <w:sz w:val="22"/>
                      <w:szCs w:val="22"/>
                    </w:rPr>
                  </w:pPr>
                  <w:r>
                    <w:rPr>
                      <w:rFonts w:hint="eastAsia"/>
                      <w:kern w:val="0"/>
                      <w:sz w:val="22"/>
                      <w:szCs w:val="22"/>
                    </w:rPr>
                    <w:t>金地自在城朗峯</w:t>
                  </w:r>
                </w:p>
              </w:tc>
              <w:tc>
                <w:tcPr>
                  <w:tcW w:w="660" w:type="dxa"/>
                  <w:vAlign w:val="center"/>
                </w:tcPr>
                <w:p w14:paraId="399E5ED5">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NE</w:t>
                  </w:r>
                </w:p>
              </w:tc>
              <w:tc>
                <w:tcPr>
                  <w:tcW w:w="580" w:type="dxa"/>
                  <w:vAlign w:val="center"/>
                </w:tcPr>
                <w:p w14:paraId="115E5A1A">
                  <w:pPr>
                    <w:autoSpaceDE w:val="0"/>
                    <w:autoSpaceDN w:val="0"/>
                    <w:adjustRightInd w:val="0"/>
                    <w:spacing w:line="300" w:lineRule="exact"/>
                    <w:jc w:val="center"/>
                    <w:rPr>
                      <w:rFonts w:hint="default" w:eastAsia="宋体"/>
                      <w:sz w:val="22"/>
                      <w:szCs w:val="22"/>
                      <w:lang w:val="en-US" w:eastAsia="zh-CN"/>
                    </w:rPr>
                  </w:pPr>
                  <w:r>
                    <w:rPr>
                      <w:rFonts w:hint="eastAsia"/>
                      <w:sz w:val="22"/>
                      <w:szCs w:val="22"/>
                      <w:lang w:val="en-US" w:eastAsia="zh-CN"/>
                    </w:rPr>
                    <w:t>165</w:t>
                  </w:r>
                </w:p>
              </w:tc>
              <w:tc>
                <w:tcPr>
                  <w:tcW w:w="666" w:type="dxa"/>
                  <w:vAlign w:val="center"/>
                </w:tcPr>
                <w:p w14:paraId="74457B05">
                  <w:pPr>
                    <w:autoSpaceDE w:val="0"/>
                    <w:autoSpaceDN w:val="0"/>
                    <w:adjustRightInd w:val="0"/>
                    <w:spacing w:line="300" w:lineRule="exact"/>
                    <w:jc w:val="center"/>
                    <w:rPr>
                      <w:rFonts w:hint="default" w:eastAsia="宋体"/>
                      <w:sz w:val="22"/>
                      <w:szCs w:val="22"/>
                      <w:lang w:val="en-US" w:eastAsia="zh-CN"/>
                    </w:rPr>
                  </w:pPr>
                  <w:r>
                    <w:rPr>
                      <w:rFonts w:hint="eastAsia"/>
                      <w:sz w:val="22"/>
                      <w:szCs w:val="22"/>
                      <w:lang w:val="en-US" w:eastAsia="zh-CN"/>
                    </w:rPr>
                    <w:t>185</w:t>
                  </w:r>
                </w:p>
              </w:tc>
              <w:tc>
                <w:tcPr>
                  <w:tcW w:w="1085" w:type="dxa"/>
                  <w:vAlign w:val="center"/>
                </w:tcPr>
                <w:p w14:paraId="278BEB2A">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250</w:t>
                  </w:r>
                </w:p>
              </w:tc>
              <w:tc>
                <w:tcPr>
                  <w:tcW w:w="2033" w:type="dxa"/>
                  <w:vAlign w:val="center"/>
                </w:tcPr>
                <w:p w14:paraId="694D0EA2">
                  <w:pPr>
                    <w:autoSpaceDE w:val="0"/>
                    <w:autoSpaceDN w:val="0"/>
                    <w:adjustRightInd w:val="0"/>
                    <w:spacing w:line="300" w:lineRule="exact"/>
                    <w:jc w:val="center"/>
                    <w:rPr>
                      <w:kern w:val="0"/>
                      <w:sz w:val="22"/>
                      <w:szCs w:val="22"/>
                    </w:rPr>
                  </w:pPr>
                  <w:r>
                    <w:rPr>
                      <w:rFonts w:hint="eastAsia"/>
                      <w:kern w:val="0"/>
                      <w:sz w:val="22"/>
                      <w:szCs w:val="22"/>
                      <w:lang w:val="en-US" w:eastAsia="zh-CN"/>
                    </w:rPr>
                    <w:t>居民小区，</w:t>
                  </w:r>
                  <w:r>
                    <w:rPr>
                      <w:rFonts w:hint="eastAsia" w:eastAsia="宋体" w:cs="Times New Roman"/>
                      <w:color w:val="auto"/>
                      <w:kern w:val="0"/>
                      <w:sz w:val="22"/>
                      <w:szCs w:val="22"/>
                      <w:lang w:val="en-US" w:eastAsia="zh-CN" w:bidi="ar-SA"/>
                    </w:rPr>
                    <w:t>708户，约2124人</w:t>
                  </w:r>
                </w:p>
              </w:tc>
              <w:tc>
                <w:tcPr>
                  <w:tcW w:w="901" w:type="dxa"/>
                  <w:vMerge w:val="continue"/>
                  <w:vAlign w:val="center"/>
                </w:tcPr>
                <w:p w14:paraId="1C9BF6C1">
                  <w:pPr>
                    <w:autoSpaceDE w:val="0"/>
                    <w:autoSpaceDN w:val="0"/>
                    <w:adjustRightInd w:val="0"/>
                    <w:spacing w:line="300" w:lineRule="exact"/>
                    <w:jc w:val="center"/>
                    <w:rPr>
                      <w:kern w:val="0"/>
                      <w:sz w:val="22"/>
                      <w:szCs w:val="22"/>
                    </w:rPr>
                  </w:pPr>
                </w:p>
              </w:tc>
            </w:tr>
            <w:tr w14:paraId="39B0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0C1760EC">
                  <w:pPr>
                    <w:autoSpaceDE w:val="0"/>
                    <w:autoSpaceDN w:val="0"/>
                    <w:adjustRightInd w:val="0"/>
                    <w:spacing w:line="300" w:lineRule="exact"/>
                    <w:jc w:val="center"/>
                    <w:rPr>
                      <w:kern w:val="0"/>
                      <w:sz w:val="22"/>
                      <w:szCs w:val="22"/>
                    </w:rPr>
                  </w:pPr>
                  <w:r>
                    <w:rPr>
                      <w:rFonts w:hint="eastAsia"/>
                      <w:kern w:val="0"/>
                      <w:sz w:val="22"/>
                      <w:szCs w:val="22"/>
                    </w:rPr>
                    <w:t>3</w:t>
                  </w:r>
                </w:p>
              </w:tc>
              <w:tc>
                <w:tcPr>
                  <w:tcW w:w="619" w:type="dxa"/>
                  <w:vMerge w:val="continue"/>
                  <w:vAlign w:val="center"/>
                </w:tcPr>
                <w:p w14:paraId="72BB9484">
                  <w:pPr>
                    <w:autoSpaceDE w:val="0"/>
                    <w:autoSpaceDN w:val="0"/>
                    <w:adjustRightInd w:val="0"/>
                    <w:spacing w:line="300" w:lineRule="exact"/>
                    <w:jc w:val="center"/>
                    <w:rPr>
                      <w:kern w:val="0"/>
                      <w:sz w:val="22"/>
                      <w:szCs w:val="22"/>
                    </w:rPr>
                  </w:pPr>
                </w:p>
              </w:tc>
              <w:tc>
                <w:tcPr>
                  <w:tcW w:w="1035" w:type="dxa"/>
                  <w:vAlign w:val="center"/>
                </w:tcPr>
                <w:p w14:paraId="0B465870">
                  <w:pPr>
                    <w:autoSpaceDE w:val="0"/>
                    <w:autoSpaceDN w:val="0"/>
                    <w:adjustRightInd w:val="0"/>
                    <w:spacing w:line="300" w:lineRule="exact"/>
                    <w:jc w:val="center"/>
                    <w:rPr>
                      <w:kern w:val="0"/>
                      <w:sz w:val="22"/>
                      <w:szCs w:val="22"/>
                    </w:rPr>
                  </w:pPr>
                  <w:r>
                    <w:rPr>
                      <w:rFonts w:hint="eastAsia"/>
                      <w:kern w:val="0"/>
                      <w:sz w:val="22"/>
                      <w:szCs w:val="22"/>
                    </w:rPr>
                    <w:t>金地自在城艺境雅苑</w:t>
                  </w:r>
                </w:p>
              </w:tc>
              <w:tc>
                <w:tcPr>
                  <w:tcW w:w="660" w:type="dxa"/>
                  <w:vAlign w:val="center"/>
                </w:tcPr>
                <w:p w14:paraId="044A891A">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E</w:t>
                  </w:r>
                </w:p>
              </w:tc>
              <w:tc>
                <w:tcPr>
                  <w:tcW w:w="580" w:type="dxa"/>
                  <w:vAlign w:val="center"/>
                </w:tcPr>
                <w:p w14:paraId="45A143FE">
                  <w:pPr>
                    <w:autoSpaceDE w:val="0"/>
                    <w:autoSpaceDN w:val="0"/>
                    <w:adjustRightInd w:val="0"/>
                    <w:spacing w:line="300" w:lineRule="exact"/>
                    <w:jc w:val="center"/>
                    <w:rPr>
                      <w:rFonts w:hint="default" w:eastAsia="宋体"/>
                      <w:sz w:val="22"/>
                      <w:szCs w:val="22"/>
                      <w:lang w:val="en-US" w:eastAsia="zh-CN"/>
                    </w:rPr>
                  </w:pPr>
                  <w:r>
                    <w:rPr>
                      <w:rFonts w:hint="eastAsia"/>
                      <w:sz w:val="22"/>
                      <w:szCs w:val="22"/>
                      <w:lang w:val="en-US" w:eastAsia="zh-CN"/>
                    </w:rPr>
                    <w:t>295</w:t>
                  </w:r>
                </w:p>
              </w:tc>
              <w:tc>
                <w:tcPr>
                  <w:tcW w:w="666" w:type="dxa"/>
                  <w:vAlign w:val="center"/>
                </w:tcPr>
                <w:p w14:paraId="63FCFCA0">
                  <w:pPr>
                    <w:autoSpaceDE w:val="0"/>
                    <w:autoSpaceDN w:val="0"/>
                    <w:adjustRightInd w:val="0"/>
                    <w:spacing w:line="300" w:lineRule="exact"/>
                    <w:jc w:val="center"/>
                    <w:rPr>
                      <w:rFonts w:hint="eastAsia" w:eastAsia="宋体"/>
                      <w:sz w:val="22"/>
                      <w:szCs w:val="22"/>
                      <w:lang w:val="en-US" w:eastAsia="zh-CN"/>
                    </w:rPr>
                  </w:pPr>
                  <w:r>
                    <w:rPr>
                      <w:rFonts w:hint="eastAsia"/>
                      <w:sz w:val="22"/>
                      <w:szCs w:val="22"/>
                      <w:lang w:val="en-US" w:eastAsia="zh-CN"/>
                    </w:rPr>
                    <w:t>0</w:t>
                  </w:r>
                </w:p>
              </w:tc>
              <w:tc>
                <w:tcPr>
                  <w:tcW w:w="1085" w:type="dxa"/>
                  <w:vAlign w:val="center"/>
                </w:tcPr>
                <w:p w14:paraId="5DCABBDD">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295</w:t>
                  </w:r>
                </w:p>
              </w:tc>
              <w:tc>
                <w:tcPr>
                  <w:tcW w:w="2033" w:type="dxa"/>
                  <w:vAlign w:val="center"/>
                </w:tcPr>
                <w:p w14:paraId="6A0341B5">
                  <w:pPr>
                    <w:autoSpaceDE w:val="0"/>
                    <w:autoSpaceDN w:val="0"/>
                    <w:adjustRightInd w:val="0"/>
                    <w:spacing w:line="300" w:lineRule="exact"/>
                    <w:jc w:val="center"/>
                    <w:rPr>
                      <w:kern w:val="0"/>
                      <w:sz w:val="22"/>
                      <w:szCs w:val="22"/>
                    </w:rPr>
                  </w:pPr>
                  <w:r>
                    <w:rPr>
                      <w:rFonts w:hint="eastAsia"/>
                      <w:kern w:val="0"/>
                      <w:sz w:val="22"/>
                      <w:szCs w:val="22"/>
                      <w:lang w:val="en-US" w:eastAsia="zh-CN"/>
                    </w:rPr>
                    <w:t>居民小区，</w:t>
                  </w:r>
                  <w:r>
                    <w:rPr>
                      <w:rFonts w:hint="eastAsia" w:eastAsia="宋体" w:cs="Times New Roman"/>
                      <w:color w:val="auto"/>
                      <w:kern w:val="0"/>
                      <w:sz w:val="22"/>
                      <w:szCs w:val="22"/>
                      <w:lang w:val="en-US" w:eastAsia="zh-CN" w:bidi="ar-SA"/>
                    </w:rPr>
                    <w:t>800户，约2400人</w:t>
                  </w:r>
                </w:p>
              </w:tc>
              <w:tc>
                <w:tcPr>
                  <w:tcW w:w="901" w:type="dxa"/>
                  <w:vMerge w:val="continue"/>
                  <w:vAlign w:val="center"/>
                </w:tcPr>
                <w:p w14:paraId="4476359C">
                  <w:pPr>
                    <w:autoSpaceDE w:val="0"/>
                    <w:autoSpaceDN w:val="0"/>
                    <w:adjustRightInd w:val="0"/>
                    <w:spacing w:line="300" w:lineRule="exact"/>
                    <w:jc w:val="center"/>
                    <w:rPr>
                      <w:kern w:val="0"/>
                      <w:sz w:val="22"/>
                      <w:szCs w:val="22"/>
                    </w:rPr>
                  </w:pPr>
                </w:p>
              </w:tc>
            </w:tr>
            <w:tr w14:paraId="1654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7DBE9152">
                  <w:pPr>
                    <w:autoSpaceDE w:val="0"/>
                    <w:autoSpaceDN w:val="0"/>
                    <w:adjustRightInd w:val="0"/>
                    <w:spacing w:line="300" w:lineRule="exact"/>
                    <w:jc w:val="center"/>
                    <w:rPr>
                      <w:kern w:val="0"/>
                      <w:sz w:val="22"/>
                      <w:szCs w:val="22"/>
                    </w:rPr>
                  </w:pPr>
                  <w:r>
                    <w:rPr>
                      <w:rFonts w:hint="eastAsia"/>
                      <w:kern w:val="0"/>
                      <w:sz w:val="22"/>
                      <w:szCs w:val="22"/>
                    </w:rPr>
                    <w:t>4</w:t>
                  </w:r>
                </w:p>
              </w:tc>
              <w:tc>
                <w:tcPr>
                  <w:tcW w:w="619" w:type="dxa"/>
                  <w:vMerge w:val="continue"/>
                  <w:vAlign w:val="center"/>
                </w:tcPr>
                <w:p w14:paraId="0E646CED">
                  <w:pPr>
                    <w:autoSpaceDE w:val="0"/>
                    <w:autoSpaceDN w:val="0"/>
                    <w:adjustRightInd w:val="0"/>
                    <w:spacing w:line="300" w:lineRule="exact"/>
                    <w:jc w:val="center"/>
                    <w:rPr>
                      <w:kern w:val="0"/>
                      <w:sz w:val="22"/>
                      <w:szCs w:val="22"/>
                    </w:rPr>
                  </w:pPr>
                </w:p>
              </w:tc>
              <w:tc>
                <w:tcPr>
                  <w:tcW w:w="1035" w:type="dxa"/>
                  <w:vAlign w:val="center"/>
                </w:tcPr>
                <w:p w14:paraId="01DF7D0E">
                  <w:pPr>
                    <w:autoSpaceDE w:val="0"/>
                    <w:autoSpaceDN w:val="0"/>
                    <w:adjustRightInd w:val="0"/>
                    <w:spacing w:line="300" w:lineRule="exact"/>
                    <w:jc w:val="center"/>
                    <w:rPr>
                      <w:kern w:val="0"/>
                      <w:sz w:val="22"/>
                      <w:szCs w:val="22"/>
                    </w:rPr>
                  </w:pPr>
                  <w:r>
                    <w:rPr>
                      <w:rFonts w:hint="eastAsia"/>
                      <w:kern w:val="0"/>
                      <w:sz w:val="22"/>
                      <w:szCs w:val="22"/>
                      <w:lang w:val="en-US" w:eastAsia="zh-CN"/>
                    </w:rPr>
                    <w:t>金地</w:t>
                  </w:r>
                  <w:r>
                    <w:rPr>
                      <w:rFonts w:hint="eastAsia"/>
                      <w:kern w:val="0"/>
                      <w:sz w:val="22"/>
                      <w:szCs w:val="22"/>
                    </w:rPr>
                    <w:t>自在城博苑</w:t>
                  </w:r>
                </w:p>
              </w:tc>
              <w:tc>
                <w:tcPr>
                  <w:tcW w:w="660" w:type="dxa"/>
                  <w:vAlign w:val="center"/>
                </w:tcPr>
                <w:p w14:paraId="4DFCB0CA">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SE</w:t>
                  </w:r>
                </w:p>
              </w:tc>
              <w:tc>
                <w:tcPr>
                  <w:tcW w:w="580" w:type="dxa"/>
                  <w:vAlign w:val="center"/>
                </w:tcPr>
                <w:p w14:paraId="6D53F1AE">
                  <w:pPr>
                    <w:autoSpaceDE w:val="0"/>
                    <w:autoSpaceDN w:val="0"/>
                    <w:adjustRightInd w:val="0"/>
                    <w:spacing w:line="300" w:lineRule="exact"/>
                    <w:jc w:val="center"/>
                    <w:rPr>
                      <w:rFonts w:hint="default" w:eastAsia="宋体"/>
                      <w:sz w:val="22"/>
                      <w:szCs w:val="22"/>
                      <w:lang w:val="en-US" w:eastAsia="zh-CN"/>
                    </w:rPr>
                  </w:pPr>
                  <w:r>
                    <w:rPr>
                      <w:rFonts w:hint="eastAsia"/>
                      <w:sz w:val="22"/>
                      <w:szCs w:val="22"/>
                      <w:lang w:val="en-US" w:eastAsia="zh-CN"/>
                    </w:rPr>
                    <w:t>390</w:t>
                  </w:r>
                </w:p>
              </w:tc>
              <w:tc>
                <w:tcPr>
                  <w:tcW w:w="666" w:type="dxa"/>
                  <w:vAlign w:val="center"/>
                </w:tcPr>
                <w:p w14:paraId="079A9D10">
                  <w:pPr>
                    <w:autoSpaceDE w:val="0"/>
                    <w:autoSpaceDN w:val="0"/>
                    <w:adjustRightInd w:val="0"/>
                    <w:spacing w:line="300" w:lineRule="exact"/>
                    <w:jc w:val="center"/>
                    <w:rPr>
                      <w:rFonts w:hint="default" w:eastAsia="宋体"/>
                      <w:sz w:val="22"/>
                      <w:szCs w:val="22"/>
                      <w:lang w:val="en-US" w:eastAsia="zh-CN"/>
                    </w:rPr>
                  </w:pPr>
                  <w:r>
                    <w:rPr>
                      <w:rFonts w:hint="eastAsia"/>
                      <w:sz w:val="22"/>
                      <w:szCs w:val="22"/>
                      <w:lang w:val="en-US" w:eastAsia="zh-CN"/>
                    </w:rPr>
                    <w:t>-380</w:t>
                  </w:r>
                </w:p>
              </w:tc>
              <w:tc>
                <w:tcPr>
                  <w:tcW w:w="1085" w:type="dxa"/>
                  <w:vAlign w:val="center"/>
                </w:tcPr>
                <w:p w14:paraId="17165F4E">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450</w:t>
                  </w:r>
                </w:p>
              </w:tc>
              <w:tc>
                <w:tcPr>
                  <w:tcW w:w="2033" w:type="dxa"/>
                  <w:vAlign w:val="center"/>
                </w:tcPr>
                <w:p w14:paraId="7D9C49FF">
                  <w:pPr>
                    <w:autoSpaceDE w:val="0"/>
                    <w:autoSpaceDN w:val="0"/>
                    <w:adjustRightInd w:val="0"/>
                    <w:spacing w:line="300" w:lineRule="exact"/>
                    <w:jc w:val="center"/>
                    <w:rPr>
                      <w:kern w:val="0"/>
                      <w:sz w:val="22"/>
                      <w:szCs w:val="22"/>
                    </w:rPr>
                  </w:pPr>
                  <w:r>
                    <w:rPr>
                      <w:rFonts w:hint="eastAsia"/>
                      <w:kern w:val="0"/>
                      <w:sz w:val="22"/>
                      <w:szCs w:val="22"/>
                      <w:lang w:val="en-US" w:eastAsia="zh-CN"/>
                    </w:rPr>
                    <w:t>居民小区，</w:t>
                  </w:r>
                  <w:r>
                    <w:rPr>
                      <w:rFonts w:hint="eastAsia" w:eastAsia="宋体" w:cs="Times New Roman"/>
                      <w:color w:val="auto"/>
                      <w:kern w:val="0"/>
                      <w:sz w:val="22"/>
                      <w:szCs w:val="22"/>
                      <w:lang w:val="en-US" w:eastAsia="zh-CN" w:bidi="ar-SA"/>
                    </w:rPr>
                    <w:t>520户，约1560人</w:t>
                  </w:r>
                </w:p>
              </w:tc>
              <w:tc>
                <w:tcPr>
                  <w:tcW w:w="901" w:type="dxa"/>
                  <w:vMerge w:val="continue"/>
                  <w:vAlign w:val="center"/>
                </w:tcPr>
                <w:p w14:paraId="24A4C5B0">
                  <w:pPr>
                    <w:autoSpaceDE w:val="0"/>
                    <w:autoSpaceDN w:val="0"/>
                    <w:adjustRightInd w:val="0"/>
                    <w:spacing w:line="300" w:lineRule="exact"/>
                    <w:jc w:val="center"/>
                    <w:rPr>
                      <w:kern w:val="0"/>
                      <w:sz w:val="22"/>
                      <w:szCs w:val="22"/>
                    </w:rPr>
                  </w:pPr>
                </w:p>
              </w:tc>
            </w:tr>
            <w:tr w14:paraId="268E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4D498232">
                  <w:pPr>
                    <w:autoSpaceDE w:val="0"/>
                    <w:autoSpaceDN w:val="0"/>
                    <w:adjustRightInd w:val="0"/>
                    <w:spacing w:line="300" w:lineRule="exact"/>
                    <w:jc w:val="center"/>
                    <w:rPr>
                      <w:kern w:val="0"/>
                      <w:sz w:val="22"/>
                      <w:szCs w:val="22"/>
                    </w:rPr>
                  </w:pPr>
                  <w:r>
                    <w:rPr>
                      <w:rFonts w:hint="eastAsia"/>
                      <w:kern w:val="0"/>
                      <w:sz w:val="22"/>
                      <w:szCs w:val="22"/>
                    </w:rPr>
                    <w:t>5</w:t>
                  </w:r>
                </w:p>
              </w:tc>
              <w:tc>
                <w:tcPr>
                  <w:tcW w:w="619" w:type="dxa"/>
                  <w:vMerge w:val="continue"/>
                  <w:vAlign w:val="center"/>
                </w:tcPr>
                <w:p w14:paraId="3007073F">
                  <w:pPr>
                    <w:autoSpaceDE w:val="0"/>
                    <w:autoSpaceDN w:val="0"/>
                    <w:adjustRightInd w:val="0"/>
                    <w:spacing w:line="300" w:lineRule="exact"/>
                    <w:jc w:val="center"/>
                    <w:rPr>
                      <w:kern w:val="0"/>
                      <w:sz w:val="22"/>
                      <w:szCs w:val="22"/>
                    </w:rPr>
                  </w:pPr>
                </w:p>
              </w:tc>
              <w:tc>
                <w:tcPr>
                  <w:tcW w:w="1035" w:type="dxa"/>
                  <w:vAlign w:val="center"/>
                </w:tcPr>
                <w:p w14:paraId="30BF248C">
                  <w:pPr>
                    <w:autoSpaceDE w:val="0"/>
                    <w:autoSpaceDN w:val="0"/>
                    <w:adjustRightInd w:val="0"/>
                    <w:spacing w:line="300" w:lineRule="exact"/>
                    <w:jc w:val="center"/>
                    <w:rPr>
                      <w:sz w:val="22"/>
                      <w:szCs w:val="22"/>
                    </w:rPr>
                  </w:pPr>
                  <w:r>
                    <w:rPr>
                      <w:rFonts w:hint="eastAsia"/>
                      <w:sz w:val="22"/>
                      <w:szCs w:val="22"/>
                    </w:rPr>
                    <w:t>联发西城首府</w:t>
                  </w:r>
                </w:p>
              </w:tc>
              <w:tc>
                <w:tcPr>
                  <w:tcW w:w="660" w:type="dxa"/>
                  <w:vAlign w:val="center"/>
                </w:tcPr>
                <w:p w14:paraId="583002ED">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S</w:t>
                  </w:r>
                </w:p>
              </w:tc>
              <w:tc>
                <w:tcPr>
                  <w:tcW w:w="580" w:type="dxa"/>
                  <w:vAlign w:val="center"/>
                </w:tcPr>
                <w:p w14:paraId="402CAD5B">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0</w:t>
                  </w:r>
                </w:p>
              </w:tc>
              <w:tc>
                <w:tcPr>
                  <w:tcW w:w="666" w:type="dxa"/>
                  <w:vAlign w:val="center"/>
                </w:tcPr>
                <w:p w14:paraId="1A307B76">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-320</w:t>
                  </w:r>
                </w:p>
              </w:tc>
              <w:tc>
                <w:tcPr>
                  <w:tcW w:w="1085" w:type="dxa"/>
                  <w:vAlign w:val="center"/>
                </w:tcPr>
                <w:p w14:paraId="72D6695F">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320</w:t>
                  </w:r>
                </w:p>
              </w:tc>
              <w:tc>
                <w:tcPr>
                  <w:tcW w:w="2033" w:type="dxa"/>
                  <w:vAlign w:val="center"/>
                </w:tcPr>
                <w:p w14:paraId="47210448">
                  <w:pPr>
                    <w:autoSpaceDE w:val="0"/>
                    <w:autoSpaceDN w:val="0"/>
                    <w:adjustRightInd w:val="0"/>
                    <w:spacing w:line="300" w:lineRule="exact"/>
                    <w:jc w:val="center"/>
                    <w:rPr>
                      <w:kern w:val="0"/>
                      <w:sz w:val="22"/>
                      <w:szCs w:val="22"/>
                    </w:rPr>
                  </w:pPr>
                  <w:r>
                    <w:rPr>
                      <w:rFonts w:hint="eastAsia"/>
                      <w:kern w:val="0"/>
                      <w:sz w:val="22"/>
                      <w:szCs w:val="22"/>
                      <w:lang w:val="en-US" w:eastAsia="zh-CN"/>
                    </w:rPr>
                    <w:t>居民小区，</w:t>
                  </w:r>
                  <w:r>
                    <w:rPr>
                      <w:rFonts w:hint="eastAsia" w:eastAsia="宋体" w:cs="Times New Roman"/>
                      <w:color w:val="auto"/>
                      <w:kern w:val="0"/>
                      <w:sz w:val="22"/>
                      <w:szCs w:val="22"/>
                      <w:lang w:val="en-US" w:eastAsia="zh-CN" w:bidi="ar-SA"/>
                    </w:rPr>
                    <w:t>1164户，约3492人</w:t>
                  </w:r>
                </w:p>
              </w:tc>
              <w:tc>
                <w:tcPr>
                  <w:tcW w:w="901" w:type="dxa"/>
                  <w:vMerge w:val="continue"/>
                  <w:vAlign w:val="center"/>
                </w:tcPr>
                <w:p w14:paraId="5AB4C246">
                  <w:pPr>
                    <w:autoSpaceDE w:val="0"/>
                    <w:autoSpaceDN w:val="0"/>
                    <w:adjustRightInd w:val="0"/>
                    <w:spacing w:line="300" w:lineRule="exact"/>
                    <w:jc w:val="center"/>
                    <w:rPr>
                      <w:kern w:val="0"/>
                      <w:sz w:val="22"/>
                      <w:szCs w:val="22"/>
                    </w:rPr>
                  </w:pPr>
                </w:p>
              </w:tc>
            </w:tr>
            <w:tr w14:paraId="095C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7B7283E4">
                  <w:pPr>
                    <w:autoSpaceDE w:val="0"/>
                    <w:autoSpaceDN w:val="0"/>
                    <w:adjustRightInd w:val="0"/>
                    <w:spacing w:line="300" w:lineRule="exact"/>
                    <w:jc w:val="center"/>
                    <w:rPr>
                      <w:kern w:val="0"/>
                      <w:sz w:val="22"/>
                      <w:szCs w:val="22"/>
                    </w:rPr>
                  </w:pPr>
                  <w:r>
                    <w:rPr>
                      <w:rFonts w:hint="eastAsia"/>
                      <w:kern w:val="0"/>
                      <w:sz w:val="22"/>
                      <w:szCs w:val="22"/>
                    </w:rPr>
                    <w:t>6</w:t>
                  </w:r>
                </w:p>
              </w:tc>
              <w:tc>
                <w:tcPr>
                  <w:tcW w:w="619" w:type="dxa"/>
                  <w:vMerge w:val="continue"/>
                  <w:vAlign w:val="center"/>
                </w:tcPr>
                <w:p w14:paraId="1CD0C2AC">
                  <w:pPr>
                    <w:autoSpaceDE w:val="0"/>
                    <w:autoSpaceDN w:val="0"/>
                    <w:adjustRightInd w:val="0"/>
                    <w:spacing w:line="300" w:lineRule="exact"/>
                    <w:jc w:val="center"/>
                    <w:rPr>
                      <w:kern w:val="0"/>
                      <w:sz w:val="22"/>
                      <w:szCs w:val="22"/>
                    </w:rPr>
                  </w:pPr>
                </w:p>
              </w:tc>
              <w:tc>
                <w:tcPr>
                  <w:tcW w:w="1035" w:type="dxa"/>
                  <w:vAlign w:val="center"/>
                </w:tcPr>
                <w:p w14:paraId="128B8E57">
                  <w:pPr>
                    <w:autoSpaceDE w:val="0"/>
                    <w:autoSpaceDN w:val="0"/>
                    <w:adjustRightInd w:val="0"/>
                    <w:spacing w:line="300" w:lineRule="exact"/>
                    <w:jc w:val="center"/>
                    <w:rPr>
                      <w:sz w:val="22"/>
                      <w:szCs w:val="22"/>
                    </w:rPr>
                  </w:pPr>
                  <w:r>
                    <w:rPr>
                      <w:rFonts w:hint="eastAsia"/>
                      <w:sz w:val="22"/>
                      <w:szCs w:val="22"/>
                    </w:rPr>
                    <w:t>重庆西区医院</w:t>
                  </w:r>
                </w:p>
              </w:tc>
              <w:tc>
                <w:tcPr>
                  <w:tcW w:w="660" w:type="dxa"/>
                  <w:vAlign w:val="center"/>
                </w:tcPr>
                <w:p w14:paraId="3420BDB5">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NE</w:t>
                  </w:r>
                </w:p>
              </w:tc>
              <w:tc>
                <w:tcPr>
                  <w:tcW w:w="580" w:type="dxa"/>
                  <w:vAlign w:val="center"/>
                </w:tcPr>
                <w:p w14:paraId="646E0536">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140</w:t>
                  </w:r>
                </w:p>
              </w:tc>
              <w:tc>
                <w:tcPr>
                  <w:tcW w:w="666" w:type="dxa"/>
                  <w:vAlign w:val="center"/>
                </w:tcPr>
                <w:p w14:paraId="634A6B95">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430</w:t>
                  </w:r>
                </w:p>
              </w:tc>
              <w:tc>
                <w:tcPr>
                  <w:tcW w:w="1085" w:type="dxa"/>
                  <w:vAlign w:val="center"/>
                </w:tcPr>
                <w:p w14:paraId="0855E8EC">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460</w:t>
                  </w:r>
                </w:p>
              </w:tc>
              <w:tc>
                <w:tcPr>
                  <w:tcW w:w="2033" w:type="dxa"/>
                  <w:vAlign w:val="center"/>
                </w:tcPr>
                <w:p w14:paraId="2E3B029E">
                  <w:pPr>
                    <w:autoSpaceDE w:val="0"/>
                    <w:autoSpaceDN w:val="0"/>
                    <w:adjustRightInd w:val="0"/>
                    <w:spacing w:line="300" w:lineRule="exact"/>
                    <w:jc w:val="center"/>
                    <w:rPr>
                      <w:rFonts w:hint="default"/>
                      <w:kern w:val="0"/>
                      <w:sz w:val="22"/>
                      <w:szCs w:val="22"/>
                      <w:lang w:val="en-US"/>
                    </w:rPr>
                  </w:pPr>
                  <w:r>
                    <w:rPr>
                      <w:rFonts w:hint="eastAsia"/>
                      <w:kern w:val="0"/>
                      <w:sz w:val="22"/>
                      <w:szCs w:val="22"/>
                      <w:lang w:val="en-US" w:eastAsia="zh-CN"/>
                    </w:rPr>
                    <w:t>医院，</w:t>
                  </w:r>
                  <w:r>
                    <w:rPr>
                      <w:rFonts w:hint="eastAsia" w:eastAsia="宋体" w:cs="Times New Roman"/>
                      <w:color w:val="auto"/>
                      <w:kern w:val="0"/>
                      <w:sz w:val="22"/>
                      <w:szCs w:val="22"/>
                      <w:lang w:val="en-US" w:eastAsia="zh-CN" w:bidi="ar-SA"/>
                    </w:rPr>
                    <w:t>约1200张床位</w:t>
                  </w:r>
                </w:p>
              </w:tc>
              <w:tc>
                <w:tcPr>
                  <w:tcW w:w="901" w:type="dxa"/>
                  <w:vMerge w:val="continue"/>
                  <w:vAlign w:val="center"/>
                </w:tcPr>
                <w:p w14:paraId="624651CD">
                  <w:pPr>
                    <w:autoSpaceDE w:val="0"/>
                    <w:autoSpaceDN w:val="0"/>
                    <w:adjustRightInd w:val="0"/>
                    <w:spacing w:line="300" w:lineRule="exact"/>
                    <w:jc w:val="center"/>
                    <w:rPr>
                      <w:kern w:val="0"/>
                      <w:sz w:val="22"/>
                      <w:szCs w:val="22"/>
                    </w:rPr>
                  </w:pPr>
                </w:p>
              </w:tc>
            </w:tr>
            <w:tr w14:paraId="028E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6980DD0E">
                  <w:pPr>
                    <w:autoSpaceDE w:val="0"/>
                    <w:autoSpaceDN w:val="0"/>
                    <w:adjustRightInd w:val="0"/>
                    <w:spacing w:line="300" w:lineRule="exact"/>
                    <w:jc w:val="center"/>
                    <w:rPr>
                      <w:kern w:val="0"/>
                      <w:sz w:val="22"/>
                      <w:szCs w:val="22"/>
                    </w:rPr>
                  </w:pPr>
                  <w:r>
                    <w:rPr>
                      <w:rFonts w:hint="eastAsia"/>
                      <w:kern w:val="0"/>
                      <w:sz w:val="22"/>
                      <w:szCs w:val="22"/>
                    </w:rPr>
                    <w:t>7</w:t>
                  </w:r>
                </w:p>
              </w:tc>
              <w:tc>
                <w:tcPr>
                  <w:tcW w:w="619" w:type="dxa"/>
                  <w:vMerge w:val="continue"/>
                  <w:vAlign w:val="center"/>
                </w:tcPr>
                <w:p w14:paraId="32A2EF5C">
                  <w:pPr>
                    <w:autoSpaceDE w:val="0"/>
                    <w:autoSpaceDN w:val="0"/>
                    <w:adjustRightInd w:val="0"/>
                    <w:spacing w:line="300" w:lineRule="exact"/>
                    <w:jc w:val="center"/>
                    <w:rPr>
                      <w:kern w:val="0"/>
                      <w:sz w:val="22"/>
                      <w:szCs w:val="22"/>
                    </w:rPr>
                  </w:pPr>
                </w:p>
              </w:tc>
              <w:tc>
                <w:tcPr>
                  <w:tcW w:w="1035" w:type="dxa"/>
                  <w:vAlign w:val="center"/>
                </w:tcPr>
                <w:p w14:paraId="49DCE1FE">
                  <w:pPr>
                    <w:autoSpaceDE w:val="0"/>
                    <w:autoSpaceDN w:val="0"/>
                    <w:adjustRightInd w:val="0"/>
                    <w:spacing w:line="300" w:lineRule="exact"/>
                    <w:jc w:val="center"/>
                    <w:rPr>
                      <w:sz w:val="22"/>
                      <w:szCs w:val="22"/>
                    </w:rPr>
                  </w:pPr>
                  <w:r>
                    <w:rPr>
                      <w:rFonts w:hint="eastAsia"/>
                      <w:sz w:val="22"/>
                      <w:szCs w:val="22"/>
                    </w:rPr>
                    <w:t>金地自在城领峯</w:t>
                  </w:r>
                </w:p>
              </w:tc>
              <w:tc>
                <w:tcPr>
                  <w:tcW w:w="660" w:type="dxa"/>
                  <w:vAlign w:val="center"/>
                </w:tcPr>
                <w:p w14:paraId="18E6EDCD">
                  <w:pPr>
                    <w:autoSpaceDE w:val="0"/>
                    <w:autoSpaceDN w:val="0"/>
                    <w:adjustRightInd w:val="0"/>
                    <w:spacing w:line="300" w:lineRule="exact"/>
                    <w:jc w:val="center"/>
                    <w:rPr>
                      <w:kern w:val="0"/>
                      <w:sz w:val="22"/>
                      <w:szCs w:val="22"/>
                    </w:rPr>
                  </w:pPr>
                  <w:r>
                    <w:rPr>
                      <w:rFonts w:hint="eastAsia"/>
                      <w:kern w:val="0"/>
                      <w:sz w:val="22"/>
                      <w:szCs w:val="22"/>
                    </w:rPr>
                    <w:t>NE</w:t>
                  </w:r>
                </w:p>
              </w:tc>
              <w:tc>
                <w:tcPr>
                  <w:tcW w:w="580" w:type="dxa"/>
                  <w:vAlign w:val="center"/>
                </w:tcPr>
                <w:p w14:paraId="3F5BBB38">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390</w:t>
                  </w:r>
                </w:p>
              </w:tc>
              <w:tc>
                <w:tcPr>
                  <w:tcW w:w="666" w:type="dxa"/>
                  <w:vAlign w:val="center"/>
                </w:tcPr>
                <w:p w14:paraId="4A3C883E">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430</w:t>
                  </w:r>
                </w:p>
              </w:tc>
              <w:tc>
                <w:tcPr>
                  <w:tcW w:w="1085" w:type="dxa"/>
                  <w:vAlign w:val="center"/>
                </w:tcPr>
                <w:p w14:paraId="0415AA5E">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540</w:t>
                  </w:r>
                </w:p>
              </w:tc>
              <w:tc>
                <w:tcPr>
                  <w:tcW w:w="2033" w:type="dxa"/>
                  <w:vAlign w:val="center"/>
                </w:tcPr>
                <w:p w14:paraId="52BFF028">
                  <w:pPr>
                    <w:autoSpaceDE w:val="0"/>
                    <w:autoSpaceDN w:val="0"/>
                    <w:adjustRightInd w:val="0"/>
                    <w:spacing w:line="300" w:lineRule="exact"/>
                    <w:jc w:val="center"/>
                    <w:rPr>
                      <w:kern w:val="0"/>
                      <w:sz w:val="22"/>
                      <w:szCs w:val="22"/>
                    </w:rPr>
                  </w:pPr>
                  <w:r>
                    <w:rPr>
                      <w:rFonts w:hint="eastAsia"/>
                      <w:kern w:val="0"/>
                      <w:sz w:val="22"/>
                      <w:szCs w:val="22"/>
                      <w:lang w:val="en-US" w:eastAsia="zh-CN"/>
                    </w:rPr>
                    <w:t>居民小区，</w:t>
                  </w:r>
                  <w:r>
                    <w:rPr>
                      <w:rFonts w:hint="eastAsia" w:eastAsia="宋体" w:cs="Times New Roman"/>
                      <w:color w:val="auto"/>
                      <w:kern w:val="0"/>
                      <w:sz w:val="22"/>
                      <w:szCs w:val="22"/>
                      <w:lang w:val="en-US" w:eastAsia="zh-CN" w:bidi="ar-SA"/>
                    </w:rPr>
                    <w:t>685户，约2055人</w:t>
                  </w:r>
                </w:p>
              </w:tc>
              <w:tc>
                <w:tcPr>
                  <w:tcW w:w="901" w:type="dxa"/>
                  <w:vMerge w:val="continue"/>
                  <w:vAlign w:val="center"/>
                </w:tcPr>
                <w:p w14:paraId="60B61D66">
                  <w:pPr>
                    <w:autoSpaceDE w:val="0"/>
                    <w:autoSpaceDN w:val="0"/>
                    <w:adjustRightInd w:val="0"/>
                    <w:spacing w:line="300" w:lineRule="exact"/>
                    <w:jc w:val="center"/>
                    <w:rPr>
                      <w:rFonts w:hint="eastAsia"/>
                      <w:kern w:val="0"/>
                      <w:sz w:val="22"/>
                      <w:szCs w:val="22"/>
                    </w:rPr>
                  </w:pPr>
                </w:p>
              </w:tc>
            </w:tr>
            <w:tr w14:paraId="0400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2" w:type="dxa"/>
                  <w:vAlign w:val="center"/>
                </w:tcPr>
                <w:p w14:paraId="31AF9512">
                  <w:pPr>
                    <w:autoSpaceDE w:val="0"/>
                    <w:autoSpaceDN w:val="0"/>
                    <w:adjustRightInd w:val="0"/>
                    <w:spacing w:line="300" w:lineRule="exact"/>
                    <w:jc w:val="center"/>
                    <w:rPr>
                      <w:rFonts w:hint="eastAsia" w:eastAsia="宋体"/>
                      <w:kern w:val="0"/>
                      <w:sz w:val="22"/>
                      <w:szCs w:val="22"/>
                      <w:lang w:val="en-US" w:eastAsia="zh-CN"/>
                    </w:rPr>
                  </w:pPr>
                  <w:r>
                    <w:rPr>
                      <w:rFonts w:hint="eastAsia"/>
                      <w:kern w:val="0"/>
                      <w:sz w:val="22"/>
                      <w:szCs w:val="22"/>
                      <w:lang w:val="en-US" w:eastAsia="zh-CN"/>
                    </w:rPr>
                    <w:t>8</w:t>
                  </w:r>
                </w:p>
              </w:tc>
              <w:tc>
                <w:tcPr>
                  <w:tcW w:w="619" w:type="dxa"/>
                  <w:vMerge w:val="continue"/>
                  <w:vAlign w:val="center"/>
                </w:tcPr>
                <w:p w14:paraId="7BCEB9C7">
                  <w:pPr>
                    <w:autoSpaceDE w:val="0"/>
                    <w:autoSpaceDN w:val="0"/>
                    <w:adjustRightInd w:val="0"/>
                    <w:spacing w:line="300" w:lineRule="exact"/>
                    <w:jc w:val="center"/>
                    <w:rPr>
                      <w:kern w:val="0"/>
                      <w:sz w:val="22"/>
                      <w:szCs w:val="22"/>
                    </w:rPr>
                  </w:pPr>
                </w:p>
              </w:tc>
              <w:tc>
                <w:tcPr>
                  <w:tcW w:w="1035" w:type="dxa"/>
                  <w:vAlign w:val="center"/>
                </w:tcPr>
                <w:p w14:paraId="5B96CE15">
                  <w:pPr>
                    <w:autoSpaceDE w:val="0"/>
                    <w:autoSpaceDN w:val="0"/>
                    <w:adjustRightInd w:val="0"/>
                    <w:spacing w:line="300" w:lineRule="exact"/>
                    <w:jc w:val="center"/>
                    <w:rPr>
                      <w:rFonts w:hint="eastAsia"/>
                      <w:sz w:val="22"/>
                      <w:szCs w:val="22"/>
                    </w:rPr>
                  </w:pPr>
                  <w:r>
                    <w:rPr>
                      <w:rFonts w:hint="eastAsia"/>
                      <w:sz w:val="22"/>
                      <w:szCs w:val="22"/>
                    </w:rPr>
                    <w:t>大渡口区慧泉小学</w:t>
                  </w:r>
                </w:p>
              </w:tc>
              <w:tc>
                <w:tcPr>
                  <w:tcW w:w="660" w:type="dxa"/>
                  <w:vAlign w:val="center"/>
                </w:tcPr>
                <w:p w14:paraId="3F03CC7D">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SE</w:t>
                  </w:r>
                </w:p>
              </w:tc>
              <w:tc>
                <w:tcPr>
                  <w:tcW w:w="580" w:type="dxa"/>
                  <w:vAlign w:val="center"/>
                </w:tcPr>
                <w:p w14:paraId="562E48B0">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390</w:t>
                  </w:r>
                </w:p>
              </w:tc>
              <w:tc>
                <w:tcPr>
                  <w:tcW w:w="666" w:type="dxa"/>
                  <w:vAlign w:val="center"/>
                </w:tcPr>
                <w:p w14:paraId="2F15B929">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-210</w:t>
                  </w:r>
                </w:p>
              </w:tc>
              <w:tc>
                <w:tcPr>
                  <w:tcW w:w="1085" w:type="dxa"/>
                  <w:vAlign w:val="center"/>
                </w:tcPr>
                <w:p w14:paraId="18C707EB">
                  <w:pPr>
                    <w:autoSpaceDE w:val="0"/>
                    <w:autoSpaceDN w:val="0"/>
                    <w:adjustRightInd w:val="0"/>
                    <w:spacing w:line="300" w:lineRule="exact"/>
                    <w:jc w:val="center"/>
                    <w:rPr>
                      <w:rFonts w:hint="default" w:eastAsia="宋体"/>
                      <w:kern w:val="0"/>
                      <w:sz w:val="22"/>
                      <w:szCs w:val="22"/>
                      <w:lang w:val="en-US" w:eastAsia="zh-CN"/>
                    </w:rPr>
                  </w:pPr>
                  <w:r>
                    <w:rPr>
                      <w:rFonts w:hint="eastAsia"/>
                      <w:kern w:val="0"/>
                      <w:sz w:val="22"/>
                      <w:szCs w:val="22"/>
                      <w:lang w:val="en-US" w:eastAsia="zh-CN"/>
                    </w:rPr>
                    <w:t>430</w:t>
                  </w:r>
                </w:p>
              </w:tc>
              <w:tc>
                <w:tcPr>
                  <w:tcW w:w="2033" w:type="dxa"/>
                  <w:vAlign w:val="center"/>
                </w:tcPr>
                <w:p w14:paraId="2F0E7567">
                  <w:pPr>
                    <w:autoSpaceDE w:val="0"/>
                    <w:autoSpaceDN w:val="0"/>
                    <w:adjustRightInd w:val="0"/>
                    <w:spacing w:line="300" w:lineRule="exact"/>
                    <w:jc w:val="center"/>
                    <w:rPr>
                      <w:rFonts w:hint="eastAsia"/>
                      <w:kern w:val="0"/>
                      <w:sz w:val="22"/>
                      <w:szCs w:val="22"/>
                    </w:rPr>
                  </w:pPr>
                  <w:r>
                    <w:rPr>
                      <w:rFonts w:hint="eastAsia"/>
                      <w:kern w:val="0"/>
                      <w:sz w:val="22"/>
                      <w:szCs w:val="22"/>
                      <w:lang w:val="en-US" w:eastAsia="zh-CN"/>
                    </w:rPr>
                    <w:t>学校，</w:t>
                  </w:r>
                  <w:r>
                    <w:rPr>
                      <w:rFonts w:hint="eastAsia" w:eastAsia="宋体" w:cs="Times New Roman"/>
                      <w:color w:val="auto"/>
                      <w:kern w:val="0"/>
                      <w:sz w:val="22"/>
                      <w:szCs w:val="22"/>
                      <w:lang w:val="en-US" w:eastAsia="zh-CN" w:bidi="ar-SA"/>
                    </w:rPr>
                    <w:t>师生约900人</w:t>
                  </w:r>
                </w:p>
              </w:tc>
              <w:tc>
                <w:tcPr>
                  <w:tcW w:w="901" w:type="dxa"/>
                  <w:vMerge w:val="continue"/>
                  <w:vAlign w:val="center"/>
                </w:tcPr>
                <w:p w14:paraId="3256E3D1">
                  <w:pPr>
                    <w:autoSpaceDE w:val="0"/>
                    <w:autoSpaceDN w:val="0"/>
                    <w:adjustRightInd w:val="0"/>
                    <w:spacing w:line="300" w:lineRule="exact"/>
                    <w:jc w:val="center"/>
                    <w:rPr>
                      <w:rFonts w:hint="eastAsia"/>
                      <w:kern w:val="0"/>
                      <w:sz w:val="22"/>
                      <w:szCs w:val="22"/>
                    </w:rPr>
                  </w:pPr>
                </w:p>
              </w:tc>
            </w:tr>
          </w:tbl>
          <w:p w14:paraId="02993E8A">
            <w:pPr>
              <w:keepNext w:val="0"/>
              <w:keepLines w:val="0"/>
              <w:widowControl/>
              <w:suppressLineNumbers w:val="0"/>
              <w:jc w:val="left"/>
              <w:rPr>
                <w:rFonts w:hint="default" w:eastAsia="宋体"/>
                <w:b/>
                <w:color w:val="FF0000"/>
                <w:sz w:val="26"/>
                <w:szCs w:val="26"/>
                <w:lang w:val="en-US" w:eastAsia="zh-CN"/>
              </w:rPr>
            </w:pPr>
            <w:r>
              <w:rPr>
                <w:rFonts w:hint="eastAsia"/>
                <w:b w:val="0"/>
                <w:bCs/>
                <w:color w:val="FF0000"/>
                <w:sz w:val="22"/>
                <w:szCs w:val="22"/>
                <w:lang w:val="en-US" w:eastAsia="zh-CN"/>
              </w:rPr>
              <w:t>注：</w:t>
            </w:r>
            <w:r>
              <w:rPr>
                <w:rFonts w:hint="eastAsia" w:ascii="宋体" w:hAnsi="宋体" w:eastAsia="宋体" w:cs="宋体"/>
                <w:color w:val="FF0000"/>
                <w:kern w:val="0"/>
                <w:sz w:val="22"/>
                <w:szCs w:val="22"/>
                <w:lang w:val="en-US" w:eastAsia="zh-CN" w:bidi="ar"/>
              </w:rPr>
              <w:t>坐标原点为厂区中心位置，东西为</w:t>
            </w:r>
            <w:r>
              <w:rPr>
                <w:rFonts w:hint="default" w:ascii="Times New Roman" w:hAnsi="Times New Roman" w:eastAsia="宋体" w:cs="Times New Roman"/>
                <w:color w:val="FF0000"/>
                <w:kern w:val="0"/>
                <w:sz w:val="22"/>
                <w:szCs w:val="22"/>
                <w:lang w:val="en-US" w:eastAsia="zh-CN" w:bidi="ar"/>
              </w:rPr>
              <w:t>X</w:t>
            </w:r>
            <w:r>
              <w:rPr>
                <w:rFonts w:hint="eastAsia" w:ascii="宋体" w:hAnsi="宋体" w:eastAsia="宋体" w:cs="宋体"/>
                <w:color w:val="FF0000"/>
                <w:kern w:val="0"/>
                <w:sz w:val="22"/>
                <w:szCs w:val="22"/>
                <w:lang w:val="en-US" w:eastAsia="zh-CN" w:bidi="ar"/>
              </w:rPr>
              <w:t>轴，南北为</w:t>
            </w:r>
            <w:r>
              <w:rPr>
                <w:rFonts w:hint="default" w:ascii="Times New Roman" w:hAnsi="Times New Roman" w:eastAsia="宋体" w:cs="Times New Roman"/>
                <w:color w:val="FF0000"/>
                <w:kern w:val="0"/>
                <w:sz w:val="22"/>
                <w:szCs w:val="22"/>
                <w:lang w:val="en-US" w:eastAsia="zh-CN" w:bidi="ar"/>
              </w:rPr>
              <w:t>Y</w:t>
            </w:r>
            <w:r>
              <w:rPr>
                <w:rFonts w:hint="eastAsia" w:ascii="宋体" w:hAnsi="宋体" w:eastAsia="宋体" w:cs="宋体"/>
                <w:color w:val="FF0000"/>
                <w:kern w:val="0"/>
                <w:sz w:val="22"/>
                <w:szCs w:val="22"/>
                <w:lang w:val="en-US" w:eastAsia="zh-CN" w:bidi="ar"/>
              </w:rPr>
              <w:t>轴，垂直方向为</w:t>
            </w:r>
            <w:r>
              <w:rPr>
                <w:rFonts w:hint="default" w:ascii="Times New Roman" w:hAnsi="Times New Roman" w:eastAsia="宋体" w:cs="Times New Roman"/>
                <w:color w:val="FF0000"/>
                <w:kern w:val="0"/>
                <w:sz w:val="22"/>
                <w:szCs w:val="22"/>
                <w:lang w:val="en-US" w:eastAsia="zh-CN" w:bidi="ar"/>
              </w:rPr>
              <w:t>Z</w:t>
            </w:r>
            <w:r>
              <w:rPr>
                <w:rFonts w:hint="eastAsia" w:ascii="宋体" w:hAnsi="宋体" w:eastAsia="宋体" w:cs="宋体"/>
                <w:color w:val="FF0000"/>
                <w:kern w:val="0"/>
                <w:sz w:val="22"/>
                <w:szCs w:val="22"/>
                <w:lang w:val="en-US" w:eastAsia="zh-CN" w:bidi="ar"/>
              </w:rPr>
              <w:t>轴。</w:t>
            </w:r>
          </w:p>
          <w:p w14:paraId="50F3AF8B">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b/>
                <w:sz w:val="26"/>
                <w:szCs w:val="26"/>
              </w:rPr>
            </w:pPr>
            <w:r>
              <w:rPr>
                <w:b/>
                <w:sz w:val="26"/>
                <w:szCs w:val="26"/>
              </w:rPr>
              <w:t>3.2.3</w:t>
            </w:r>
            <w:r>
              <w:rPr>
                <w:rFonts w:hint="eastAsia"/>
                <w:b/>
                <w:sz w:val="26"/>
                <w:szCs w:val="26"/>
              </w:rPr>
              <w:t>声</w:t>
            </w:r>
            <w:r>
              <w:rPr>
                <w:b/>
                <w:sz w:val="26"/>
                <w:szCs w:val="26"/>
              </w:rPr>
              <w:t>环境</w:t>
            </w:r>
          </w:p>
          <w:p w14:paraId="0E5BD5B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left"/>
              <w:textAlignment w:val="auto"/>
              <w:rPr>
                <w:b/>
                <w:sz w:val="26"/>
                <w:szCs w:val="26"/>
              </w:rPr>
            </w:pPr>
            <w:r>
              <w:rPr>
                <w:rFonts w:hint="eastAsia" w:cs="Times New Roman"/>
                <w:color w:val="auto"/>
                <w:sz w:val="26"/>
                <w:szCs w:val="26"/>
                <w:lang w:val="en-US" w:eastAsia="zh-CN"/>
              </w:rPr>
              <w:t>根据现场调查，</w:t>
            </w:r>
            <w:r>
              <w:rPr>
                <w:rFonts w:hint="default" w:ascii="Times New Roman" w:hAnsi="Times New Roman" w:cs="Times New Roman"/>
                <w:color w:val="auto"/>
                <w:sz w:val="26"/>
                <w:szCs w:val="26"/>
                <w:lang w:val="en-US" w:eastAsia="zh-CN"/>
              </w:rPr>
              <w:t>项目厂界外50m范围内无声环境保护目标。</w:t>
            </w:r>
          </w:p>
          <w:p w14:paraId="376B1FF1">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b/>
                <w:sz w:val="26"/>
                <w:szCs w:val="26"/>
              </w:rPr>
            </w:pPr>
            <w:r>
              <w:rPr>
                <w:b/>
                <w:sz w:val="26"/>
                <w:szCs w:val="26"/>
              </w:rPr>
              <w:t>3.2.4</w:t>
            </w:r>
            <w:r>
              <w:rPr>
                <w:rFonts w:hint="eastAsia"/>
                <w:b/>
                <w:sz w:val="26"/>
                <w:szCs w:val="26"/>
              </w:rPr>
              <w:t>地下水</w:t>
            </w:r>
            <w:r>
              <w:rPr>
                <w:b/>
                <w:sz w:val="26"/>
                <w:szCs w:val="26"/>
              </w:rPr>
              <w:t>环境</w:t>
            </w:r>
          </w:p>
          <w:p w14:paraId="4A1E131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bCs/>
                <w:sz w:val="26"/>
                <w:szCs w:val="26"/>
              </w:rPr>
            </w:pPr>
            <w:r>
              <w:rPr>
                <w:rFonts w:hint="eastAsia"/>
                <w:bCs/>
                <w:sz w:val="26"/>
                <w:szCs w:val="26"/>
              </w:rPr>
              <w:t>项目</w:t>
            </w:r>
            <w:r>
              <w:rPr>
                <w:rFonts w:hint="eastAsia"/>
                <w:bCs/>
                <w:sz w:val="26"/>
                <w:szCs w:val="26"/>
                <w:lang w:val="en-US" w:eastAsia="zh-CN"/>
              </w:rPr>
              <w:t>位于重庆市九龙坡区华福大道北段400号，</w:t>
            </w:r>
            <w:r>
              <w:rPr>
                <w:rFonts w:hint="eastAsia"/>
                <w:bCs/>
                <w:sz w:val="26"/>
                <w:szCs w:val="26"/>
              </w:rPr>
              <w:t>厂界外5</w:t>
            </w:r>
            <w:r>
              <w:rPr>
                <w:bCs/>
                <w:sz w:val="26"/>
                <w:szCs w:val="26"/>
              </w:rPr>
              <w:t>00m</w:t>
            </w:r>
            <w:r>
              <w:rPr>
                <w:rFonts w:hint="eastAsia"/>
                <w:bCs/>
                <w:sz w:val="26"/>
                <w:szCs w:val="26"/>
              </w:rPr>
              <w:t>范围内无地下水集中式饮用水水源和热水、矿泉水、温泉等特殊地下水资源。</w:t>
            </w:r>
          </w:p>
          <w:p w14:paraId="0F337B74">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b/>
                <w:sz w:val="26"/>
                <w:szCs w:val="26"/>
              </w:rPr>
            </w:pPr>
            <w:r>
              <w:rPr>
                <w:b/>
                <w:sz w:val="26"/>
                <w:szCs w:val="26"/>
              </w:rPr>
              <w:t>3.2.5</w:t>
            </w:r>
            <w:r>
              <w:rPr>
                <w:rFonts w:hint="eastAsia"/>
                <w:b/>
                <w:sz w:val="26"/>
                <w:szCs w:val="26"/>
              </w:rPr>
              <w:t>生态</w:t>
            </w:r>
            <w:r>
              <w:rPr>
                <w:b/>
                <w:sz w:val="26"/>
                <w:szCs w:val="26"/>
              </w:rPr>
              <w:t>环境</w:t>
            </w:r>
          </w:p>
          <w:p w14:paraId="1C0381AA">
            <w:pPr>
              <w:keepNext w:val="0"/>
              <w:keepLines w:val="0"/>
              <w:pageBreakBefore w:val="0"/>
              <w:widowControl w:val="0"/>
              <w:kinsoku/>
              <w:wordWrap/>
              <w:overflowPunct/>
              <w:topLinePunct w:val="0"/>
              <w:autoSpaceDE/>
              <w:autoSpaceDN/>
              <w:bidi w:val="0"/>
              <w:spacing w:line="460" w:lineRule="exact"/>
              <w:ind w:firstLine="520" w:firstLineChars="200"/>
              <w:jc w:val="both"/>
              <w:textAlignment w:val="auto"/>
              <w:outlineLvl w:val="0"/>
              <w:rPr>
                <w:rFonts w:hint="eastAsia"/>
                <w:sz w:val="26"/>
                <w:szCs w:val="26"/>
              </w:rPr>
            </w:pPr>
            <w:r>
              <w:rPr>
                <w:rFonts w:hint="eastAsia"/>
                <w:bCs/>
                <w:sz w:val="26"/>
                <w:szCs w:val="26"/>
              </w:rPr>
              <w:t>本项目为加油站</w:t>
            </w:r>
            <w:r>
              <w:rPr>
                <w:rFonts w:hint="eastAsia"/>
                <w:bCs/>
                <w:sz w:val="26"/>
                <w:szCs w:val="26"/>
                <w:lang w:val="en-US" w:eastAsia="zh-CN"/>
              </w:rPr>
              <w:t>改</w:t>
            </w:r>
            <w:r>
              <w:rPr>
                <w:rFonts w:hint="eastAsia"/>
                <w:bCs/>
                <w:sz w:val="26"/>
                <w:szCs w:val="26"/>
              </w:rPr>
              <w:t>扩建项目，在保留原有站房的基础上，对油罐区及输油管线、加油机等设备设施更新改造，未新增用地</w:t>
            </w:r>
            <w:r>
              <w:rPr>
                <w:rFonts w:hint="default" w:ascii="Times New Roman" w:hAnsi="Times New Roman" w:eastAsia="宋体" w:cs="Times New Roman"/>
                <w:b w:val="0"/>
                <w:bCs w:val="0"/>
                <w:color w:val="auto"/>
                <w:sz w:val="26"/>
                <w:szCs w:val="26"/>
                <w:lang w:val="en-US" w:eastAsia="zh-CN"/>
              </w:rPr>
              <w:t>。根据现场调查，项目所在地为城市生态系统，周边植被单一，生态结构较简单、植被稀疏、多为人工植被</w:t>
            </w:r>
            <w:r>
              <w:rPr>
                <w:rFonts w:hint="eastAsia" w:eastAsia="宋体" w:cs="Times New Roman"/>
                <w:b w:val="0"/>
                <w:bCs w:val="0"/>
                <w:color w:val="auto"/>
                <w:sz w:val="26"/>
                <w:szCs w:val="26"/>
                <w:lang w:val="en-US" w:eastAsia="zh-CN"/>
              </w:rPr>
              <w:t>、</w:t>
            </w:r>
            <w:r>
              <w:rPr>
                <w:rFonts w:hint="default" w:ascii="Times New Roman" w:hAnsi="Times New Roman" w:eastAsia="宋体" w:cs="Times New Roman"/>
                <w:b w:val="0"/>
                <w:bCs w:val="0"/>
                <w:color w:val="auto"/>
                <w:sz w:val="26"/>
                <w:szCs w:val="26"/>
                <w:lang w:val="en-US" w:eastAsia="zh-CN"/>
              </w:rPr>
              <w:t>未发现珍稀濒危保护物种，用地范围内</w:t>
            </w:r>
            <w:r>
              <w:rPr>
                <w:rFonts w:hint="eastAsia" w:eastAsia="宋体" w:cs="Times New Roman"/>
                <w:b w:val="0"/>
                <w:bCs w:val="0"/>
                <w:color w:val="auto"/>
                <w:sz w:val="26"/>
                <w:szCs w:val="26"/>
                <w:lang w:val="en-US" w:eastAsia="zh-CN"/>
              </w:rPr>
              <w:t>不涉及</w:t>
            </w:r>
            <w:r>
              <w:rPr>
                <w:rFonts w:hint="default" w:ascii="Times New Roman" w:hAnsi="Times New Roman" w:eastAsia="宋体" w:cs="Times New Roman"/>
                <w:b w:val="0"/>
                <w:bCs w:val="0"/>
                <w:color w:val="auto"/>
                <w:sz w:val="26"/>
                <w:szCs w:val="26"/>
                <w:lang w:val="en-US" w:eastAsia="zh-CN"/>
              </w:rPr>
              <w:t>国家公园、自然保护区、世界自然遗产、</w:t>
            </w:r>
            <w:r>
              <w:rPr>
                <w:rFonts w:hint="eastAsia" w:eastAsia="宋体" w:cs="Times New Roman"/>
                <w:b w:val="0"/>
                <w:bCs w:val="0"/>
                <w:color w:val="auto"/>
                <w:sz w:val="26"/>
                <w:szCs w:val="26"/>
                <w:lang w:val="en-US" w:eastAsia="zh-CN"/>
              </w:rPr>
              <w:t>风景名胜区、</w:t>
            </w:r>
            <w:r>
              <w:rPr>
                <w:rFonts w:hint="default" w:ascii="Times New Roman" w:hAnsi="Times New Roman" w:eastAsia="宋体" w:cs="Times New Roman"/>
                <w:b w:val="0"/>
                <w:bCs w:val="0"/>
                <w:color w:val="auto"/>
                <w:sz w:val="26"/>
                <w:szCs w:val="26"/>
                <w:lang w:val="en-US" w:eastAsia="zh-CN"/>
              </w:rPr>
              <w:t>重要生境</w:t>
            </w:r>
            <w:r>
              <w:rPr>
                <w:rFonts w:hint="eastAsia" w:eastAsia="宋体" w:cs="Times New Roman"/>
                <w:b w:val="0"/>
                <w:bCs w:val="0"/>
                <w:color w:val="auto"/>
                <w:sz w:val="26"/>
                <w:szCs w:val="26"/>
                <w:lang w:val="en-US" w:eastAsia="zh-CN"/>
              </w:rPr>
              <w:t>等</w:t>
            </w:r>
            <w:r>
              <w:rPr>
                <w:rFonts w:hint="default" w:ascii="Times New Roman" w:hAnsi="Times New Roman" w:eastAsia="宋体" w:cs="Times New Roman"/>
                <w:b w:val="0"/>
                <w:bCs w:val="0"/>
                <w:color w:val="auto"/>
                <w:sz w:val="26"/>
                <w:szCs w:val="26"/>
                <w:lang w:val="en-US" w:eastAsia="zh-CN"/>
              </w:rPr>
              <w:t>生态环境保护目标。</w:t>
            </w:r>
          </w:p>
        </w:tc>
      </w:tr>
      <w:tr w14:paraId="72CD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6454174E">
            <w:pPr>
              <w:adjustRightInd w:val="0"/>
              <w:snapToGrid w:val="0"/>
              <w:jc w:val="center"/>
              <w:rPr>
                <w:kern w:val="0"/>
                <w:sz w:val="26"/>
                <w:szCs w:val="26"/>
              </w:rPr>
            </w:pPr>
            <w:r>
              <w:rPr>
                <w:kern w:val="0"/>
                <w:sz w:val="26"/>
                <w:szCs w:val="26"/>
              </w:rPr>
              <w:t>污染</w:t>
            </w:r>
          </w:p>
          <w:p w14:paraId="5FAD93EC">
            <w:pPr>
              <w:adjustRightInd w:val="0"/>
              <w:snapToGrid w:val="0"/>
              <w:jc w:val="center"/>
              <w:rPr>
                <w:kern w:val="0"/>
                <w:sz w:val="26"/>
                <w:szCs w:val="26"/>
              </w:rPr>
            </w:pPr>
            <w:r>
              <w:rPr>
                <w:kern w:val="0"/>
                <w:sz w:val="26"/>
                <w:szCs w:val="26"/>
              </w:rPr>
              <w:t>物排</w:t>
            </w:r>
          </w:p>
          <w:p w14:paraId="63CD5B20">
            <w:pPr>
              <w:adjustRightInd w:val="0"/>
              <w:snapToGrid w:val="0"/>
              <w:jc w:val="center"/>
              <w:rPr>
                <w:kern w:val="0"/>
                <w:sz w:val="26"/>
                <w:szCs w:val="26"/>
              </w:rPr>
            </w:pPr>
            <w:r>
              <w:rPr>
                <w:kern w:val="0"/>
                <w:sz w:val="26"/>
                <w:szCs w:val="26"/>
              </w:rPr>
              <w:t>放控</w:t>
            </w:r>
          </w:p>
          <w:p w14:paraId="03712865">
            <w:pPr>
              <w:adjustRightInd w:val="0"/>
              <w:snapToGrid w:val="0"/>
              <w:jc w:val="center"/>
              <w:rPr>
                <w:kern w:val="0"/>
                <w:sz w:val="26"/>
                <w:szCs w:val="26"/>
              </w:rPr>
            </w:pPr>
            <w:r>
              <w:rPr>
                <w:kern w:val="0"/>
                <w:sz w:val="26"/>
                <w:szCs w:val="26"/>
              </w:rPr>
              <w:t>制标</w:t>
            </w:r>
          </w:p>
          <w:p w14:paraId="79068DEB">
            <w:pPr>
              <w:jc w:val="center"/>
              <w:outlineLvl w:val="0"/>
              <w:rPr>
                <w:kern w:val="0"/>
                <w:sz w:val="26"/>
                <w:szCs w:val="26"/>
              </w:rPr>
            </w:pPr>
            <w:r>
              <w:rPr>
                <w:kern w:val="0"/>
                <w:sz w:val="26"/>
                <w:szCs w:val="26"/>
              </w:rPr>
              <w:t>准</w:t>
            </w:r>
          </w:p>
        </w:tc>
        <w:tc>
          <w:tcPr>
            <w:tcW w:w="8270" w:type="dxa"/>
          </w:tcPr>
          <w:p w14:paraId="7EB82F43">
            <w:pPr>
              <w:adjustRightInd w:val="0"/>
              <w:snapToGrid w:val="0"/>
              <w:spacing w:line="460" w:lineRule="exact"/>
              <w:jc w:val="left"/>
              <w:rPr>
                <w:b/>
                <w:bCs/>
                <w:sz w:val="26"/>
                <w:szCs w:val="26"/>
              </w:rPr>
            </w:pPr>
            <w:r>
              <w:rPr>
                <w:b/>
                <w:bCs/>
                <w:sz w:val="26"/>
                <w:szCs w:val="26"/>
              </w:rPr>
              <w:t>3.3污染物排放控制标准</w:t>
            </w:r>
          </w:p>
          <w:p w14:paraId="0A0FFD24">
            <w:pPr>
              <w:adjustRightInd w:val="0"/>
              <w:snapToGrid w:val="0"/>
              <w:spacing w:line="460" w:lineRule="exact"/>
              <w:jc w:val="left"/>
              <w:rPr>
                <w:b/>
                <w:sz w:val="26"/>
                <w:szCs w:val="26"/>
              </w:rPr>
            </w:pPr>
            <w:r>
              <w:rPr>
                <w:b/>
                <w:sz w:val="26"/>
                <w:szCs w:val="26"/>
              </w:rPr>
              <w:t>3.3.1大气污染物排放标准</w:t>
            </w:r>
          </w:p>
          <w:p w14:paraId="24D4150D">
            <w:pPr>
              <w:widowControl/>
              <w:adjustRightInd w:val="0"/>
              <w:snapToGrid w:val="0"/>
              <w:spacing w:line="460" w:lineRule="exact"/>
              <w:ind w:firstLine="520" w:firstLineChars="200"/>
              <w:rPr>
                <w:bCs/>
                <w:snapToGrid w:val="0"/>
                <w:kern w:val="0"/>
                <w:sz w:val="26"/>
                <w:szCs w:val="26"/>
              </w:rPr>
            </w:pPr>
            <w:r>
              <w:rPr>
                <w:rFonts w:hint="eastAsia"/>
                <w:sz w:val="26"/>
                <w:szCs w:val="26"/>
              </w:rPr>
              <w:t>本项目位于重庆市</w:t>
            </w:r>
            <w:r>
              <w:rPr>
                <w:rFonts w:hint="eastAsia"/>
                <w:sz w:val="26"/>
                <w:szCs w:val="26"/>
                <w:lang w:val="en-US" w:eastAsia="zh-CN"/>
              </w:rPr>
              <w:t>九龙坡</w:t>
            </w:r>
            <w:r>
              <w:rPr>
                <w:rFonts w:hint="eastAsia"/>
                <w:sz w:val="26"/>
                <w:szCs w:val="26"/>
              </w:rPr>
              <w:t>区，项目营运期无组织排放的非甲烷总烃执行《加</w:t>
            </w:r>
            <w:r>
              <w:rPr>
                <w:sz w:val="26"/>
                <w:szCs w:val="26"/>
              </w:rPr>
              <w:t>油站大气污染物排放标准》（GB 20952-2020）中表3排放限值，详见表3.3-1；同时站区内非甲烷总烃无组织排放控制点浓度执行《挥发性有机物无组织排放控制标准》（GB37822-2019）附录A中特别排放限值，详见表3.3-2。</w:t>
            </w:r>
          </w:p>
          <w:p w14:paraId="6E534E76">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rPr>
            </w:pPr>
            <w:r>
              <w:rPr>
                <w:b w:val="0"/>
                <w:bCs/>
                <w:color w:val="auto"/>
                <w:sz w:val="22"/>
                <w:szCs w:val="22"/>
              </w:rPr>
              <w:t>表3.3</w:t>
            </w:r>
            <w:r>
              <w:rPr>
                <w:rFonts w:hint="eastAsia"/>
                <w:b w:val="0"/>
                <w:bCs/>
                <w:color w:val="auto"/>
                <w:sz w:val="22"/>
                <w:szCs w:val="22"/>
              </w:rPr>
              <w:t>-</w:t>
            </w:r>
            <w:r>
              <w:rPr>
                <w:b w:val="0"/>
                <w:bCs/>
                <w:color w:val="auto"/>
                <w:sz w:val="22"/>
                <w:szCs w:val="22"/>
              </w:rPr>
              <w:t>1</w:t>
            </w:r>
            <w:r>
              <w:rPr>
                <w:rFonts w:hint="eastAsia"/>
                <w:b w:val="0"/>
                <w:bCs/>
                <w:color w:val="auto"/>
                <w:sz w:val="22"/>
                <w:szCs w:val="22"/>
                <w:lang w:val="en-US" w:eastAsia="zh-CN"/>
              </w:rPr>
              <w:t xml:space="preserve">  </w:t>
            </w:r>
            <w:r>
              <w:rPr>
                <w:rFonts w:hint="eastAsia"/>
                <w:b w:val="0"/>
                <w:bCs/>
                <w:color w:val="auto"/>
                <w:sz w:val="22"/>
                <w:szCs w:val="22"/>
              </w:rPr>
              <w:t>《加油站大气污染物排放标准》（GB 20952-2020）</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067"/>
              <w:gridCol w:w="2211"/>
              <w:gridCol w:w="2382"/>
            </w:tblGrid>
            <w:tr w14:paraId="2A44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324" w:type="dxa"/>
                  <w:vAlign w:val="center"/>
                </w:tcPr>
                <w:p w14:paraId="700B0182">
                  <w:pPr>
                    <w:pStyle w:val="71"/>
                    <w:rPr>
                      <w:bCs/>
                      <w:color w:val="auto"/>
                    </w:rPr>
                  </w:pPr>
                  <w:r>
                    <w:rPr>
                      <w:rFonts w:hint="eastAsia"/>
                      <w:bCs/>
                      <w:color w:val="auto"/>
                    </w:rPr>
                    <w:t>污染物项目</w:t>
                  </w:r>
                </w:p>
              </w:tc>
              <w:tc>
                <w:tcPr>
                  <w:tcW w:w="1985" w:type="dxa"/>
                  <w:vAlign w:val="center"/>
                </w:tcPr>
                <w:p w14:paraId="41CF35A8">
                  <w:pPr>
                    <w:pStyle w:val="71"/>
                    <w:rPr>
                      <w:bCs/>
                      <w:color w:val="auto"/>
                    </w:rPr>
                  </w:pPr>
                  <w:r>
                    <w:rPr>
                      <w:rFonts w:hint="eastAsia"/>
                      <w:bCs/>
                      <w:color w:val="auto"/>
                    </w:rPr>
                    <w:t>排放限值（mg/m</w:t>
                  </w:r>
                  <w:r>
                    <w:rPr>
                      <w:rFonts w:hint="eastAsia"/>
                      <w:bCs/>
                      <w:color w:val="auto"/>
                      <w:vertAlign w:val="superscript"/>
                    </w:rPr>
                    <w:t>3</w:t>
                  </w:r>
                  <w:r>
                    <w:rPr>
                      <w:rFonts w:hint="eastAsia"/>
                      <w:bCs/>
                      <w:color w:val="auto"/>
                    </w:rPr>
                    <w:t>）</w:t>
                  </w:r>
                </w:p>
              </w:tc>
              <w:tc>
                <w:tcPr>
                  <w:tcW w:w="2126" w:type="dxa"/>
                  <w:vAlign w:val="center"/>
                </w:tcPr>
                <w:p w14:paraId="40701A90">
                  <w:pPr>
                    <w:pStyle w:val="71"/>
                    <w:rPr>
                      <w:bCs/>
                      <w:color w:val="auto"/>
                    </w:rPr>
                  </w:pPr>
                  <w:r>
                    <w:rPr>
                      <w:rFonts w:hint="eastAsia"/>
                      <w:bCs/>
                      <w:color w:val="auto"/>
                    </w:rPr>
                    <w:t>限值含义</w:t>
                  </w:r>
                </w:p>
              </w:tc>
              <w:tc>
                <w:tcPr>
                  <w:tcW w:w="2290" w:type="dxa"/>
                  <w:vAlign w:val="center"/>
                </w:tcPr>
                <w:p w14:paraId="6CB40850">
                  <w:pPr>
                    <w:pStyle w:val="71"/>
                    <w:rPr>
                      <w:bCs/>
                      <w:color w:val="auto"/>
                    </w:rPr>
                  </w:pPr>
                  <w:r>
                    <w:rPr>
                      <w:rFonts w:hint="eastAsia"/>
                      <w:bCs/>
                      <w:color w:val="auto"/>
                    </w:rPr>
                    <w:t>无组织排放监控位置</w:t>
                  </w:r>
                </w:p>
              </w:tc>
            </w:tr>
            <w:tr w14:paraId="3912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Align w:val="center"/>
                </w:tcPr>
                <w:p w14:paraId="648AC59F">
                  <w:pPr>
                    <w:pStyle w:val="71"/>
                    <w:rPr>
                      <w:bCs/>
                      <w:color w:val="auto"/>
                    </w:rPr>
                  </w:pPr>
                  <w:r>
                    <w:rPr>
                      <w:rFonts w:hint="eastAsia"/>
                      <w:bCs/>
                      <w:color w:val="auto"/>
                    </w:rPr>
                    <w:t>非甲烷总烃</w:t>
                  </w:r>
                </w:p>
              </w:tc>
              <w:tc>
                <w:tcPr>
                  <w:tcW w:w="1985" w:type="dxa"/>
                  <w:vAlign w:val="center"/>
                </w:tcPr>
                <w:p w14:paraId="36BACE3B">
                  <w:pPr>
                    <w:pStyle w:val="71"/>
                    <w:rPr>
                      <w:bCs/>
                      <w:color w:val="auto"/>
                    </w:rPr>
                  </w:pPr>
                  <w:r>
                    <w:rPr>
                      <w:rFonts w:hint="eastAsia"/>
                      <w:bCs/>
                      <w:color w:val="auto"/>
                    </w:rPr>
                    <w:t>4</w:t>
                  </w:r>
                  <w:r>
                    <w:rPr>
                      <w:bCs/>
                      <w:color w:val="auto"/>
                    </w:rPr>
                    <w:t>.0</w:t>
                  </w:r>
                </w:p>
              </w:tc>
              <w:tc>
                <w:tcPr>
                  <w:tcW w:w="2126" w:type="dxa"/>
                  <w:vAlign w:val="center"/>
                </w:tcPr>
                <w:p w14:paraId="0A802B6C">
                  <w:pPr>
                    <w:pStyle w:val="71"/>
                    <w:rPr>
                      <w:bCs/>
                      <w:color w:val="auto"/>
                    </w:rPr>
                  </w:pPr>
                  <w:r>
                    <w:rPr>
                      <w:rFonts w:hint="eastAsia"/>
                      <w:bCs/>
                      <w:color w:val="auto"/>
                    </w:rPr>
                    <w:t>监控点处1h平均浓度值</w:t>
                  </w:r>
                </w:p>
              </w:tc>
              <w:tc>
                <w:tcPr>
                  <w:tcW w:w="2290" w:type="dxa"/>
                  <w:vAlign w:val="center"/>
                </w:tcPr>
                <w:p w14:paraId="543A8CD2">
                  <w:pPr>
                    <w:pStyle w:val="71"/>
                    <w:rPr>
                      <w:bCs/>
                      <w:color w:val="auto"/>
                    </w:rPr>
                  </w:pPr>
                  <w:r>
                    <w:rPr>
                      <w:rFonts w:hint="eastAsia"/>
                      <w:bCs/>
                      <w:color w:val="auto"/>
                    </w:rPr>
                    <w:t>参照H</w:t>
                  </w:r>
                  <w:r>
                    <w:rPr>
                      <w:bCs/>
                      <w:color w:val="auto"/>
                    </w:rPr>
                    <w:t>J/T55</w:t>
                  </w:r>
                  <w:r>
                    <w:rPr>
                      <w:rFonts w:hint="eastAsia"/>
                      <w:bCs/>
                      <w:color w:val="auto"/>
                    </w:rPr>
                    <w:t>规定</w:t>
                  </w:r>
                </w:p>
              </w:tc>
            </w:tr>
          </w:tbl>
          <w:p w14:paraId="6E09DB7D">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sz w:val="22"/>
                <w:szCs w:val="21"/>
              </w:rPr>
            </w:pPr>
            <w:r>
              <w:rPr>
                <w:b w:val="0"/>
                <w:bCs/>
                <w:color w:val="auto"/>
                <w:sz w:val="22"/>
                <w:szCs w:val="22"/>
              </w:rPr>
              <w:t>表3.3</w:t>
            </w:r>
            <w:r>
              <w:rPr>
                <w:rFonts w:hint="eastAsia"/>
                <w:b w:val="0"/>
                <w:bCs/>
                <w:color w:val="auto"/>
                <w:sz w:val="22"/>
                <w:szCs w:val="22"/>
              </w:rPr>
              <w:t>-</w:t>
            </w:r>
            <w:r>
              <w:rPr>
                <w:b w:val="0"/>
                <w:bCs/>
                <w:color w:val="auto"/>
                <w:sz w:val="22"/>
                <w:szCs w:val="22"/>
              </w:rPr>
              <w:t>2</w:t>
            </w:r>
            <w:r>
              <w:rPr>
                <w:rFonts w:hint="eastAsia"/>
                <w:b w:val="0"/>
                <w:bCs/>
                <w:color w:val="auto"/>
                <w:sz w:val="22"/>
                <w:szCs w:val="22"/>
                <w:lang w:val="en-US" w:eastAsia="zh-CN"/>
              </w:rPr>
              <w:t xml:space="preserve">  </w:t>
            </w:r>
            <w:r>
              <w:rPr>
                <w:rFonts w:hint="eastAsia"/>
                <w:b w:val="0"/>
                <w:bCs/>
                <w:color w:val="auto"/>
                <w:sz w:val="22"/>
                <w:szCs w:val="22"/>
              </w:rPr>
              <w:t>《挥发性有机物无组织排放控制标准》（GB37822-2019）</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27"/>
              <w:gridCol w:w="2652"/>
              <w:gridCol w:w="2381"/>
            </w:tblGrid>
            <w:tr w14:paraId="1445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324" w:type="dxa"/>
                  <w:vAlign w:val="center"/>
                </w:tcPr>
                <w:p w14:paraId="56BF30BD">
                  <w:pPr>
                    <w:pStyle w:val="71"/>
                    <w:rPr>
                      <w:bCs/>
                      <w:color w:val="auto"/>
                    </w:rPr>
                  </w:pPr>
                  <w:r>
                    <w:rPr>
                      <w:rFonts w:hint="eastAsia"/>
                      <w:bCs/>
                      <w:color w:val="auto"/>
                    </w:rPr>
                    <w:t>污染物项目</w:t>
                  </w:r>
                </w:p>
              </w:tc>
              <w:tc>
                <w:tcPr>
                  <w:tcW w:w="1560" w:type="dxa"/>
                  <w:vAlign w:val="center"/>
                </w:tcPr>
                <w:p w14:paraId="71608B2E">
                  <w:pPr>
                    <w:pStyle w:val="71"/>
                    <w:rPr>
                      <w:bCs/>
                      <w:color w:val="auto"/>
                    </w:rPr>
                  </w:pPr>
                  <w:r>
                    <w:rPr>
                      <w:rFonts w:hint="eastAsia"/>
                      <w:bCs/>
                      <w:color w:val="auto"/>
                    </w:rPr>
                    <w:t>特别排放限值（mg/m</w:t>
                  </w:r>
                  <w:r>
                    <w:rPr>
                      <w:rFonts w:hint="eastAsia"/>
                      <w:bCs/>
                      <w:color w:val="auto"/>
                      <w:vertAlign w:val="superscript"/>
                    </w:rPr>
                    <w:t>3</w:t>
                  </w:r>
                  <w:r>
                    <w:rPr>
                      <w:rFonts w:hint="eastAsia"/>
                      <w:bCs/>
                      <w:color w:val="auto"/>
                    </w:rPr>
                    <w:t>）</w:t>
                  </w:r>
                </w:p>
              </w:tc>
              <w:tc>
                <w:tcPr>
                  <w:tcW w:w="2551" w:type="dxa"/>
                  <w:vAlign w:val="center"/>
                </w:tcPr>
                <w:p w14:paraId="43E7AAE5">
                  <w:pPr>
                    <w:pStyle w:val="71"/>
                    <w:rPr>
                      <w:bCs/>
                      <w:color w:val="auto"/>
                    </w:rPr>
                  </w:pPr>
                  <w:r>
                    <w:rPr>
                      <w:rFonts w:hint="eastAsia"/>
                      <w:bCs/>
                      <w:color w:val="auto"/>
                    </w:rPr>
                    <w:t>限值含义</w:t>
                  </w:r>
                </w:p>
              </w:tc>
              <w:tc>
                <w:tcPr>
                  <w:tcW w:w="2290" w:type="dxa"/>
                  <w:vAlign w:val="center"/>
                </w:tcPr>
                <w:p w14:paraId="28E3F9E4">
                  <w:pPr>
                    <w:pStyle w:val="71"/>
                    <w:rPr>
                      <w:bCs/>
                      <w:color w:val="auto"/>
                    </w:rPr>
                  </w:pPr>
                  <w:r>
                    <w:rPr>
                      <w:rFonts w:hint="eastAsia"/>
                      <w:bCs/>
                      <w:color w:val="auto"/>
                    </w:rPr>
                    <w:t>无组织排放监控位置</w:t>
                  </w:r>
                </w:p>
              </w:tc>
            </w:tr>
            <w:tr w14:paraId="402A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restart"/>
                  <w:vAlign w:val="center"/>
                </w:tcPr>
                <w:p w14:paraId="031907AF">
                  <w:pPr>
                    <w:pStyle w:val="71"/>
                    <w:rPr>
                      <w:bCs/>
                      <w:color w:val="auto"/>
                    </w:rPr>
                  </w:pPr>
                  <w:r>
                    <w:rPr>
                      <w:rFonts w:hint="eastAsia"/>
                      <w:bCs/>
                      <w:color w:val="auto"/>
                    </w:rPr>
                    <w:t>非甲烷总烃</w:t>
                  </w:r>
                </w:p>
              </w:tc>
              <w:tc>
                <w:tcPr>
                  <w:tcW w:w="1560" w:type="dxa"/>
                  <w:vAlign w:val="center"/>
                </w:tcPr>
                <w:p w14:paraId="5651F060">
                  <w:pPr>
                    <w:pStyle w:val="71"/>
                    <w:rPr>
                      <w:bCs/>
                      <w:color w:val="auto"/>
                    </w:rPr>
                  </w:pPr>
                  <w:r>
                    <w:rPr>
                      <w:bCs/>
                      <w:color w:val="auto"/>
                    </w:rPr>
                    <w:t>6</w:t>
                  </w:r>
                </w:p>
              </w:tc>
              <w:tc>
                <w:tcPr>
                  <w:tcW w:w="2551" w:type="dxa"/>
                  <w:vAlign w:val="center"/>
                </w:tcPr>
                <w:p w14:paraId="1F7B215E">
                  <w:pPr>
                    <w:pStyle w:val="71"/>
                    <w:rPr>
                      <w:bCs/>
                      <w:color w:val="auto"/>
                    </w:rPr>
                  </w:pPr>
                  <w:r>
                    <w:rPr>
                      <w:rFonts w:hint="eastAsia"/>
                      <w:bCs/>
                      <w:color w:val="auto"/>
                    </w:rPr>
                    <w:t>监控点处1h平均浓度值</w:t>
                  </w:r>
                </w:p>
              </w:tc>
              <w:tc>
                <w:tcPr>
                  <w:tcW w:w="2290" w:type="dxa"/>
                  <w:vMerge w:val="restart"/>
                  <w:vAlign w:val="center"/>
                </w:tcPr>
                <w:p w14:paraId="065F53F3">
                  <w:pPr>
                    <w:pStyle w:val="71"/>
                    <w:rPr>
                      <w:bCs/>
                      <w:color w:val="auto"/>
                    </w:rPr>
                  </w:pPr>
                  <w:r>
                    <w:rPr>
                      <w:rFonts w:hint="eastAsia"/>
                      <w:bCs/>
                      <w:color w:val="auto"/>
                      <w:lang w:val="en-US" w:eastAsia="zh-CN"/>
                    </w:rPr>
                    <w:t>卸油区旁</w:t>
                  </w:r>
                  <w:r>
                    <w:rPr>
                      <w:rFonts w:hint="eastAsia"/>
                      <w:bCs/>
                      <w:color w:val="auto"/>
                    </w:rPr>
                    <w:t>通气立管处设置监控点</w:t>
                  </w:r>
                </w:p>
              </w:tc>
            </w:tr>
            <w:tr w14:paraId="001A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vAlign w:val="center"/>
                </w:tcPr>
                <w:p w14:paraId="02F00CF5">
                  <w:pPr>
                    <w:pStyle w:val="71"/>
                    <w:rPr>
                      <w:bCs/>
                      <w:color w:val="auto"/>
                    </w:rPr>
                  </w:pPr>
                </w:p>
              </w:tc>
              <w:tc>
                <w:tcPr>
                  <w:tcW w:w="1560" w:type="dxa"/>
                  <w:vAlign w:val="center"/>
                </w:tcPr>
                <w:p w14:paraId="218A7E46">
                  <w:pPr>
                    <w:pStyle w:val="71"/>
                    <w:rPr>
                      <w:bCs/>
                      <w:color w:val="auto"/>
                    </w:rPr>
                  </w:pPr>
                  <w:r>
                    <w:rPr>
                      <w:rFonts w:hint="eastAsia"/>
                      <w:bCs/>
                      <w:color w:val="auto"/>
                    </w:rPr>
                    <w:t>2</w:t>
                  </w:r>
                  <w:r>
                    <w:rPr>
                      <w:bCs/>
                      <w:color w:val="auto"/>
                    </w:rPr>
                    <w:t>0</w:t>
                  </w:r>
                </w:p>
              </w:tc>
              <w:tc>
                <w:tcPr>
                  <w:tcW w:w="2551" w:type="dxa"/>
                  <w:vAlign w:val="center"/>
                </w:tcPr>
                <w:p w14:paraId="4ED0A876">
                  <w:pPr>
                    <w:pStyle w:val="71"/>
                    <w:rPr>
                      <w:bCs/>
                      <w:color w:val="auto"/>
                    </w:rPr>
                  </w:pPr>
                  <w:r>
                    <w:rPr>
                      <w:rFonts w:hint="eastAsia"/>
                      <w:bCs/>
                      <w:color w:val="auto"/>
                    </w:rPr>
                    <w:t>监控点处任意一次浓度值</w:t>
                  </w:r>
                </w:p>
              </w:tc>
              <w:tc>
                <w:tcPr>
                  <w:tcW w:w="2290" w:type="dxa"/>
                  <w:vMerge w:val="continue"/>
                  <w:vAlign w:val="center"/>
                </w:tcPr>
                <w:p w14:paraId="21116BD0">
                  <w:pPr>
                    <w:pStyle w:val="71"/>
                    <w:rPr>
                      <w:bCs/>
                      <w:color w:val="auto"/>
                    </w:rPr>
                  </w:pPr>
                </w:p>
              </w:tc>
            </w:tr>
          </w:tbl>
          <w:p w14:paraId="6239E02D">
            <w:pPr>
              <w:widowControl/>
              <w:adjustRightInd w:val="0"/>
              <w:snapToGrid w:val="0"/>
              <w:spacing w:line="460" w:lineRule="exact"/>
              <w:ind w:firstLine="520" w:firstLineChars="200"/>
              <w:rPr>
                <w:sz w:val="26"/>
                <w:szCs w:val="26"/>
              </w:rPr>
            </w:pPr>
            <w:r>
              <w:rPr>
                <w:rFonts w:hint="eastAsia"/>
                <w:sz w:val="26"/>
                <w:szCs w:val="26"/>
              </w:rPr>
              <w:t>根据《加油站大气污染物排放标准》（GB 20952-2020），加油站油气回收装置的液阻、密闭性、气液比也有相应的标准要求，本项目</w:t>
            </w:r>
            <w:r>
              <w:rPr>
                <w:sz w:val="26"/>
                <w:szCs w:val="26"/>
              </w:rPr>
              <w:t>4</w:t>
            </w:r>
            <w:r>
              <w:rPr>
                <w:rFonts w:hint="eastAsia"/>
                <w:sz w:val="26"/>
                <w:szCs w:val="26"/>
              </w:rPr>
              <w:t>个储油罐之间的油气管线相互独立，单个油罐与加油枪相联的加油枪数为4个</w:t>
            </w:r>
            <w:r>
              <w:rPr>
                <w:rFonts w:hint="eastAsia"/>
                <w:sz w:val="26"/>
                <w:szCs w:val="26"/>
                <w:lang w:val="en-US" w:eastAsia="zh-CN"/>
              </w:rPr>
              <w:t>或6个</w:t>
            </w:r>
            <w:r>
              <w:rPr>
                <w:rFonts w:hint="eastAsia"/>
                <w:sz w:val="26"/>
                <w:szCs w:val="26"/>
              </w:rPr>
              <w:t>，具体限值见表3</w:t>
            </w:r>
            <w:r>
              <w:rPr>
                <w:sz w:val="26"/>
                <w:szCs w:val="26"/>
              </w:rPr>
              <w:t>.3</w:t>
            </w:r>
            <w:r>
              <w:rPr>
                <w:rFonts w:hint="eastAsia"/>
                <w:sz w:val="26"/>
                <w:szCs w:val="26"/>
              </w:rPr>
              <w:t>-</w:t>
            </w:r>
            <w:r>
              <w:rPr>
                <w:rFonts w:hint="eastAsia"/>
                <w:sz w:val="26"/>
                <w:szCs w:val="26"/>
                <w:lang w:val="en-US" w:eastAsia="zh-CN"/>
              </w:rPr>
              <w:t>3</w:t>
            </w:r>
            <w:r>
              <w:rPr>
                <w:rFonts w:hint="eastAsia"/>
                <w:sz w:val="26"/>
                <w:szCs w:val="26"/>
              </w:rPr>
              <w:t>。</w:t>
            </w:r>
          </w:p>
          <w:p w14:paraId="1209BDE5">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rPr>
            </w:pPr>
            <w:r>
              <w:rPr>
                <w:b w:val="0"/>
                <w:bCs/>
                <w:color w:val="auto"/>
                <w:sz w:val="22"/>
                <w:szCs w:val="22"/>
              </w:rPr>
              <w:t>表3.3</w:t>
            </w:r>
            <w:r>
              <w:rPr>
                <w:rFonts w:hint="eastAsia"/>
                <w:b w:val="0"/>
                <w:bCs/>
                <w:color w:val="auto"/>
                <w:sz w:val="22"/>
                <w:szCs w:val="22"/>
              </w:rPr>
              <w:t>-</w:t>
            </w:r>
            <w:r>
              <w:rPr>
                <w:rFonts w:hint="eastAsia"/>
                <w:b w:val="0"/>
                <w:bCs/>
                <w:color w:val="auto"/>
                <w:sz w:val="22"/>
                <w:szCs w:val="22"/>
                <w:lang w:val="en-US" w:eastAsia="zh-CN"/>
              </w:rPr>
              <w:t xml:space="preserve">3  </w:t>
            </w:r>
            <w:r>
              <w:rPr>
                <w:rFonts w:hint="eastAsia"/>
                <w:b w:val="0"/>
                <w:bCs/>
                <w:color w:val="auto"/>
                <w:sz w:val="22"/>
                <w:szCs w:val="22"/>
              </w:rPr>
              <w:t xml:space="preserve">加油站油气回收系统密闭性检测最小剩余压力限值 </w:t>
            </w:r>
            <w:r>
              <w:rPr>
                <w:rFonts w:hint="eastAsia"/>
                <w:b w:val="0"/>
                <w:bCs/>
                <w:color w:val="auto"/>
                <w:sz w:val="22"/>
                <w:szCs w:val="22"/>
                <w:lang w:val="en-US" w:eastAsia="zh-CN"/>
              </w:rPr>
              <w:t xml:space="preserve"> </w:t>
            </w:r>
            <w:r>
              <w:rPr>
                <w:rFonts w:hint="eastAsia"/>
                <w:b w:val="0"/>
                <w:bCs/>
                <w:color w:val="auto"/>
                <w:sz w:val="22"/>
                <w:szCs w:val="22"/>
              </w:rPr>
              <w:t>单位：P</w:t>
            </w:r>
            <w:r>
              <w:rPr>
                <w:b w:val="0"/>
                <w:bCs/>
                <w:color w:val="auto"/>
                <w:sz w:val="22"/>
                <w:szCs w:val="22"/>
              </w:rPr>
              <w:t>a</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705"/>
              <w:gridCol w:w="2706"/>
            </w:tblGrid>
            <w:tr w14:paraId="5C52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367" w:type="dxa"/>
                  <w:vMerge w:val="restart"/>
                  <w:vAlign w:val="center"/>
                </w:tcPr>
                <w:p w14:paraId="7A3AAAA7">
                  <w:pPr>
                    <w:pStyle w:val="71"/>
                    <w:rPr>
                      <w:bCs/>
                      <w:color w:val="auto"/>
                    </w:rPr>
                  </w:pPr>
                  <w:r>
                    <w:rPr>
                      <w:rFonts w:hint="eastAsia"/>
                      <w:bCs/>
                      <w:color w:val="auto"/>
                    </w:rPr>
                    <w:t>储罐油气空间/L</w:t>
                  </w:r>
                </w:p>
              </w:tc>
              <w:tc>
                <w:tcPr>
                  <w:tcW w:w="5358" w:type="dxa"/>
                  <w:gridSpan w:val="2"/>
                  <w:vAlign w:val="center"/>
                </w:tcPr>
                <w:p w14:paraId="3809E03C">
                  <w:pPr>
                    <w:pStyle w:val="71"/>
                    <w:rPr>
                      <w:bCs/>
                      <w:color w:val="auto"/>
                    </w:rPr>
                  </w:pPr>
                  <w:r>
                    <w:rPr>
                      <w:rFonts w:hint="eastAsia"/>
                      <w:bCs/>
                      <w:color w:val="auto"/>
                    </w:rPr>
                    <w:t>受影响的加油枪数</w:t>
                  </w:r>
                  <w:r>
                    <w:rPr>
                      <w:rFonts w:hint="eastAsia"/>
                      <w:bCs/>
                      <w:color w:val="auto"/>
                      <w:vertAlign w:val="superscript"/>
                    </w:rPr>
                    <w:t>@</w:t>
                  </w:r>
                </w:p>
              </w:tc>
            </w:tr>
            <w:tr w14:paraId="7FDD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367" w:type="dxa"/>
                  <w:vMerge w:val="continue"/>
                  <w:vAlign w:val="center"/>
                </w:tcPr>
                <w:p w14:paraId="421C28DF">
                  <w:pPr>
                    <w:pStyle w:val="71"/>
                    <w:rPr>
                      <w:bCs/>
                      <w:color w:val="auto"/>
                    </w:rPr>
                  </w:pPr>
                </w:p>
              </w:tc>
              <w:tc>
                <w:tcPr>
                  <w:tcW w:w="2679" w:type="dxa"/>
                  <w:vAlign w:val="center"/>
                </w:tcPr>
                <w:p w14:paraId="2E1F083B">
                  <w:pPr>
                    <w:pStyle w:val="71"/>
                    <w:rPr>
                      <w:bCs/>
                      <w:color w:val="auto"/>
                    </w:rPr>
                  </w:pPr>
                  <w:r>
                    <w:rPr>
                      <w:rFonts w:hint="eastAsia"/>
                      <w:bCs/>
                      <w:color w:val="auto"/>
                    </w:rPr>
                    <w:t>1~</w:t>
                  </w:r>
                  <w:r>
                    <w:rPr>
                      <w:bCs/>
                      <w:color w:val="auto"/>
                    </w:rPr>
                    <w:t>6</w:t>
                  </w:r>
                </w:p>
              </w:tc>
              <w:tc>
                <w:tcPr>
                  <w:tcW w:w="2679" w:type="dxa"/>
                </w:tcPr>
                <w:p w14:paraId="7E7AE12D">
                  <w:pPr>
                    <w:pStyle w:val="71"/>
                    <w:rPr>
                      <w:bCs/>
                      <w:color w:val="auto"/>
                    </w:rPr>
                  </w:pPr>
                  <w:r>
                    <w:rPr>
                      <w:rFonts w:hint="eastAsia"/>
                      <w:bCs/>
                      <w:color w:val="auto"/>
                    </w:rPr>
                    <w:t>7~</w:t>
                  </w:r>
                  <w:r>
                    <w:rPr>
                      <w:bCs/>
                      <w:color w:val="auto"/>
                    </w:rPr>
                    <w:t>12</w:t>
                  </w:r>
                </w:p>
              </w:tc>
            </w:tr>
            <w:tr w14:paraId="4D6B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227064C4">
                  <w:pPr>
                    <w:pStyle w:val="71"/>
                    <w:rPr>
                      <w:bCs/>
                      <w:color w:val="auto"/>
                    </w:rPr>
                  </w:pPr>
                  <w:r>
                    <w:rPr>
                      <w:bCs/>
                      <w:color w:val="auto"/>
                    </w:rPr>
                    <w:t>1893</w:t>
                  </w:r>
                </w:p>
              </w:tc>
              <w:tc>
                <w:tcPr>
                  <w:tcW w:w="2679" w:type="dxa"/>
                  <w:vAlign w:val="center"/>
                </w:tcPr>
                <w:p w14:paraId="7DBFCA78">
                  <w:pPr>
                    <w:pStyle w:val="71"/>
                    <w:rPr>
                      <w:bCs/>
                      <w:color w:val="auto"/>
                    </w:rPr>
                  </w:pPr>
                  <w:r>
                    <w:rPr>
                      <w:rFonts w:hint="eastAsia"/>
                      <w:bCs/>
                      <w:color w:val="auto"/>
                    </w:rPr>
                    <w:t>1</w:t>
                  </w:r>
                  <w:r>
                    <w:rPr>
                      <w:bCs/>
                      <w:color w:val="auto"/>
                    </w:rPr>
                    <w:t>82</w:t>
                  </w:r>
                </w:p>
              </w:tc>
              <w:tc>
                <w:tcPr>
                  <w:tcW w:w="2679" w:type="dxa"/>
                </w:tcPr>
                <w:p w14:paraId="08F907DD">
                  <w:pPr>
                    <w:pStyle w:val="71"/>
                    <w:rPr>
                      <w:bCs/>
                      <w:color w:val="auto"/>
                    </w:rPr>
                  </w:pPr>
                  <w:r>
                    <w:rPr>
                      <w:rFonts w:hint="eastAsia"/>
                      <w:bCs/>
                      <w:color w:val="auto"/>
                    </w:rPr>
                    <w:t>1</w:t>
                  </w:r>
                  <w:r>
                    <w:rPr>
                      <w:bCs/>
                      <w:color w:val="auto"/>
                    </w:rPr>
                    <w:t>72</w:t>
                  </w:r>
                </w:p>
              </w:tc>
            </w:tr>
            <w:tr w14:paraId="306A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568881EA">
                  <w:pPr>
                    <w:pStyle w:val="71"/>
                    <w:rPr>
                      <w:bCs/>
                      <w:color w:val="auto"/>
                    </w:rPr>
                  </w:pPr>
                  <w:r>
                    <w:rPr>
                      <w:bCs/>
                      <w:color w:val="auto"/>
                    </w:rPr>
                    <w:t>2082</w:t>
                  </w:r>
                </w:p>
              </w:tc>
              <w:tc>
                <w:tcPr>
                  <w:tcW w:w="2679" w:type="dxa"/>
                  <w:vAlign w:val="center"/>
                </w:tcPr>
                <w:p w14:paraId="6BB8AFFC">
                  <w:pPr>
                    <w:pStyle w:val="71"/>
                    <w:rPr>
                      <w:bCs/>
                      <w:color w:val="auto"/>
                    </w:rPr>
                  </w:pPr>
                  <w:r>
                    <w:rPr>
                      <w:rFonts w:hint="eastAsia"/>
                      <w:bCs/>
                      <w:color w:val="auto"/>
                    </w:rPr>
                    <w:t>1</w:t>
                  </w:r>
                  <w:r>
                    <w:rPr>
                      <w:bCs/>
                      <w:color w:val="auto"/>
                    </w:rPr>
                    <w:t>99</w:t>
                  </w:r>
                </w:p>
              </w:tc>
              <w:tc>
                <w:tcPr>
                  <w:tcW w:w="2679" w:type="dxa"/>
                </w:tcPr>
                <w:p w14:paraId="7537DF4D">
                  <w:pPr>
                    <w:pStyle w:val="71"/>
                    <w:rPr>
                      <w:bCs/>
                      <w:color w:val="auto"/>
                    </w:rPr>
                  </w:pPr>
                  <w:r>
                    <w:rPr>
                      <w:rFonts w:hint="eastAsia"/>
                      <w:bCs/>
                      <w:color w:val="auto"/>
                    </w:rPr>
                    <w:t>1</w:t>
                  </w:r>
                  <w:r>
                    <w:rPr>
                      <w:bCs/>
                      <w:color w:val="auto"/>
                    </w:rPr>
                    <w:t>89</w:t>
                  </w:r>
                </w:p>
              </w:tc>
            </w:tr>
            <w:tr w14:paraId="2C70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7D5F2C76">
                  <w:pPr>
                    <w:pStyle w:val="71"/>
                    <w:rPr>
                      <w:bCs/>
                      <w:color w:val="auto"/>
                    </w:rPr>
                  </w:pPr>
                  <w:r>
                    <w:rPr>
                      <w:rFonts w:hint="eastAsia"/>
                      <w:bCs/>
                      <w:color w:val="auto"/>
                    </w:rPr>
                    <w:t>2</w:t>
                  </w:r>
                  <w:r>
                    <w:rPr>
                      <w:bCs/>
                      <w:color w:val="auto"/>
                    </w:rPr>
                    <w:t>271</w:t>
                  </w:r>
                </w:p>
              </w:tc>
              <w:tc>
                <w:tcPr>
                  <w:tcW w:w="2679" w:type="dxa"/>
                  <w:vAlign w:val="center"/>
                </w:tcPr>
                <w:p w14:paraId="14E649DD">
                  <w:pPr>
                    <w:pStyle w:val="71"/>
                    <w:rPr>
                      <w:bCs/>
                      <w:color w:val="auto"/>
                    </w:rPr>
                  </w:pPr>
                  <w:r>
                    <w:rPr>
                      <w:rFonts w:hint="eastAsia"/>
                      <w:bCs/>
                      <w:color w:val="auto"/>
                    </w:rPr>
                    <w:t>2</w:t>
                  </w:r>
                  <w:r>
                    <w:rPr>
                      <w:bCs/>
                      <w:color w:val="auto"/>
                    </w:rPr>
                    <w:t>17</w:t>
                  </w:r>
                </w:p>
              </w:tc>
              <w:tc>
                <w:tcPr>
                  <w:tcW w:w="2679" w:type="dxa"/>
                </w:tcPr>
                <w:p w14:paraId="316D9B56">
                  <w:pPr>
                    <w:pStyle w:val="71"/>
                    <w:rPr>
                      <w:bCs/>
                      <w:color w:val="auto"/>
                    </w:rPr>
                  </w:pPr>
                  <w:r>
                    <w:rPr>
                      <w:rFonts w:hint="eastAsia"/>
                      <w:bCs/>
                      <w:color w:val="auto"/>
                    </w:rPr>
                    <w:t>2</w:t>
                  </w:r>
                  <w:r>
                    <w:rPr>
                      <w:bCs/>
                      <w:color w:val="auto"/>
                    </w:rPr>
                    <w:t>04</w:t>
                  </w:r>
                </w:p>
              </w:tc>
            </w:tr>
            <w:tr w14:paraId="6F8B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4DE3C8E6">
                  <w:pPr>
                    <w:pStyle w:val="71"/>
                    <w:rPr>
                      <w:bCs/>
                      <w:color w:val="auto"/>
                    </w:rPr>
                  </w:pPr>
                  <w:r>
                    <w:rPr>
                      <w:rFonts w:hint="eastAsia"/>
                      <w:bCs/>
                      <w:color w:val="auto"/>
                    </w:rPr>
                    <w:t>2</w:t>
                  </w:r>
                  <w:r>
                    <w:rPr>
                      <w:bCs/>
                      <w:color w:val="auto"/>
                    </w:rPr>
                    <w:t>460</w:t>
                  </w:r>
                </w:p>
              </w:tc>
              <w:tc>
                <w:tcPr>
                  <w:tcW w:w="2679" w:type="dxa"/>
                  <w:vAlign w:val="center"/>
                </w:tcPr>
                <w:p w14:paraId="433EC81C">
                  <w:pPr>
                    <w:pStyle w:val="71"/>
                    <w:rPr>
                      <w:bCs/>
                      <w:color w:val="auto"/>
                    </w:rPr>
                  </w:pPr>
                  <w:r>
                    <w:rPr>
                      <w:rFonts w:hint="eastAsia"/>
                      <w:bCs/>
                      <w:color w:val="auto"/>
                    </w:rPr>
                    <w:t>2</w:t>
                  </w:r>
                  <w:r>
                    <w:rPr>
                      <w:bCs/>
                      <w:color w:val="auto"/>
                    </w:rPr>
                    <w:t>32</w:t>
                  </w:r>
                </w:p>
              </w:tc>
              <w:tc>
                <w:tcPr>
                  <w:tcW w:w="2679" w:type="dxa"/>
                </w:tcPr>
                <w:p w14:paraId="37C75F26">
                  <w:pPr>
                    <w:pStyle w:val="71"/>
                    <w:rPr>
                      <w:bCs/>
                      <w:color w:val="auto"/>
                    </w:rPr>
                  </w:pPr>
                  <w:r>
                    <w:rPr>
                      <w:bCs/>
                      <w:color w:val="auto"/>
                    </w:rPr>
                    <w:t>219</w:t>
                  </w:r>
                </w:p>
              </w:tc>
            </w:tr>
            <w:tr w14:paraId="3661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1196ED82">
                  <w:pPr>
                    <w:pStyle w:val="71"/>
                    <w:rPr>
                      <w:bCs/>
                      <w:color w:val="auto"/>
                    </w:rPr>
                  </w:pPr>
                  <w:r>
                    <w:rPr>
                      <w:rFonts w:hint="eastAsia"/>
                      <w:bCs/>
                      <w:color w:val="auto"/>
                    </w:rPr>
                    <w:t>2</w:t>
                  </w:r>
                  <w:r>
                    <w:rPr>
                      <w:bCs/>
                      <w:color w:val="auto"/>
                    </w:rPr>
                    <w:t>650</w:t>
                  </w:r>
                </w:p>
              </w:tc>
              <w:tc>
                <w:tcPr>
                  <w:tcW w:w="2679" w:type="dxa"/>
                  <w:vAlign w:val="center"/>
                </w:tcPr>
                <w:p w14:paraId="1E84A62C">
                  <w:pPr>
                    <w:pStyle w:val="71"/>
                    <w:rPr>
                      <w:bCs/>
                      <w:color w:val="auto"/>
                    </w:rPr>
                  </w:pPr>
                  <w:r>
                    <w:rPr>
                      <w:rFonts w:hint="eastAsia"/>
                      <w:bCs/>
                      <w:color w:val="auto"/>
                    </w:rPr>
                    <w:t>2</w:t>
                  </w:r>
                  <w:r>
                    <w:rPr>
                      <w:bCs/>
                      <w:color w:val="auto"/>
                    </w:rPr>
                    <w:t>44</w:t>
                  </w:r>
                </w:p>
              </w:tc>
              <w:tc>
                <w:tcPr>
                  <w:tcW w:w="2679" w:type="dxa"/>
                </w:tcPr>
                <w:p w14:paraId="6FF74055">
                  <w:pPr>
                    <w:pStyle w:val="71"/>
                    <w:rPr>
                      <w:bCs/>
                      <w:color w:val="auto"/>
                    </w:rPr>
                  </w:pPr>
                  <w:r>
                    <w:rPr>
                      <w:rFonts w:hint="eastAsia"/>
                      <w:bCs/>
                      <w:color w:val="auto"/>
                    </w:rPr>
                    <w:t>2</w:t>
                  </w:r>
                  <w:r>
                    <w:rPr>
                      <w:bCs/>
                      <w:color w:val="auto"/>
                    </w:rPr>
                    <w:t>34</w:t>
                  </w:r>
                </w:p>
              </w:tc>
            </w:tr>
            <w:tr w14:paraId="0401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44BDD107">
                  <w:pPr>
                    <w:pStyle w:val="71"/>
                    <w:rPr>
                      <w:bCs/>
                      <w:color w:val="auto"/>
                    </w:rPr>
                  </w:pPr>
                  <w:r>
                    <w:rPr>
                      <w:rFonts w:hint="eastAsia"/>
                      <w:bCs/>
                      <w:color w:val="auto"/>
                    </w:rPr>
                    <w:t>2</w:t>
                  </w:r>
                  <w:r>
                    <w:rPr>
                      <w:bCs/>
                      <w:color w:val="auto"/>
                    </w:rPr>
                    <w:t>839</w:t>
                  </w:r>
                </w:p>
              </w:tc>
              <w:tc>
                <w:tcPr>
                  <w:tcW w:w="2679" w:type="dxa"/>
                  <w:vAlign w:val="center"/>
                </w:tcPr>
                <w:p w14:paraId="22EC880F">
                  <w:pPr>
                    <w:pStyle w:val="71"/>
                    <w:rPr>
                      <w:bCs/>
                      <w:color w:val="auto"/>
                    </w:rPr>
                  </w:pPr>
                  <w:r>
                    <w:rPr>
                      <w:rFonts w:hint="eastAsia"/>
                      <w:bCs/>
                      <w:color w:val="auto"/>
                    </w:rPr>
                    <w:t>2</w:t>
                  </w:r>
                  <w:r>
                    <w:rPr>
                      <w:bCs/>
                      <w:color w:val="auto"/>
                    </w:rPr>
                    <w:t>57</w:t>
                  </w:r>
                </w:p>
              </w:tc>
              <w:tc>
                <w:tcPr>
                  <w:tcW w:w="2679" w:type="dxa"/>
                </w:tcPr>
                <w:p w14:paraId="45BAD800">
                  <w:pPr>
                    <w:pStyle w:val="71"/>
                    <w:rPr>
                      <w:bCs/>
                      <w:color w:val="auto"/>
                    </w:rPr>
                  </w:pPr>
                  <w:r>
                    <w:rPr>
                      <w:rFonts w:hint="eastAsia"/>
                      <w:bCs/>
                      <w:color w:val="auto"/>
                    </w:rPr>
                    <w:t>2</w:t>
                  </w:r>
                  <w:r>
                    <w:rPr>
                      <w:bCs/>
                      <w:color w:val="auto"/>
                    </w:rPr>
                    <w:t>44</w:t>
                  </w:r>
                </w:p>
              </w:tc>
            </w:tr>
            <w:tr w14:paraId="1C60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1DAE79FF">
                  <w:pPr>
                    <w:pStyle w:val="71"/>
                    <w:rPr>
                      <w:bCs/>
                      <w:color w:val="auto"/>
                    </w:rPr>
                  </w:pPr>
                  <w:r>
                    <w:rPr>
                      <w:rFonts w:hint="eastAsia"/>
                      <w:bCs/>
                      <w:color w:val="auto"/>
                    </w:rPr>
                    <w:t>3</w:t>
                  </w:r>
                  <w:r>
                    <w:rPr>
                      <w:bCs/>
                      <w:color w:val="auto"/>
                    </w:rPr>
                    <w:t>028</w:t>
                  </w:r>
                </w:p>
              </w:tc>
              <w:tc>
                <w:tcPr>
                  <w:tcW w:w="2679" w:type="dxa"/>
                  <w:vAlign w:val="center"/>
                </w:tcPr>
                <w:p w14:paraId="7E5FE539">
                  <w:pPr>
                    <w:pStyle w:val="71"/>
                    <w:rPr>
                      <w:bCs/>
                      <w:color w:val="auto"/>
                    </w:rPr>
                  </w:pPr>
                  <w:r>
                    <w:rPr>
                      <w:rFonts w:hint="eastAsia"/>
                      <w:bCs/>
                      <w:color w:val="auto"/>
                    </w:rPr>
                    <w:t>2</w:t>
                  </w:r>
                  <w:r>
                    <w:rPr>
                      <w:bCs/>
                      <w:color w:val="auto"/>
                    </w:rPr>
                    <w:t>67</w:t>
                  </w:r>
                </w:p>
              </w:tc>
              <w:tc>
                <w:tcPr>
                  <w:tcW w:w="2679" w:type="dxa"/>
                </w:tcPr>
                <w:p w14:paraId="1D443B04">
                  <w:pPr>
                    <w:pStyle w:val="71"/>
                    <w:rPr>
                      <w:bCs/>
                      <w:color w:val="auto"/>
                    </w:rPr>
                  </w:pPr>
                  <w:r>
                    <w:rPr>
                      <w:rFonts w:hint="eastAsia"/>
                      <w:bCs/>
                      <w:color w:val="auto"/>
                    </w:rPr>
                    <w:t>2</w:t>
                  </w:r>
                  <w:r>
                    <w:rPr>
                      <w:bCs/>
                      <w:color w:val="auto"/>
                    </w:rPr>
                    <w:t>57</w:t>
                  </w:r>
                </w:p>
              </w:tc>
            </w:tr>
            <w:tr w14:paraId="5AD1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49398D20">
                  <w:pPr>
                    <w:pStyle w:val="71"/>
                    <w:rPr>
                      <w:bCs/>
                      <w:color w:val="auto"/>
                    </w:rPr>
                  </w:pPr>
                  <w:r>
                    <w:rPr>
                      <w:rFonts w:hint="eastAsia"/>
                      <w:bCs/>
                      <w:color w:val="auto"/>
                    </w:rPr>
                    <w:t>3</w:t>
                  </w:r>
                  <w:r>
                    <w:rPr>
                      <w:bCs/>
                      <w:color w:val="auto"/>
                    </w:rPr>
                    <w:t>217</w:t>
                  </w:r>
                </w:p>
              </w:tc>
              <w:tc>
                <w:tcPr>
                  <w:tcW w:w="2679" w:type="dxa"/>
                  <w:vAlign w:val="center"/>
                </w:tcPr>
                <w:p w14:paraId="5DD4511C">
                  <w:pPr>
                    <w:pStyle w:val="71"/>
                    <w:rPr>
                      <w:bCs/>
                      <w:color w:val="auto"/>
                    </w:rPr>
                  </w:pPr>
                  <w:r>
                    <w:rPr>
                      <w:rFonts w:hint="eastAsia"/>
                      <w:bCs/>
                      <w:color w:val="auto"/>
                    </w:rPr>
                    <w:t>2</w:t>
                  </w:r>
                  <w:r>
                    <w:rPr>
                      <w:bCs/>
                      <w:color w:val="auto"/>
                    </w:rPr>
                    <w:t>77</w:t>
                  </w:r>
                </w:p>
              </w:tc>
              <w:tc>
                <w:tcPr>
                  <w:tcW w:w="2679" w:type="dxa"/>
                </w:tcPr>
                <w:p w14:paraId="4210869D">
                  <w:pPr>
                    <w:pStyle w:val="71"/>
                    <w:rPr>
                      <w:bCs/>
                      <w:color w:val="auto"/>
                    </w:rPr>
                  </w:pPr>
                  <w:r>
                    <w:rPr>
                      <w:rFonts w:hint="eastAsia"/>
                      <w:bCs/>
                      <w:color w:val="auto"/>
                    </w:rPr>
                    <w:t>2</w:t>
                  </w:r>
                  <w:r>
                    <w:rPr>
                      <w:bCs/>
                      <w:color w:val="auto"/>
                    </w:rPr>
                    <w:t>67</w:t>
                  </w:r>
                </w:p>
              </w:tc>
            </w:tr>
            <w:tr w14:paraId="41AA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55E857E0">
                  <w:pPr>
                    <w:pStyle w:val="71"/>
                    <w:rPr>
                      <w:bCs/>
                      <w:color w:val="auto"/>
                    </w:rPr>
                  </w:pPr>
                  <w:r>
                    <w:rPr>
                      <w:rFonts w:hint="eastAsia"/>
                      <w:bCs/>
                      <w:color w:val="auto"/>
                    </w:rPr>
                    <w:t>3</w:t>
                  </w:r>
                  <w:r>
                    <w:rPr>
                      <w:bCs/>
                      <w:color w:val="auto"/>
                    </w:rPr>
                    <w:t>407</w:t>
                  </w:r>
                </w:p>
              </w:tc>
              <w:tc>
                <w:tcPr>
                  <w:tcW w:w="2679" w:type="dxa"/>
                  <w:vAlign w:val="center"/>
                </w:tcPr>
                <w:p w14:paraId="7A79FCD3">
                  <w:pPr>
                    <w:pStyle w:val="71"/>
                    <w:rPr>
                      <w:bCs/>
                      <w:color w:val="auto"/>
                    </w:rPr>
                  </w:pPr>
                  <w:r>
                    <w:rPr>
                      <w:rFonts w:hint="eastAsia"/>
                      <w:bCs/>
                      <w:color w:val="auto"/>
                    </w:rPr>
                    <w:t>2</w:t>
                  </w:r>
                  <w:r>
                    <w:rPr>
                      <w:bCs/>
                      <w:color w:val="auto"/>
                    </w:rPr>
                    <w:t>86</w:t>
                  </w:r>
                </w:p>
              </w:tc>
              <w:tc>
                <w:tcPr>
                  <w:tcW w:w="2679" w:type="dxa"/>
                </w:tcPr>
                <w:p w14:paraId="2A5AC0F5">
                  <w:pPr>
                    <w:pStyle w:val="71"/>
                    <w:rPr>
                      <w:bCs/>
                      <w:color w:val="auto"/>
                    </w:rPr>
                  </w:pPr>
                  <w:r>
                    <w:rPr>
                      <w:rFonts w:hint="eastAsia"/>
                      <w:bCs/>
                      <w:color w:val="auto"/>
                    </w:rPr>
                    <w:t>2</w:t>
                  </w:r>
                  <w:r>
                    <w:rPr>
                      <w:bCs/>
                      <w:color w:val="auto"/>
                    </w:rPr>
                    <w:t>77</w:t>
                  </w:r>
                </w:p>
              </w:tc>
            </w:tr>
            <w:tr w14:paraId="3C9A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16005CCB">
                  <w:pPr>
                    <w:pStyle w:val="71"/>
                    <w:rPr>
                      <w:bCs/>
                      <w:color w:val="auto"/>
                    </w:rPr>
                  </w:pPr>
                  <w:r>
                    <w:rPr>
                      <w:rFonts w:hint="eastAsia"/>
                      <w:bCs/>
                      <w:color w:val="auto"/>
                    </w:rPr>
                    <w:t>3</w:t>
                  </w:r>
                  <w:r>
                    <w:rPr>
                      <w:bCs/>
                      <w:color w:val="auto"/>
                    </w:rPr>
                    <w:t>596</w:t>
                  </w:r>
                </w:p>
              </w:tc>
              <w:tc>
                <w:tcPr>
                  <w:tcW w:w="2679" w:type="dxa"/>
                  <w:vAlign w:val="center"/>
                </w:tcPr>
                <w:p w14:paraId="1309CF2F">
                  <w:pPr>
                    <w:pStyle w:val="71"/>
                    <w:rPr>
                      <w:bCs/>
                      <w:color w:val="auto"/>
                    </w:rPr>
                  </w:pPr>
                  <w:r>
                    <w:rPr>
                      <w:rFonts w:hint="eastAsia"/>
                      <w:bCs/>
                      <w:color w:val="auto"/>
                    </w:rPr>
                    <w:t>2</w:t>
                  </w:r>
                  <w:r>
                    <w:rPr>
                      <w:bCs/>
                      <w:color w:val="auto"/>
                    </w:rPr>
                    <w:t>94</w:t>
                  </w:r>
                </w:p>
              </w:tc>
              <w:tc>
                <w:tcPr>
                  <w:tcW w:w="2679" w:type="dxa"/>
                </w:tcPr>
                <w:p w14:paraId="32D49195">
                  <w:pPr>
                    <w:pStyle w:val="71"/>
                    <w:rPr>
                      <w:bCs/>
                      <w:color w:val="auto"/>
                    </w:rPr>
                  </w:pPr>
                  <w:r>
                    <w:rPr>
                      <w:rFonts w:hint="eastAsia"/>
                      <w:bCs/>
                      <w:color w:val="auto"/>
                    </w:rPr>
                    <w:t>2</w:t>
                  </w:r>
                  <w:r>
                    <w:rPr>
                      <w:bCs/>
                      <w:color w:val="auto"/>
                    </w:rPr>
                    <w:t>84</w:t>
                  </w:r>
                </w:p>
              </w:tc>
            </w:tr>
            <w:tr w14:paraId="76FB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7C1BA191">
                  <w:pPr>
                    <w:pStyle w:val="71"/>
                    <w:rPr>
                      <w:bCs/>
                      <w:color w:val="auto"/>
                    </w:rPr>
                  </w:pPr>
                  <w:r>
                    <w:rPr>
                      <w:rFonts w:hint="eastAsia"/>
                      <w:bCs/>
                      <w:color w:val="auto"/>
                    </w:rPr>
                    <w:t>3</w:t>
                  </w:r>
                  <w:r>
                    <w:rPr>
                      <w:bCs/>
                      <w:color w:val="auto"/>
                    </w:rPr>
                    <w:t>785</w:t>
                  </w:r>
                </w:p>
              </w:tc>
              <w:tc>
                <w:tcPr>
                  <w:tcW w:w="2679" w:type="dxa"/>
                  <w:vAlign w:val="center"/>
                </w:tcPr>
                <w:p w14:paraId="56228E9C">
                  <w:pPr>
                    <w:pStyle w:val="71"/>
                    <w:rPr>
                      <w:bCs/>
                      <w:color w:val="auto"/>
                    </w:rPr>
                  </w:pPr>
                  <w:r>
                    <w:rPr>
                      <w:rFonts w:hint="eastAsia"/>
                      <w:bCs/>
                      <w:color w:val="auto"/>
                    </w:rPr>
                    <w:t>3</w:t>
                  </w:r>
                  <w:r>
                    <w:rPr>
                      <w:bCs/>
                      <w:color w:val="auto"/>
                    </w:rPr>
                    <w:t>01</w:t>
                  </w:r>
                </w:p>
              </w:tc>
              <w:tc>
                <w:tcPr>
                  <w:tcW w:w="2679" w:type="dxa"/>
                </w:tcPr>
                <w:p w14:paraId="72DA7F43">
                  <w:pPr>
                    <w:pStyle w:val="71"/>
                    <w:rPr>
                      <w:bCs/>
                      <w:color w:val="auto"/>
                    </w:rPr>
                  </w:pPr>
                  <w:r>
                    <w:rPr>
                      <w:rFonts w:hint="eastAsia"/>
                      <w:bCs/>
                      <w:color w:val="auto"/>
                    </w:rPr>
                    <w:t>2</w:t>
                  </w:r>
                  <w:r>
                    <w:rPr>
                      <w:bCs/>
                      <w:color w:val="auto"/>
                    </w:rPr>
                    <w:t>94</w:t>
                  </w:r>
                </w:p>
              </w:tc>
            </w:tr>
            <w:tr w14:paraId="5BAF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7FE1632D">
                  <w:pPr>
                    <w:pStyle w:val="71"/>
                    <w:rPr>
                      <w:bCs/>
                      <w:color w:val="auto"/>
                    </w:rPr>
                  </w:pPr>
                  <w:r>
                    <w:rPr>
                      <w:rFonts w:hint="eastAsia"/>
                      <w:bCs/>
                      <w:color w:val="auto"/>
                    </w:rPr>
                    <w:t>4</w:t>
                  </w:r>
                  <w:r>
                    <w:rPr>
                      <w:bCs/>
                      <w:color w:val="auto"/>
                    </w:rPr>
                    <w:t>542</w:t>
                  </w:r>
                </w:p>
              </w:tc>
              <w:tc>
                <w:tcPr>
                  <w:tcW w:w="2679" w:type="dxa"/>
                  <w:vAlign w:val="center"/>
                </w:tcPr>
                <w:p w14:paraId="0F585023">
                  <w:pPr>
                    <w:pStyle w:val="71"/>
                    <w:rPr>
                      <w:bCs/>
                      <w:color w:val="auto"/>
                    </w:rPr>
                  </w:pPr>
                  <w:r>
                    <w:rPr>
                      <w:rFonts w:hint="eastAsia"/>
                      <w:bCs/>
                      <w:color w:val="auto"/>
                    </w:rPr>
                    <w:t>3</w:t>
                  </w:r>
                  <w:r>
                    <w:rPr>
                      <w:bCs/>
                      <w:color w:val="auto"/>
                    </w:rPr>
                    <w:t>29</w:t>
                  </w:r>
                </w:p>
              </w:tc>
              <w:tc>
                <w:tcPr>
                  <w:tcW w:w="2679" w:type="dxa"/>
                </w:tcPr>
                <w:p w14:paraId="721B80F4">
                  <w:pPr>
                    <w:pStyle w:val="71"/>
                    <w:rPr>
                      <w:bCs/>
                      <w:color w:val="auto"/>
                    </w:rPr>
                  </w:pPr>
                  <w:r>
                    <w:rPr>
                      <w:bCs/>
                      <w:color w:val="auto"/>
                    </w:rPr>
                    <w:t>319</w:t>
                  </w:r>
                </w:p>
              </w:tc>
            </w:tr>
            <w:tr w14:paraId="3E1E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158DDF21">
                  <w:pPr>
                    <w:pStyle w:val="71"/>
                    <w:rPr>
                      <w:bCs/>
                      <w:color w:val="auto"/>
                    </w:rPr>
                  </w:pPr>
                  <w:r>
                    <w:rPr>
                      <w:rFonts w:hint="eastAsia"/>
                      <w:bCs/>
                      <w:color w:val="auto"/>
                    </w:rPr>
                    <w:t>5</w:t>
                  </w:r>
                  <w:r>
                    <w:rPr>
                      <w:bCs/>
                      <w:color w:val="auto"/>
                    </w:rPr>
                    <w:t>299</w:t>
                  </w:r>
                </w:p>
              </w:tc>
              <w:tc>
                <w:tcPr>
                  <w:tcW w:w="2679" w:type="dxa"/>
                  <w:vAlign w:val="center"/>
                </w:tcPr>
                <w:p w14:paraId="0826AB3A">
                  <w:pPr>
                    <w:pStyle w:val="71"/>
                    <w:rPr>
                      <w:bCs/>
                      <w:color w:val="auto"/>
                    </w:rPr>
                  </w:pPr>
                  <w:r>
                    <w:rPr>
                      <w:rFonts w:hint="eastAsia"/>
                      <w:bCs/>
                      <w:color w:val="auto"/>
                    </w:rPr>
                    <w:t>3</w:t>
                  </w:r>
                  <w:r>
                    <w:rPr>
                      <w:bCs/>
                      <w:color w:val="auto"/>
                    </w:rPr>
                    <w:t>49</w:t>
                  </w:r>
                </w:p>
              </w:tc>
              <w:tc>
                <w:tcPr>
                  <w:tcW w:w="2679" w:type="dxa"/>
                </w:tcPr>
                <w:p w14:paraId="5ABA33A5">
                  <w:pPr>
                    <w:pStyle w:val="71"/>
                    <w:rPr>
                      <w:bCs/>
                      <w:color w:val="auto"/>
                    </w:rPr>
                  </w:pPr>
                  <w:r>
                    <w:rPr>
                      <w:rFonts w:hint="eastAsia"/>
                      <w:bCs/>
                      <w:color w:val="auto"/>
                    </w:rPr>
                    <w:t>3</w:t>
                  </w:r>
                  <w:r>
                    <w:rPr>
                      <w:bCs/>
                      <w:color w:val="auto"/>
                    </w:rPr>
                    <w:t>41</w:t>
                  </w:r>
                </w:p>
              </w:tc>
            </w:tr>
            <w:tr w14:paraId="4AE4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7D83C587">
                  <w:pPr>
                    <w:pStyle w:val="71"/>
                    <w:rPr>
                      <w:bCs/>
                      <w:color w:val="auto"/>
                    </w:rPr>
                  </w:pPr>
                  <w:r>
                    <w:rPr>
                      <w:rFonts w:hint="eastAsia"/>
                      <w:bCs/>
                      <w:color w:val="auto"/>
                    </w:rPr>
                    <w:t>6</w:t>
                  </w:r>
                  <w:r>
                    <w:rPr>
                      <w:bCs/>
                      <w:color w:val="auto"/>
                    </w:rPr>
                    <w:t>056</w:t>
                  </w:r>
                </w:p>
              </w:tc>
              <w:tc>
                <w:tcPr>
                  <w:tcW w:w="2679" w:type="dxa"/>
                  <w:vAlign w:val="center"/>
                </w:tcPr>
                <w:p w14:paraId="28494E76">
                  <w:pPr>
                    <w:pStyle w:val="71"/>
                    <w:rPr>
                      <w:bCs/>
                      <w:color w:val="auto"/>
                    </w:rPr>
                  </w:pPr>
                  <w:r>
                    <w:rPr>
                      <w:rFonts w:hint="eastAsia"/>
                      <w:bCs/>
                      <w:color w:val="auto"/>
                    </w:rPr>
                    <w:t>3</w:t>
                  </w:r>
                  <w:r>
                    <w:rPr>
                      <w:bCs/>
                      <w:color w:val="auto"/>
                    </w:rPr>
                    <w:t>64</w:t>
                  </w:r>
                </w:p>
              </w:tc>
              <w:tc>
                <w:tcPr>
                  <w:tcW w:w="2679" w:type="dxa"/>
                </w:tcPr>
                <w:p w14:paraId="4137BEFF">
                  <w:pPr>
                    <w:pStyle w:val="71"/>
                    <w:rPr>
                      <w:bCs/>
                      <w:color w:val="auto"/>
                    </w:rPr>
                  </w:pPr>
                  <w:r>
                    <w:rPr>
                      <w:rFonts w:hint="eastAsia"/>
                      <w:bCs/>
                      <w:color w:val="auto"/>
                    </w:rPr>
                    <w:t>3</w:t>
                  </w:r>
                  <w:r>
                    <w:rPr>
                      <w:bCs/>
                      <w:color w:val="auto"/>
                    </w:rPr>
                    <w:t>56</w:t>
                  </w:r>
                </w:p>
              </w:tc>
            </w:tr>
            <w:tr w14:paraId="0227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556515AB">
                  <w:pPr>
                    <w:pStyle w:val="71"/>
                    <w:rPr>
                      <w:bCs/>
                      <w:color w:val="auto"/>
                    </w:rPr>
                  </w:pPr>
                  <w:r>
                    <w:rPr>
                      <w:rFonts w:hint="eastAsia"/>
                      <w:bCs/>
                      <w:color w:val="auto"/>
                    </w:rPr>
                    <w:t>6</w:t>
                  </w:r>
                  <w:r>
                    <w:rPr>
                      <w:bCs/>
                      <w:color w:val="auto"/>
                    </w:rPr>
                    <w:t>813</w:t>
                  </w:r>
                </w:p>
              </w:tc>
              <w:tc>
                <w:tcPr>
                  <w:tcW w:w="2679" w:type="dxa"/>
                  <w:vAlign w:val="center"/>
                </w:tcPr>
                <w:p w14:paraId="34EDA851">
                  <w:pPr>
                    <w:pStyle w:val="71"/>
                    <w:rPr>
                      <w:bCs/>
                      <w:color w:val="auto"/>
                    </w:rPr>
                  </w:pPr>
                  <w:r>
                    <w:rPr>
                      <w:rFonts w:hint="eastAsia"/>
                      <w:bCs/>
                      <w:color w:val="auto"/>
                    </w:rPr>
                    <w:t>3</w:t>
                  </w:r>
                  <w:r>
                    <w:rPr>
                      <w:bCs/>
                      <w:color w:val="auto"/>
                    </w:rPr>
                    <w:t>76</w:t>
                  </w:r>
                </w:p>
              </w:tc>
              <w:tc>
                <w:tcPr>
                  <w:tcW w:w="2679" w:type="dxa"/>
                </w:tcPr>
                <w:p w14:paraId="2FDE204C">
                  <w:pPr>
                    <w:pStyle w:val="71"/>
                    <w:rPr>
                      <w:bCs/>
                      <w:color w:val="auto"/>
                    </w:rPr>
                  </w:pPr>
                  <w:r>
                    <w:rPr>
                      <w:rFonts w:hint="eastAsia"/>
                      <w:bCs/>
                      <w:color w:val="auto"/>
                    </w:rPr>
                    <w:t>3</w:t>
                  </w:r>
                  <w:r>
                    <w:rPr>
                      <w:bCs/>
                      <w:color w:val="auto"/>
                    </w:rPr>
                    <w:t>71</w:t>
                  </w:r>
                </w:p>
              </w:tc>
            </w:tr>
            <w:tr w14:paraId="0BC4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428729BA">
                  <w:pPr>
                    <w:pStyle w:val="71"/>
                    <w:rPr>
                      <w:bCs/>
                      <w:color w:val="auto"/>
                    </w:rPr>
                  </w:pPr>
                  <w:r>
                    <w:rPr>
                      <w:rFonts w:hint="eastAsia"/>
                      <w:bCs/>
                      <w:color w:val="auto"/>
                    </w:rPr>
                    <w:t>7</w:t>
                  </w:r>
                  <w:r>
                    <w:rPr>
                      <w:bCs/>
                      <w:color w:val="auto"/>
                    </w:rPr>
                    <w:t>570</w:t>
                  </w:r>
                </w:p>
              </w:tc>
              <w:tc>
                <w:tcPr>
                  <w:tcW w:w="2679" w:type="dxa"/>
                  <w:vAlign w:val="center"/>
                </w:tcPr>
                <w:p w14:paraId="1B93ECE4">
                  <w:pPr>
                    <w:pStyle w:val="71"/>
                    <w:rPr>
                      <w:bCs/>
                      <w:color w:val="auto"/>
                    </w:rPr>
                  </w:pPr>
                  <w:r>
                    <w:rPr>
                      <w:rFonts w:hint="eastAsia"/>
                      <w:bCs/>
                      <w:color w:val="auto"/>
                    </w:rPr>
                    <w:t>3</w:t>
                  </w:r>
                  <w:r>
                    <w:rPr>
                      <w:bCs/>
                      <w:color w:val="auto"/>
                    </w:rPr>
                    <w:t>89</w:t>
                  </w:r>
                </w:p>
              </w:tc>
              <w:tc>
                <w:tcPr>
                  <w:tcW w:w="2679" w:type="dxa"/>
                </w:tcPr>
                <w:p w14:paraId="024584DA">
                  <w:pPr>
                    <w:pStyle w:val="71"/>
                    <w:rPr>
                      <w:bCs/>
                      <w:color w:val="auto"/>
                    </w:rPr>
                  </w:pPr>
                  <w:r>
                    <w:rPr>
                      <w:rFonts w:hint="eastAsia"/>
                      <w:bCs/>
                      <w:color w:val="auto"/>
                    </w:rPr>
                    <w:t>3</w:t>
                  </w:r>
                  <w:r>
                    <w:rPr>
                      <w:bCs/>
                      <w:color w:val="auto"/>
                    </w:rPr>
                    <w:t>81</w:t>
                  </w:r>
                </w:p>
              </w:tc>
            </w:tr>
            <w:tr w14:paraId="5C73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0E1FA4EB">
                  <w:pPr>
                    <w:pStyle w:val="71"/>
                    <w:rPr>
                      <w:bCs/>
                      <w:color w:val="auto"/>
                    </w:rPr>
                  </w:pPr>
                  <w:r>
                    <w:rPr>
                      <w:rFonts w:hint="eastAsia"/>
                      <w:bCs/>
                      <w:color w:val="auto"/>
                    </w:rPr>
                    <w:t>8</w:t>
                  </w:r>
                  <w:r>
                    <w:rPr>
                      <w:bCs/>
                      <w:color w:val="auto"/>
                    </w:rPr>
                    <w:t>327</w:t>
                  </w:r>
                </w:p>
              </w:tc>
              <w:tc>
                <w:tcPr>
                  <w:tcW w:w="2679" w:type="dxa"/>
                  <w:vAlign w:val="center"/>
                </w:tcPr>
                <w:p w14:paraId="6EA82A3E">
                  <w:pPr>
                    <w:pStyle w:val="71"/>
                    <w:rPr>
                      <w:bCs/>
                      <w:color w:val="auto"/>
                    </w:rPr>
                  </w:pPr>
                  <w:r>
                    <w:rPr>
                      <w:rFonts w:hint="eastAsia"/>
                      <w:bCs/>
                      <w:color w:val="auto"/>
                    </w:rPr>
                    <w:t>3</w:t>
                  </w:r>
                  <w:r>
                    <w:rPr>
                      <w:bCs/>
                      <w:color w:val="auto"/>
                    </w:rPr>
                    <w:t>96</w:t>
                  </w:r>
                </w:p>
              </w:tc>
              <w:tc>
                <w:tcPr>
                  <w:tcW w:w="2679" w:type="dxa"/>
                </w:tcPr>
                <w:p w14:paraId="0AD3CBA4">
                  <w:pPr>
                    <w:pStyle w:val="71"/>
                    <w:rPr>
                      <w:bCs/>
                      <w:color w:val="auto"/>
                    </w:rPr>
                  </w:pPr>
                  <w:r>
                    <w:rPr>
                      <w:rFonts w:hint="eastAsia"/>
                      <w:bCs/>
                      <w:color w:val="auto"/>
                    </w:rPr>
                    <w:t>3</w:t>
                  </w:r>
                  <w:r>
                    <w:rPr>
                      <w:bCs/>
                      <w:color w:val="auto"/>
                    </w:rPr>
                    <w:t>91</w:t>
                  </w:r>
                </w:p>
              </w:tc>
            </w:tr>
            <w:tr w14:paraId="469D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6770D8E2">
                  <w:pPr>
                    <w:pStyle w:val="71"/>
                    <w:rPr>
                      <w:bCs/>
                      <w:color w:val="auto"/>
                    </w:rPr>
                  </w:pPr>
                  <w:r>
                    <w:rPr>
                      <w:rFonts w:hint="eastAsia"/>
                      <w:bCs/>
                      <w:color w:val="auto"/>
                    </w:rPr>
                    <w:t>9</w:t>
                  </w:r>
                  <w:r>
                    <w:rPr>
                      <w:bCs/>
                      <w:color w:val="auto"/>
                    </w:rPr>
                    <w:t>084</w:t>
                  </w:r>
                </w:p>
              </w:tc>
              <w:tc>
                <w:tcPr>
                  <w:tcW w:w="2679" w:type="dxa"/>
                  <w:vAlign w:val="center"/>
                </w:tcPr>
                <w:p w14:paraId="5E6C8A22">
                  <w:pPr>
                    <w:pStyle w:val="71"/>
                    <w:rPr>
                      <w:bCs/>
                      <w:color w:val="auto"/>
                    </w:rPr>
                  </w:pPr>
                  <w:r>
                    <w:rPr>
                      <w:rFonts w:hint="eastAsia"/>
                      <w:bCs/>
                      <w:color w:val="auto"/>
                    </w:rPr>
                    <w:t>4</w:t>
                  </w:r>
                  <w:r>
                    <w:rPr>
                      <w:bCs/>
                      <w:color w:val="auto"/>
                    </w:rPr>
                    <w:t>04</w:t>
                  </w:r>
                </w:p>
              </w:tc>
              <w:tc>
                <w:tcPr>
                  <w:tcW w:w="2679" w:type="dxa"/>
                </w:tcPr>
                <w:p w14:paraId="022DECA9">
                  <w:pPr>
                    <w:pStyle w:val="71"/>
                    <w:rPr>
                      <w:bCs/>
                      <w:color w:val="auto"/>
                    </w:rPr>
                  </w:pPr>
                  <w:r>
                    <w:rPr>
                      <w:rFonts w:hint="eastAsia"/>
                      <w:bCs/>
                      <w:color w:val="auto"/>
                    </w:rPr>
                    <w:t>3</w:t>
                  </w:r>
                  <w:r>
                    <w:rPr>
                      <w:bCs/>
                      <w:color w:val="auto"/>
                    </w:rPr>
                    <w:t>99</w:t>
                  </w:r>
                </w:p>
              </w:tc>
            </w:tr>
            <w:tr w14:paraId="645B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028B6527">
                  <w:pPr>
                    <w:pStyle w:val="71"/>
                    <w:rPr>
                      <w:bCs/>
                      <w:color w:val="auto"/>
                    </w:rPr>
                  </w:pPr>
                  <w:r>
                    <w:rPr>
                      <w:rFonts w:hint="eastAsia"/>
                      <w:bCs/>
                      <w:color w:val="auto"/>
                    </w:rPr>
                    <w:t>9</w:t>
                  </w:r>
                  <w:r>
                    <w:rPr>
                      <w:bCs/>
                      <w:color w:val="auto"/>
                    </w:rPr>
                    <w:t>841</w:t>
                  </w:r>
                </w:p>
              </w:tc>
              <w:tc>
                <w:tcPr>
                  <w:tcW w:w="2679" w:type="dxa"/>
                  <w:vAlign w:val="center"/>
                </w:tcPr>
                <w:p w14:paraId="13AFE410">
                  <w:pPr>
                    <w:pStyle w:val="71"/>
                    <w:rPr>
                      <w:bCs/>
                      <w:color w:val="auto"/>
                    </w:rPr>
                  </w:pPr>
                  <w:r>
                    <w:rPr>
                      <w:rFonts w:hint="eastAsia"/>
                      <w:bCs/>
                      <w:color w:val="auto"/>
                    </w:rPr>
                    <w:t>4</w:t>
                  </w:r>
                  <w:r>
                    <w:rPr>
                      <w:bCs/>
                      <w:color w:val="auto"/>
                    </w:rPr>
                    <w:t>11</w:t>
                  </w:r>
                </w:p>
              </w:tc>
              <w:tc>
                <w:tcPr>
                  <w:tcW w:w="2679" w:type="dxa"/>
                </w:tcPr>
                <w:p w14:paraId="10284239">
                  <w:pPr>
                    <w:pStyle w:val="71"/>
                    <w:rPr>
                      <w:bCs/>
                      <w:color w:val="auto"/>
                    </w:rPr>
                  </w:pPr>
                  <w:r>
                    <w:rPr>
                      <w:rFonts w:hint="eastAsia"/>
                      <w:bCs/>
                      <w:color w:val="auto"/>
                    </w:rPr>
                    <w:t>4</w:t>
                  </w:r>
                  <w:r>
                    <w:rPr>
                      <w:bCs/>
                      <w:color w:val="auto"/>
                    </w:rPr>
                    <w:t>06</w:t>
                  </w:r>
                </w:p>
              </w:tc>
            </w:tr>
            <w:tr w14:paraId="1726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4DE6C705">
                  <w:pPr>
                    <w:pStyle w:val="71"/>
                    <w:rPr>
                      <w:bCs/>
                      <w:color w:val="auto"/>
                    </w:rPr>
                  </w:pPr>
                  <w:r>
                    <w:rPr>
                      <w:rFonts w:hint="eastAsia"/>
                      <w:bCs/>
                      <w:color w:val="auto"/>
                    </w:rPr>
                    <w:t>1</w:t>
                  </w:r>
                  <w:r>
                    <w:rPr>
                      <w:bCs/>
                      <w:color w:val="auto"/>
                    </w:rPr>
                    <w:t>0598</w:t>
                  </w:r>
                </w:p>
              </w:tc>
              <w:tc>
                <w:tcPr>
                  <w:tcW w:w="2679" w:type="dxa"/>
                  <w:vAlign w:val="center"/>
                </w:tcPr>
                <w:p w14:paraId="0F9E0AFC">
                  <w:pPr>
                    <w:pStyle w:val="71"/>
                    <w:rPr>
                      <w:bCs/>
                      <w:color w:val="auto"/>
                    </w:rPr>
                  </w:pPr>
                  <w:r>
                    <w:rPr>
                      <w:rFonts w:hint="eastAsia"/>
                      <w:bCs/>
                      <w:color w:val="auto"/>
                    </w:rPr>
                    <w:t>4</w:t>
                  </w:r>
                  <w:r>
                    <w:rPr>
                      <w:bCs/>
                      <w:color w:val="auto"/>
                    </w:rPr>
                    <w:t>16</w:t>
                  </w:r>
                </w:p>
              </w:tc>
              <w:tc>
                <w:tcPr>
                  <w:tcW w:w="2679" w:type="dxa"/>
                </w:tcPr>
                <w:p w14:paraId="17E46341">
                  <w:pPr>
                    <w:pStyle w:val="71"/>
                    <w:rPr>
                      <w:bCs/>
                      <w:color w:val="auto"/>
                    </w:rPr>
                  </w:pPr>
                  <w:r>
                    <w:rPr>
                      <w:rFonts w:hint="eastAsia"/>
                      <w:bCs/>
                      <w:color w:val="auto"/>
                    </w:rPr>
                    <w:t>4</w:t>
                  </w:r>
                  <w:r>
                    <w:rPr>
                      <w:bCs/>
                      <w:color w:val="auto"/>
                    </w:rPr>
                    <w:t>11</w:t>
                  </w:r>
                </w:p>
              </w:tc>
            </w:tr>
            <w:tr w14:paraId="2B07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7" w:type="dxa"/>
                  <w:vAlign w:val="center"/>
                </w:tcPr>
                <w:p w14:paraId="027BC49D">
                  <w:pPr>
                    <w:pStyle w:val="71"/>
                    <w:rPr>
                      <w:bCs/>
                      <w:color w:val="auto"/>
                    </w:rPr>
                  </w:pPr>
                  <w:r>
                    <w:rPr>
                      <w:rFonts w:hint="eastAsia"/>
                      <w:bCs/>
                      <w:color w:val="auto"/>
                    </w:rPr>
                    <w:t>1</w:t>
                  </w:r>
                  <w:r>
                    <w:rPr>
                      <w:bCs/>
                      <w:color w:val="auto"/>
                    </w:rPr>
                    <w:t>1355</w:t>
                  </w:r>
                </w:p>
              </w:tc>
              <w:tc>
                <w:tcPr>
                  <w:tcW w:w="2679" w:type="dxa"/>
                  <w:vAlign w:val="center"/>
                </w:tcPr>
                <w:p w14:paraId="74D7E458">
                  <w:pPr>
                    <w:pStyle w:val="71"/>
                    <w:rPr>
                      <w:bCs/>
                      <w:color w:val="auto"/>
                    </w:rPr>
                  </w:pPr>
                  <w:r>
                    <w:rPr>
                      <w:rFonts w:hint="eastAsia"/>
                      <w:bCs/>
                      <w:color w:val="auto"/>
                    </w:rPr>
                    <w:t>4</w:t>
                  </w:r>
                  <w:r>
                    <w:rPr>
                      <w:bCs/>
                      <w:color w:val="auto"/>
                    </w:rPr>
                    <w:t>21</w:t>
                  </w:r>
                </w:p>
              </w:tc>
              <w:tc>
                <w:tcPr>
                  <w:tcW w:w="2679" w:type="dxa"/>
                </w:tcPr>
                <w:p w14:paraId="14A7A476">
                  <w:pPr>
                    <w:pStyle w:val="71"/>
                    <w:rPr>
                      <w:bCs/>
                      <w:color w:val="auto"/>
                    </w:rPr>
                  </w:pPr>
                  <w:r>
                    <w:rPr>
                      <w:rFonts w:hint="eastAsia"/>
                      <w:bCs/>
                      <w:color w:val="auto"/>
                    </w:rPr>
                    <w:t>4</w:t>
                  </w:r>
                  <w:r>
                    <w:rPr>
                      <w:bCs/>
                      <w:color w:val="auto"/>
                    </w:rPr>
                    <w:t>18</w:t>
                  </w:r>
                </w:p>
              </w:tc>
            </w:tr>
          </w:tbl>
          <w:p w14:paraId="61A07942">
            <w:pPr>
              <w:widowControl/>
              <w:adjustRightInd w:val="0"/>
              <w:snapToGrid w:val="0"/>
              <w:ind w:firstLine="440" w:firstLineChars="200"/>
              <w:rPr>
                <w:sz w:val="22"/>
                <w:szCs w:val="22"/>
              </w:rPr>
            </w:pPr>
            <w:r>
              <w:rPr>
                <w:rFonts w:hint="eastAsia"/>
                <w:sz w:val="22"/>
                <w:szCs w:val="22"/>
              </w:rPr>
              <w:t>注：如果各储罐油气管线连通，则受影响的加油枪数等于汽油加油枪总数。否则，仅统计通过油气管线与被检测储罐相联的加油枪数。</w:t>
            </w:r>
          </w:p>
          <w:p w14:paraId="76C365CD">
            <w:pPr>
              <w:widowControl/>
              <w:adjustRightInd w:val="0"/>
              <w:snapToGrid w:val="0"/>
              <w:spacing w:line="460" w:lineRule="exact"/>
              <w:ind w:firstLine="520" w:firstLineChars="200"/>
              <w:rPr>
                <w:sz w:val="26"/>
                <w:szCs w:val="26"/>
              </w:rPr>
            </w:pPr>
            <w:r>
              <w:rPr>
                <w:rFonts w:hint="eastAsia"/>
                <w:sz w:val="26"/>
                <w:szCs w:val="26"/>
              </w:rPr>
              <w:t>另外，汽油油气回收系统的气液比应在1</w:t>
            </w:r>
            <w:r>
              <w:rPr>
                <w:sz w:val="26"/>
                <w:szCs w:val="26"/>
              </w:rPr>
              <w:t>.0</w:t>
            </w:r>
            <w:r>
              <w:rPr>
                <w:rFonts w:hint="eastAsia"/>
                <w:sz w:val="26"/>
                <w:szCs w:val="26"/>
              </w:rPr>
              <w:t>~</w:t>
            </w:r>
            <w:r>
              <w:rPr>
                <w:sz w:val="26"/>
                <w:szCs w:val="26"/>
              </w:rPr>
              <w:t>1.2</w:t>
            </w:r>
            <w:r>
              <w:rPr>
                <w:rFonts w:hint="eastAsia"/>
                <w:sz w:val="26"/>
                <w:szCs w:val="26"/>
              </w:rPr>
              <w:t>范围内。</w:t>
            </w:r>
          </w:p>
          <w:p w14:paraId="726D0CFF">
            <w:pPr>
              <w:adjustRightInd w:val="0"/>
              <w:snapToGrid w:val="0"/>
              <w:spacing w:line="460" w:lineRule="exact"/>
              <w:jc w:val="left"/>
              <w:rPr>
                <w:b/>
                <w:sz w:val="26"/>
                <w:szCs w:val="26"/>
              </w:rPr>
            </w:pPr>
            <w:r>
              <w:rPr>
                <w:b/>
                <w:sz w:val="26"/>
                <w:szCs w:val="26"/>
              </w:rPr>
              <w:t>3.3.2水污染物排放标准</w:t>
            </w:r>
          </w:p>
          <w:p w14:paraId="281581B9">
            <w:pPr>
              <w:widowControl/>
              <w:adjustRightInd w:val="0"/>
              <w:snapToGrid w:val="0"/>
              <w:spacing w:line="460" w:lineRule="exact"/>
              <w:ind w:firstLine="520" w:firstLineChars="200"/>
              <w:rPr>
                <w:sz w:val="26"/>
                <w:szCs w:val="26"/>
              </w:rPr>
            </w:pPr>
            <w:r>
              <w:rPr>
                <w:rFonts w:hint="eastAsia"/>
                <w:sz w:val="26"/>
                <w:szCs w:val="26"/>
              </w:rPr>
              <w:t>本项目场地冲洗废水</w:t>
            </w:r>
            <w:r>
              <w:rPr>
                <w:rFonts w:hint="eastAsia"/>
                <w:sz w:val="26"/>
                <w:szCs w:val="26"/>
                <w:lang w:val="en-US" w:eastAsia="zh-CN"/>
              </w:rPr>
              <w:t>和洗车废水</w:t>
            </w:r>
            <w:r>
              <w:rPr>
                <w:rFonts w:hint="eastAsia"/>
                <w:sz w:val="26"/>
                <w:szCs w:val="26"/>
              </w:rPr>
              <w:t>经隔油池预处理达《污水综合排放标准》（GB</w:t>
            </w:r>
            <w:r>
              <w:rPr>
                <w:sz w:val="26"/>
                <w:szCs w:val="26"/>
              </w:rPr>
              <w:t xml:space="preserve"> 8978</w:t>
            </w:r>
            <w:r>
              <w:rPr>
                <w:rFonts w:hint="eastAsia"/>
                <w:sz w:val="26"/>
                <w:szCs w:val="26"/>
              </w:rPr>
              <w:t>-</w:t>
            </w:r>
            <w:r>
              <w:rPr>
                <w:sz w:val="26"/>
                <w:szCs w:val="26"/>
              </w:rPr>
              <w:t>1996</w:t>
            </w:r>
            <w:r>
              <w:rPr>
                <w:rFonts w:hint="eastAsia"/>
                <w:sz w:val="26"/>
                <w:szCs w:val="26"/>
              </w:rPr>
              <w:t>）三级标准后同</w:t>
            </w:r>
            <w:r>
              <w:rPr>
                <w:rFonts w:hint="eastAsia"/>
                <w:sz w:val="26"/>
                <w:szCs w:val="26"/>
                <w:lang w:val="en-US" w:eastAsia="zh-CN"/>
              </w:rPr>
              <w:t>经化粪池处理达标后的</w:t>
            </w:r>
            <w:r>
              <w:rPr>
                <w:rFonts w:hint="eastAsia"/>
                <w:sz w:val="26"/>
                <w:szCs w:val="26"/>
              </w:rPr>
              <w:t>生活污水一并排入市政污水管网；本项目污水最终进入</w:t>
            </w:r>
            <w:r>
              <w:rPr>
                <w:rFonts w:hint="eastAsia"/>
                <w:sz w:val="26"/>
                <w:szCs w:val="26"/>
                <w:lang w:val="en-US" w:eastAsia="zh-CN"/>
              </w:rPr>
              <w:t>大九</w:t>
            </w:r>
            <w:r>
              <w:rPr>
                <w:rFonts w:hint="eastAsia"/>
                <w:sz w:val="26"/>
                <w:szCs w:val="26"/>
              </w:rPr>
              <w:t>污水处理厂处理达《城镇污水处理厂污染物排放标准》（GB18918-2002）一级A标准后排入</w:t>
            </w:r>
            <w:r>
              <w:rPr>
                <w:rFonts w:hint="eastAsia"/>
                <w:sz w:val="26"/>
                <w:szCs w:val="26"/>
                <w:lang w:val="en-US" w:eastAsia="zh-CN"/>
              </w:rPr>
              <w:t>长江</w:t>
            </w:r>
            <w:r>
              <w:rPr>
                <w:rFonts w:hint="eastAsia"/>
                <w:sz w:val="26"/>
                <w:szCs w:val="26"/>
              </w:rPr>
              <w:t>。具体</w:t>
            </w:r>
            <w:r>
              <w:rPr>
                <w:sz w:val="26"/>
                <w:szCs w:val="26"/>
              </w:rPr>
              <w:t>排放限值见表3.3-</w:t>
            </w:r>
            <w:r>
              <w:rPr>
                <w:rFonts w:hint="eastAsia"/>
                <w:sz w:val="26"/>
                <w:szCs w:val="26"/>
                <w:lang w:val="en-US" w:eastAsia="zh-CN"/>
              </w:rPr>
              <w:t>4</w:t>
            </w:r>
            <w:r>
              <w:rPr>
                <w:sz w:val="26"/>
                <w:szCs w:val="26"/>
              </w:rPr>
              <w:t>。</w:t>
            </w:r>
          </w:p>
          <w:p w14:paraId="4BA6B6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6"/>
                <w:szCs w:val="26"/>
              </w:rPr>
            </w:pPr>
            <w:r>
              <w:rPr>
                <w:sz w:val="22"/>
                <w:szCs w:val="22"/>
              </w:rPr>
              <w:t>表3.3-</w:t>
            </w:r>
            <w:r>
              <w:rPr>
                <w:rFonts w:hint="eastAsia"/>
                <w:sz w:val="22"/>
                <w:szCs w:val="22"/>
                <w:lang w:val="en-US" w:eastAsia="zh-CN"/>
              </w:rPr>
              <w:t xml:space="preserve">4  </w:t>
            </w:r>
            <w:r>
              <w:rPr>
                <w:sz w:val="22"/>
                <w:szCs w:val="22"/>
              </w:rPr>
              <w:t>废水排放标准</w:t>
            </w:r>
            <w:r>
              <w:rPr>
                <w:rFonts w:hint="eastAsia"/>
                <w:sz w:val="22"/>
                <w:szCs w:val="22"/>
                <w:lang w:val="en-US" w:eastAsia="zh-CN"/>
              </w:rPr>
              <w:t xml:space="preserve">  </w:t>
            </w:r>
            <w:r>
              <w:rPr>
                <w:sz w:val="22"/>
                <w:szCs w:val="22"/>
              </w:rPr>
              <w:t>单位：mg/L</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67"/>
              <w:gridCol w:w="830"/>
              <w:gridCol w:w="851"/>
              <w:gridCol w:w="996"/>
              <w:gridCol w:w="705"/>
              <w:gridCol w:w="806"/>
              <w:gridCol w:w="813"/>
            </w:tblGrid>
            <w:tr w14:paraId="121F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15" w:type="dxa"/>
                  <w:vAlign w:val="center"/>
                </w:tcPr>
                <w:p w14:paraId="03E9E245">
                  <w:pPr>
                    <w:pStyle w:val="53"/>
                    <w:kinsoku w:val="0"/>
                    <w:overflowPunct w:val="0"/>
                    <w:spacing w:line="300" w:lineRule="exact"/>
                    <w:rPr>
                      <w:rFonts w:ascii="Times New Roman" w:hAnsi="Times New Roman"/>
                    </w:rPr>
                  </w:pPr>
                  <w:r>
                    <w:rPr>
                      <w:rFonts w:ascii="Times New Roman" w:hAnsi="Times New Roman"/>
                    </w:rPr>
                    <w:t>项目</w:t>
                  </w:r>
                </w:p>
              </w:tc>
              <w:tc>
                <w:tcPr>
                  <w:tcW w:w="657" w:type="dxa"/>
                  <w:vAlign w:val="center"/>
                </w:tcPr>
                <w:p w14:paraId="0EFB4954">
                  <w:pPr>
                    <w:pStyle w:val="53"/>
                    <w:kinsoku w:val="0"/>
                    <w:overflowPunct w:val="0"/>
                    <w:spacing w:line="300" w:lineRule="exact"/>
                    <w:rPr>
                      <w:rFonts w:ascii="Times New Roman" w:hAnsi="Times New Roman" w:eastAsia="等线"/>
                      <w:spacing w:val="-1"/>
                    </w:rPr>
                  </w:pPr>
                  <w:r>
                    <w:rPr>
                      <w:rFonts w:hint="eastAsia" w:ascii="Times New Roman" w:hAnsi="Times New Roman" w:eastAsia="等线"/>
                      <w:spacing w:val="-1"/>
                    </w:rPr>
                    <w:t>p</w:t>
                  </w:r>
                  <w:r>
                    <w:rPr>
                      <w:rFonts w:ascii="Times New Roman" w:hAnsi="Times New Roman" w:eastAsia="等线"/>
                      <w:spacing w:val="-1"/>
                    </w:rPr>
                    <w:t>H</w:t>
                  </w:r>
                </w:p>
              </w:tc>
              <w:tc>
                <w:tcPr>
                  <w:tcW w:w="825" w:type="dxa"/>
                  <w:vAlign w:val="center"/>
                </w:tcPr>
                <w:p w14:paraId="33485001">
                  <w:pPr>
                    <w:pStyle w:val="53"/>
                    <w:kinsoku w:val="0"/>
                    <w:overflowPunct w:val="0"/>
                    <w:spacing w:line="300" w:lineRule="exact"/>
                    <w:rPr>
                      <w:rFonts w:ascii="Times New Roman" w:hAnsi="Times New Roman"/>
                    </w:rPr>
                  </w:pPr>
                  <w:r>
                    <w:rPr>
                      <w:rFonts w:ascii="Times New Roman" w:hAnsi="Times New Roman" w:eastAsia="Times New Roman"/>
                      <w:spacing w:val="-1"/>
                    </w:rPr>
                    <w:t>COD</w:t>
                  </w:r>
                </w:p>
              </w:tc>
              <w:tc>
                <w:tcPr>
                  <w:tcW w:w="846" w:type="dxa"/>
                  <w:vAlign w:val="center"/>
                </w:tcPr>
                <w:p w14:paraId="521CE8EF">
                  <w:pPr>
                    <w:pStyle w:val="53"/>
                    <w:kinsoku w:val="0"/>
                    <w:overflowPunct w:val="0"/>
                    <w:spacing w:line="300" w:lineRule="exact"/>
                    <w:rPr>
                      <w:rFonts w:ascii="Times New Roman" w:hAnsi="Times New Roman"/>
                    </w:rPr>
                  </w:pPr>
                  <w:r>
                    <w:rPr>
                      <w:rFonts w:ascii="Times New Roman" w:hAnsi="Times New Roman" w:eastAsia="Times New Roman"/>
                      <w:spacing w:val="-1"/>
                    </w:rPr>
                    <w:t>BOD</w:t>
                  </w:r>
                  <w:r>
                    <w:rPr>
                      <w:rFonts w:ascii="Times New Roman" w:hAnsi="Times New Roman" w:eastAsia="Times New Roman"/>
                      <w:spacing w:val="-1"/>
                      <w:vertAlign w:val="subscript"/>
                    </w:rPr>
                    <w:t>5</w:t>
                  </w:r>
                </w:p>
              </w:tc>
              <w:tc>
                <w:tcPr>
                  <w:tcW w:w="996" w:type="dxa"/>
                  <w:vAlign w:val="center"/>
                </w:tcPr>
                <w:p w14:paraId="5D4284CF">
                  <w:pPr>
                    <w:pStyle w:val="53"/>
                    <w:kinsoku w:val="0"/>
                    <w:overflowPunct w:val="0"/>
                    <w:spacing w:line="300" w:lineRule="exact"/>
                    <w:rPr>
                      <w:rFonts w:ascii="Times New Roman" w:hAnsi="Times New Roman"/>
                    </w:rPr>
                  </w:pPr>
                  <w:r>
                    <w:rPr>
                      <w:rFonts w:ascii="Times New Roman" w:hAnsi="Times New Roman"/>
                    </w:rPr>
                    <w:t>氨氮</w:t>
                  </w:r>
                </w:p>
              </w:tc>
              <w:tc>
                <w:tcPr>
                  <w:tcW w:w="696" w:type="dxa"/>
                  <w:vAlign w:val="center"/>
                </w:tcPr>
                <w:p w14:paraId="795D12F6">
                  <w:pPr>
                    <w:pStyle w:val="53"/>
                    <w:kinsoku w:val="0"/>
                    <w:overflowPunct w:val="0"/>
                    <w:spacing w:line="300" w:lineRule="exact"/>
                    <w:rPr>
                      <w:rFonts w:ascii="Times New Roman" w:hAnsi="Times New Roman"/>
                    </w:rPr>
                  </w:pPr>
                  <w:r>
                    <w:rPr>
                      <w:rFonts w:ascii="Times New Roman" w:hAnsi="Times New Roman" w:eastAsia="Times New Roman"/>
                      <w:spacing w:val="-1"/>
                    </w:rPr>
                    <w:t>SS</w:t>
                  </w:r>
                </w:p>
              </w:tc>
              <w:tc>
                <w:tcPr>
                  <w:tcW w:w="800" w:type="dxa"/>
                  <w:vAlign w:val="center"/>
                </w:tcPr>
                <w:p w14:paraId="1F7E4C7F">
                  <w:pPr>
                    <w:widowControl/>
                    <w:jc w:val="center"/>
                    <w:rPr>
                      <w:sz w:val="22"/>
                      <w:szCs w:val="22"/>
                    </w:rPr>
                  </w:pPr>
                  <w:r>
                    <w:rPr>
                      <w:rFonts w:hint="eastAsia"/>
                      <w:kern w:val="0"/>
                      <w:sz w:val="22"/>
                      <w:szCs w:val="22"/>
                    </w:rPr>
                    <w:t>石油类</w:t>
                  </w:r>
                </w:p>
              </w:tc>
              <w:tc>
                <w:tcPr>
                  <w:tcW w:w="806" w:type="dxa"/>
                  <w:vAlign w:val="center"/>
                </w:tcPr>
                <w:p w14:paraId="5117FE47">
                  <w:pPr>
                    <w:widowControl/>
                    <w:jc w:val="center"/>
                    <w:rPr>
                      <w:kern w:val="0"/>
                      <w:sz w:val="22"/>
                      <w:szCs w:val="22"/>
                    </w:rPr>
                  </w:pPr>
                  <w:r>
                    <w:rPr>
                      <w:rFonts w:hint="eastAsia"/>
                      <w:kern w:val="0"/>
                      <w:sz w:val="22"/>
                      <w:szCs w:val="22"/>
                    </w:rPr>
                    <w:t>L</w:t>
                  </w:r>
                  <w:r>
                    <w:rPr>
                      <w:kern w:val="0"/>
                      <w:sz w:val="22"/>
                      <w:szCs w:val="22"/>
                    </w:rPr>
                    <w:t>AS</w:t>
                  </w:r>
                </w:p>
              </w:tc>
            </w:tr>
            <w:tr w14:paraId="72FF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15" w:type="dxa"/>
                  <w:vAlign w:val="center"/>
                </w:tcPr>
                <w:p w14:paraId="625D6590">
                  <w:pPr>
                    <w:pStyle w:val="53"/>
                    <w:kinsoku w:val="0"/>
                    <w:overflowPunct w:val="0"/>
                    <w:spacing w:line="300" w:lineRule="exact"/>
                    <w:rPr>
                      <w:rFonts w:ascii="Times New Roman" w:hAnsi="Times New Roman"/>
                    </w:rPr>
                  </w:pPr>
                  <w:r>
                    <w:rPr>
                      <w:rFonts w:hint="eastAsia" w:ascii="宋体" w:hAnsi="宋体" w:cs="宋体"/>
                    </w:rPr>
                    <w:t>《污水综合排放标准》（</w:t>
                  </w:r>
                  <w:r>
                    <w:rPr>
                      <w:rFonts w:hint="eastAsia" w:ascii="Times New Roman" w:hAnsi="Times New Roman" w:eastAsia="Times New Roman"/>
                    </w:rPr>
                    <w:t>GB8978-1996</w:t>
                  </w:r>
                  <w:r>
                    <w:rPr>
                      <w:rFonts w:hint="eastAsia" w:ascii="宋体" w:hAnsi="宋体" w:cs="宋体"/>
                    </w:rPr>
                    <w:t>）三级标准</w:t>
                  </w:r>
                </w:p>
              </w:tc>
              <w:tc>
                <w:tcPr>
                  <w:tcW w:w="657" w:type="dxa"/>
                  <w:vAlign w:val="center"/>
                </w:tcPr>
                <w:p w14:paraId="0C9D308B">
                  <w:pPr>
                    <w:pStyle w:val="53"/>
                    <w:kinsoku w:val="0"/>
                    <w:overflowPunct w:val="0"/>
                    <w:spacing w:line="300" w:lineRule="exact"/>
                    <w:rPr>
                      <w:rFonts w:ascii="Times New Roman" w:hAnsi="Times New Roman"/>
                    </w:rPr>
                  </w:pPr>
                  <w:r>
                    <w:rPr>
                      <w:rFonts w:hint="eastAsia" w:ascii="Times New Roman" w:hAnsi="Times New Roman" w:eastAsia="等线"/>
                      <w:spacing w:val="-1"/>
                    </w:rPr>
                    <w:t>6</w:t>
                  </w:r>
                  <w:r>
                    <w:rPr>
                      <w:rFonts w:ascii="Times New Roman" w:hAnsi="Times New Roman" w:eastAsia="等线"/>
                      <w:spacing w:val="-1"/>
                    </w:rPr>
                    <w:t>~9</w:t>
                  </w:r>
                </w:p>
              </w:tc>
              <w:tc>
                <w:tcPr>
                  <w:tcW w:w="825" w:type="dxa"/>
                  <w:vAlign w:val="center"/>
                </w:tcPr>
                <w:p w14:paraId="235F0E26">
                  <w:pPr>
                    <w:pStyle w:val="53"/>
                    <w:kinsoku w:val="0"/>
                    <w:overflowPunct w:val="0"/>
                    <w:spacing w:line="300" w:lineRule="exact"/>
                    <w:rPr>
                      <w:rFonts w:ascii="Times New Roman" w:hAnsi="Times New Roman"/>
                    </w:rPr>
                  </w:pPr>
                  <w:r>
                    <w:rPr>
                      <w:rFonts w:ascii="Times New Roman" w:hAnsi="Times New Roman"/>
                    </w:rPr>
                    <w:t>≤</w:t>
                  </w:r>
                  <w:r>
                    <w:rPr>
                      <w:rFonts w:ascii="Times New Roman" w:hAnsi="Times New Roman" w:eastAsia="Times New Roman"/>
                    </w:rPr>
                    <w:t>5</w:t>
                  </w:r>
                  <w:r>
                    <w:rPr>
                      <w:rFonts w:ascii="Times New Roman" w:hAnsi="Times New Roman" w:eastAsia="Times New Roman"/>
                      <w:spacing w:val="-1"/>
                    </w:rPr>
                    <w:t>00</w:t>
                  </w:r>
                </w:p>
              </w:tc>
              <w:tc>
                <w:tcPr>
                  <w:tcW w:w="846" w:type="dxa"/>
                  <w:vAlign w:val="center"/>
                </w:tcPr>
                <w:p w14:paraId="42E93BF3">
                  <w:pPr>
                    <w:pStyle w:val="53"/>
                    <w:kinsoku w:val="0"/>
                    <w:overflowPunct w:val="0"/>
                    <w:spacing w:line="300" w:lineRule="exact"/>
                    <w:rPr>
                      <w:rFonts w:ascii="Times New Roman" w:hAnsi="Times New Roman"/>
                    </w:rPr>
                  </w:pPr>
                  <w:r>
                    <w:rPr>
                      <w:rFonts w:ascii="Times New Roman" w:hAnsi="Times New Roman"/>
                    </w:rPr>
                    <w:t>≤</w:t>
                  </w:r>
                  <w:r>
                    <w:rPr>
                      <w:rFonts w:hint="eastAsia" w:ascii="Times New Roman" w:hAnsi="Times New Roman"/>
                    </w:rPr>
                    <w:t>3</w:t>
                  </w:r>
                  <w:r>
                    <w:rPr>
                      <w:rFonts w:ascii="Times New Roman" w:hAnsi="Times New Roman" w:eastAsia="Times New Roman"/>
                      <w:spacing w:val="-1"/>
                    </w:rPr>
                    <w:t>00</w:t>
                  </w:r>
                </w:p>
              </w:tc>
              <w:tc>
                <w:tcPr>
                  <w:tcW w:w="996" w:type="dxa"/>
                  <w:vAlign w:val="center"/>
                </w:tcPr>
                <w:p w14:paraId="0CC00118">
                  <w:pPr>
                    <w:pStyle w:val="53"/>
                    <w:kinsoku w:val="0"/>
                    <w:overflowPunct w:val="0"/>
                    <w:spacing w:line="300" w:lineRule="exact"/>
                    <w:rPr>
                      <w:rFonts w:ascii="Times New Roman" w:hAnsi="Times New Roman"/>
                    </w:rPr>
                  </w:pPr>
                  <w:r>
                    <w:rPr>
                      <w:rFonts w:ascii="Times New Roman" w:hAnsi="Times New Roman"/>
                    </w:rPr>
                    <w:t>≤</w:t>
                  </w:r>
                  <w:r>
                    <w:rPr>
                      <w:rFonts w:ascii="Times New Roman" w:hAnsi="Times New Roman" w:eastAsia="Times New Roman"/>
                    </w:rPr>
                    <w:t>45</w:t>
                  </w:r>
                  <w:r>
                    <w:rPr>
                      <w:rFonts w:ascii="Times New Roman" w:hAnsi="Times New Roman"/>
                    </w:rPr>
                    <w:t>*</w:t>
                  </w:r>
                </w:p>
              </w:tc>
              <w:tc>
                <w:tcPr>
                  <w:tcW w:w="696" w:type="dxa"/>
                  <w:vAlign w:val="center"/>
                </w:tcPr>
                <w:p w14:paraId="150BE454">
                  <w:pPr>
                    <w:pStyle w:val="53"/>
                    <w:kinsoku w:val="0"/>
                    <w:overflowPunct w:val="0"/>
                    <w:spacing w:line="300" w:lineRule="exact"/>
                    <w:rPr>
                      <w:rFonts w:ascii="Times New Roman" w:hAnsi="Times New Roman"/>
                    </w:rPr>
                  </w:pPr>
                  <w:r>
                    <w:rPr>
                      <w:rFonts w:ascii="Times New Roman" w:hAnsi="Times New Roman"/>
                    </w:rPr>
                    <w:t>≤</w:t>
                  </w:r>
                  <w:r>
                    <w:rPr>
                      <w:rFonts w:ascii="Times New Roman" w:hAnsi="Times New Roman" w:eastAsia="Times New Roman"/>
                    </w:rPr>
                    <w:t>4</w:t>
                  </w:r>
                  <w:r>
                    <w:rPr>
                      <w:rFonts w:ascii="Times New Roman" w:hAnsi="Times New Roman" w:eastAsia="Times New Roman"/>
                      <w:spacing w:val="-1"/>
                    </w:rPr>
                    <w:t>00</w:t>
                  </w:r>
                </w:p>
              </w:tc>
              <w:tc>
                <w:tcPr>
                  <w:tcW w:w="800" w:type="dxa"/>
                  <w:vAlign w:val="center"/>
                </w:tcPr>
                <w:p w14:paraId="76FB8E8B">
                  <w:pPr>
                    <w:pStyle w:val="53"/>
                    <w:kinsoku w:val="0"/>
                    <w:overflowPunct w:val="0"/>
                    <w:spacing w:line="300" w:lineRule="exact"/>
                    <w:rPr>
                      <w:rFonts w:ascii="Times New Roman" w:hAnsi="Times New Roman"/>
                    </w:rPr>
                  </w:pPr>
                  <w:r>
                    <w:rPr>
                      <w:rFonts w:ascii="Times New Roman" w:hAnsi="Times New Roman"/>
                    </w:rPr>
                    <w:t>≤30</w:t>
                  </w:r>
                </w:p>
              </w:tc>
              <w:tc>
                <w:tcPr>
                  <w:tcW w:w="806" w:type="dxa"/>
                  <w:vAlign w:val="center"/>
                </w:tcPr>
                <w:p w14:paraId="1E676FA2">
                  <w:pPr>
                    <w:pStyle w:val="53"/>
                    <w:kinsoku w:val="0"/>
                    <w:overflowPunct w:val="0"/>
                    <w:spacing w:line="300" w:lineRule="exact"/>
                    <w:rPr>
                      <w:rFonts w:ascii="Times New Roman" w:hAnsi="Times New Roman"/>
                    </w:rPr>
                  </w:pPr>
                  <w:r>
                    <w:rPr>
                      <w:rFonts w:ascii="Times New Roman" w:hAnsi="Times New Roman"/>
                    </w:rPr>
                    <w:t>≤20</w:t>
                  </w:r>
                </w:p>
              </w:tc>
            </w:tr>
            <w:tr w14:paraId="6D29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15" w:type="dxa"/>
                  <w:vAlign w:val="center"/>
                </w:tcPr>
                <w:p w14:paraId="13B996F1">
                  <w:pPr>
                    <w:pStyle w:val="53"/>
                    <w:kinsoku w:val="0"/>
                    <w:overflowPunct w:val="0"/>
                    <w:spacing w:line="300" w:lineRule="exact"/>
                    <w:rPr>
                      <w:rFonts w:ascii="Times New Roman" w:hAnsi="Times New Roman"/>
                    </w:rPr>
                  </w:pPr>
                  <w:r>
                    <w:rPr>
                      <w:rFonts w:hint="eastAsia" w:ascii="宋体" w:hAnsi="宋体" w:cs="宋体"/>
                    </w:rPr>
                    <w:t>《城镇污水处理厂污染物排放标准》（</w:t>
                  </w:r>
                  <w:r>
                    <w:rPr>
                      <w:rFonts w:hint="eastAsia" w:ascii="Times New Roman" w:hAnsi="Times New Roman" w:eastAsia="Times New Roman"/>
                    </w:rPr>
                    <w:t>GB18918-2002</w:t>
                  </w:r>
                  <w:r>
                    <w:rPr>
                      <w:rFonts w:hint="eastAsia" w:ascii="宋体" w:hAnsi="宋体" w:cs="宋体"/>
                    </w:rPr>
                    <w:t>）一级</w:t>
                  </w:r>
                  <w:r>
                    <w:rPr>
                      <w:rFonts w:ascii="Times New Roman" w:hAnsi="Times New Roman" w:eastAsia="Times New Roman"/>
                    </w:rPr>
                    <w:t>A</w:t>
                  </w:r>
                  <w:r>
                    <w:rPr>
                      <w:rFonts w:hint="eastAsia" w:ascii="宋体" w:hAnsi="宋体" w:cs="宋体"/>
                    </w:rPr>
                    <w:t>标准</w:t>
                  </w:r>
                </w:p>
              </w:tc>
              <w:tc>
                <w:tcPr>
                  <w:tcW w:w="657" w:type="dxa"/>
                  <w:vAlign w:val="center"/>
                </w:tcPr>
                <w:p w14:paraId="15C02EF5">
                  <w:pPr>
                    <w:pStyle w:val="53"/>
                    <w:kinsoku w:val="0"/>
                    <w:overflowPunct w:val="0"/>
                    <w:spacing w:line="300" w:lineRule="exact"/>
                    <w:rPr>
                      <w:rFonts w:ascii="Times New Roman" w:hAnsi="Times New Roman"/>
                    </w:rPr>
                  </w:pPr>
                  <w:r>
                    <w:rPr>
                      <w:rFonts w:hint="eastAsia" w:ascii="Times New Roman" w:hAnsi="Times New Roman" w:eastAsia="等线"/>
                      <w:spacing w:val="-1"/>
                    </w:rPr>
                    <w:t>6</w:t>
                  </w:r>
                  <w:r>
                    <w:rPr>
                      <w:rFonts w:ascii="Times New Roman" w:hAnsi="Times New Roman" w:eastAsia="等线"/>
                      <w:spacing w:val="-1"/>
                    </w:rPr>
                    <w:t>~9</w:t>
                  </w:r>
                </w:p>
              </w:tc>
              <w:tc>
                <w:tcPr>
                  <w:tcW w:w="825" w:type="dxa"/>
                  <w:vAlign w:val="center"/>
                </w:tcPr>
                <w:p w14:paraId="7C1BC10E">
                  <w:pPr>
                    <w:pStyle w:val="53"/>
                    <w:kinsoku w:val="0"/>
                    <w:overflowPunct w:val="0"/>
                    <w:spacing w:line="300" w:lineRule="exact"/>
                    <w:rPr>
                      <w:rFonts w:ascii="Times New Roman" w:hAnsi="Times New Roman"/>
                    </w:rPr>
                  </w:pPr>
                  <w:r>
                    <w:rPr>
                      <w:rFonts w:ascii="Times New Roman" w:hAnsi="Times New Roman"/>
                    </w:rPr>
                    <w:t>≤</w:t>
                  </w:r>
                  <w:r>
                    <w:rPr>
                      <w:rFonts w:ascii="Times New Roman" w:hAnsi="Times New Roman" w:eastAsia="Times New Roman"/>
                    </w:rPr>
                    <w:t>50</w:t>
                  </w:r>
                </w:p>
              </w:tc>
              <w:tc>
                <w:tcPr>
                  <w:tcW w:w="846" w:type="dxa"/>
                  <w:vAlign w:val="center"/>
                </w:tcPr>
                <w:p w14:paraId="3C942410">
                  <w:pPr>
                    <w:pStyle w:val="53"/>
                    <w:kinsoku w:val="0"/>
                    <w:overflowPunct w:val="0"/>
                    <w:spacing w:line="300" w:lineRule="exact"/>
                    <w:rPr>
                      <w:rFonts w:ascii="Times New Roman" w:hAnsi="Times New Roman"/>
                    </w:rPr>
                  </w:pPr>
                  <w:r>
                    <w:rPr>
                      <w:rFonts w:ascii="Times New Roman" w:hAnsi="Times New Roman"/>
                    </w:rPr>
                    <w:t>≤1</w:t>
                  </w:r>
                  <w:r>
                    <w:rPr>
                      <w:rFonts w:hint="eastAsia" w:ascii="Times New Roman" w:hAnsi="Times New Roman"/>
                    </w:rPr>
                    <w:t>0</w:t>
                  </w:r>
                </w:p>
              </w:tc>
              <w:tc>
                <w:tcPr>
                  <w:tcW w:w="996" w:type="dxa"/>
                  <w:vAlign w:val="center"/>
                </w:tcPr>
                <w:p w14:paraId="1C7BE853">
                  <w:pPr>
                    <w:pStyle w:val="53"/>
                    <w:kinsoku w:val="0"/>
                    <w:overflowPunct w:val="0"/>
                    <w:spacing w:line="300" w:lineRule="exact"/>
                    <w:rPr>
                      <w:rFonts w:ascii="Times New Roman" w:hAnsi="Times New Roman"/>
                    </w:rPr>
                  </w:pPr>
                  <w:r>
                    <w:rPr>
                      <w:rFonts w:ascii="Times New Roman" w:hAnsi="Times New Roman"/>
                    </w:rPr>
                    <w:t>≤</w:t>
                  </w:r>
                  <w:r>
                    <w:rPr>
                      <w:rFonts w:ascii="Times New Roman" w:hAnsi="Times New Roman" w:eastAsia="Times New Roman"/>
                    </w:rPr>
                    <w:t>5</w:t>
                  </w:r>
                  <w:r>
                    <w:rPr>
                      <w:rFonts w:hint="eastAsia" w:ascii="Times New Roman" w:hAnsi="Times New Roman"/>
                    </w:rPr>
                    <w:t>（</w:t>
                  </w:r>
                  <w:r>
                    <w:rPr>
                      <w:rFonts w:ascii="Times New Roman" w:hAnsi="Times New Roman"/>
                    </w:rPr>
                    <w:t>8</w:t>
                  </w:r>
                  <w:r>
                    <w:rPr>
                      <w:rFonts w:hint="eastAsia" w:ascii="Times New Roman" w:hAnsi="Times New Roman"/>
                    </w:rPr>
                    <w:t>）</w:t>
                  </w:r>
                  <w:r>
                    <w:rPr>
                      <w:rFonts w:hint="eastAsia"/>
                      <w:vertAlign w:val="superscript"/>
                    </w:rPr>
                    <w:t>@</w:t>
                  </w:r>
                </w:p>
              </w:tc>
              <w:tc>
                <w:tcPr>
                  <w:tcW w:w="696" w:type="dxa"/>
                  <w:vAlign w:val="center"/>
                </w:tcPr>
                <w:p w14:paraId="7B955CD9">
                  <w:pPr>
                    <w:pStyle w:val="53"/>
                    <w:kinsoku w:val="0"/>
                    <w:overflowPunct w:val="0"/>
                    <w:spacing w:line="300" w:lineRule="exact"/>
                    <w:rPr>
                      <w:rFonts w:ascii="Times New Roman" w:hAnsi="Times New Roman"/>
                    </w:rPr>
                  </w:pPr>
                  <w:r>
                    <w:rPr>
                      <w:rFonts w:ascii="Times New Roman" w:hAnsi="Times New Roman"/>
                    </w:rPr>
                    <w:t>≤</w:t>
                  </w:r>
                  <w:r>
                    <w:rPr>
                      <w:rFonts w:ascii="Times New Roman" w:hAnsi="Times New Roman" w:eastAsia="Times New Roman"/>
                    </w:rPr>
                    <w:t>10</w:t>
                  </w:r>
                </w:p>
              </w:tc>
              <w:tc>
                <w:tcPr>
                  <w:tcW w:w="800" w:type="dxa"/>
                  <w:vAlign w:val="center"/>
                </w:tcPr>
                <w:p w14:paraId="66F1FA38">
                  <w:pPr>
                    <w:pStyle w:val="53"/>
                    <w:kinsoku w:val="0"/>
                    <w:overflowPunct w:val="0"/>
                    <w:spacing w:line="300" w:lineRule="exact"/>
                    <w:rPr>
                      <w:rFonts w:ascii="Times New Roman" w:hAnsi="Times New Roman"/>
                    </w:rPr>
                  </w:pPr>
                  <w:r>
                    <w:rPr>
                      <w:rFonts w:ascii="Times New Roman" w:hAnsi="Times New Roman"/>
                    </w:rPr>
                    <w:t>≤1.0</w:t>
                  </w:r>
                </w:p>
              </w:tc>
              <w:tc>
                <w:tcPr>
                  <w:tcW w:w="806" w:type="dxa"/>
                  <w:vAlign w:val="center"/>
                </w:tcPr>
                <w:p w14:paraId="50D7B4AF">
                  <w:pPr>
                    <w:pStyle w:val="53"/>
                    <w:kinsoku w:val="0"/>
                    <w:overflowPunct w:val="0"/>
                    <w:spacing w:line="300" w:lineRule="exact"/>
                    <w:rPr>
                      <w:rFonts w:ascii="Times New Roman" w:hAnsi="Times New Roman"/>
                    </w:rPr>
                  </w:pPr>
                  <w:r>
                    <w:rPr>
                      <w:rFonts w:ascii="Times New Roman" w:hAnsi="Times New Roman"/>
                    </w:rPr>
                    <w:t>≤0.5</w:t>
                  </w:r>
                </w:p>
              </w:tc>
            </w:tr>
          </w:tbl>
          <w:p w14:paraId="5B02BBCE">
            <w:pPr>
              <w:pStyle w:val="71"/>
              <w:jc w:val="left"/>
              <w:rPr>
                <w:color w:val="auto"/>
              </w:rPr>
            </w:pPr>
            <w:r>
              <w:rPr>
                <w:color w:val="auto"/>
              </w:rPr>
              <w:t>注：</w:t>
            </w:r>
            <w:r>
              <w:rPr>
                <w:rFonts w:hint="eastAsia"/>
                <w:color w:val="auto"/>
              </w:rPr>
              <w:t>①</w:t>
            </w:r>
            <w:r>
              <w:rPr>
                <w:bCs/>
                <w:color w:val="auto"/>
              </w:rPr>
              <w:t>*</w:t>
            </w:r>
            <w:r>
              <w:rPr>
                <w:color w:val="auto"/>
              </w:rPr>
              <w:t>参照执行《污水排入城镇下水道水质标准》（GB/T 31962-2015）</w:t>
            </w:r>
            <w:r>
              <w:rPr>
                <w:rFonts w:hint="eastAsia"/>
                <w:color w:val="auto"/>
              </w:rPr>
              <w:t>；②</w:t>
            </w:r>
            <w:r>
              <w:rPr>
                <w:rFonts w:hint="eastAsia"/>
                <w:color w:val="auto"/>
                <w:vertAlign w:val="superscript"/>
              </w:rPr>
              <w:t>@</w:t>
            </w:r>
            <w:r>
              <w:rPr>
                <w:rFonts w:hint="eastAsia"/>
                <w:color w:val="auto"/>
                <w:spacing w:val="-6"/>
              </w:rPr>
              <w:t>括号</w:t>
            </w:r>
            <w:r>
              <w:rPr>
                <w:color w:val="auto"/>
                <w:spacing w:val="-6"/>
              </w:rPr>
              <w:t>外数值为水温＞12℃时的控制指标，括号内数值为水温</w:t>
            </w:r>
            <w:r>
              <w:rPr>
                <w:rFonts w:ascii="宋体" w:hAnsi="宋体"/>
                <w:color w:val="auto"/>
                <w:spacing w:val="-6"/>
              </w:rPr>
              <w:t>≤</w:t>
            </w:r>
            <w:r>
              <w:rPr>
                <w:color w:val="auto"/>
                <w:spacing w:val="-6"/>
              </w:rPr>
              <w:t>12℃时的控制指标。</w:t>
            </w:r>
          </w:p>
          <w:p w14:paraId="53EFE184">
            <w:pPr>
              <w:adjustRightInd w:val="0"/>
              <w:snapToGrid w:val="0"/>
              <w:spacing w:line="460" w:lineRule="exact"/>
              <w:jc w:val="left"/>
              <w:rPr>
                <w:b/>
                <w:sz w:val="26"/>
                <w:szCs w:val="26"/>
              </w:rPr>
            </w:pPr>
            <w:r>
              <w:rPr>
                <w:b/>
                <w:sz w:val="26"/>
                <w:szCs w:val="26"/>
              </w:rPr>
              <w:t>3.3.3噪声排放标准</w:t>
            </w:r>
          </w:p>
          <w:p w14:paraId="77475647">
            <w:pPr>
              <w:widowControl/>
              <w:adjustRightInd w:val="0"/>
              <w:snapToGrid w:val="0"/>
              <w:spacing w:line="460" w:lineRule="exact"/>
              <w:ind w:firstLine="520" w:firstLineChars="200"/>
              <w:rPr>
                <w:sz w:val="26"/>
                <w:szCs w:val="26"/>
              </w:rPr>
            </w:pPr>
            <w:r>
              <w:rPr>
                <w:rFonts w:hint="eastAsia"/>
                <w:sz w:val="26"/>
                <w:szCs w:val="26"/>
              </w:rPr>
              <w:t>项目营运期</w:t>
            </w:r>
            <w:r>
              <w:rPr>
                <w:rFonts w:hint="eastAsia"/>
                <w:sz w:val="26"/>
                <w:szCs w:val="26"/>
                <w:lang w:val="en-US" w:eastAsia="zh-CN"/>
              </w:rPr>
              <w:t>东</w:t>
            </w:r>
            <w:r>
              <w:rPr>
                <w:rFonts w:hint="eastAsia"/>
                <w:sz w:val="26"/>
                <w:szCs w:val="26"/>
              </w:rPr>
              <w:t>侧紧邻城市主干路，</w:t>
            </w:r>
            <w:r>
              <w:rPr>
                <w:rFonts w:hint="eastAsia"/>
                <w:sz w:val="26"/>
                <w:szCs w:val="26"/>
                <w:lang w:val="en-US" w:eastAsia="zh-CN"/>
              </w:rPr>
              <w:t>东侧</w:t>
            </w:r>
            <w:r>
              <w:rPr>
                <w:rFonts w:hint="eastAsia"/>
                <w:sz w:val="26"/>
                <w:szCs w:val="26"/>
              </w:rPr>
              <w:t>厂界噪声执行《工业企业厂界环境噪声排放标准》（GB12348-2008）中</w:t>
            </w:r>
            <w:r>
              <w:rPr>
                <w:sz w:val="26"/>
                <w:szCs w:val="26"/>
              </w:rPr>
              <w:t>4</w:t>
            </w:r>
            <w:r>
              <w:rPr>
                <w:rFonts w:hint="eastAsia"/>
                <w:sz w:val="26"/>
                <w:szCs w:val="26"/>
              </w:rPr>
              <w:t>类标准，其余厂界执行</w:t>
            </w:r>
            <w:r>
              <w:rPr>
                <w:rFonts w:hint="eastAsia"/>
                <w:sz w:val="26"/>
                <w:szCs w:val="26"/>
                <w:lang w:val="en-US" w:eastAsia="zh-CN"/>
              </w:rPr>
              <w:t>3</w:t>
            </w:r>
            <w:r>
              <w:rPr>
                <w:rFonts w:hint="eastAsia"/>
                <w:sz w:val="26"/>
                <w:szCs w:val="26"/>
              </w:rPr>
              <w:t>类标准。标准值详见表</w:t>
            </w:r>
            <w:r>
              <w:rPr>
                <w:sz w:val="26"/>
                <w:szCs w:val="26"/>
              </w:rPr>
              <w:t>3.3</w:t>
            </w:r>
            <w:r>
              <w:rPr>
                <w:rFonts w:hint="eastAsia"/>
                <w:sz w:val="26"/>
                <w:szCs w:val="26"/>
              </w:rPr>
              <w:t>-</w:t>
            </w:r>
            <w:r>
              <w:rPr>
                <w:sz w:val="26"/>
                <w:szCs w:val="26"/>
              </w:rPr>
              <w:t>6。</w:t>
            </w:r>
          </w:p>
          <w:p w14:paraId="50B4C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2"/>
                <w:szCs w:val="22"/>
              </w:rPr>
            </w:pPr>
            <w:r>
              <w:rPr>
                <w:sz w:val="22"/>
                <w:szCs w:val="22"/>
              </w:rPr>
              <w:t>表3.3-6</w:t>
            </w:r>
            <w:r>
              <w:rPr>
                <w:rFonts w:hint="eastAsia"/>
                <w:sz w:val="22"/>
                <w:szCs w:val="22"/>
                <w:lang w:val="en-US" w:eastAsia="zh-CN"/>
              </w:rPr>
              <w:t xml:space="preserve">  </w:t>
            </w:r>
            <w:r>
              <w:rPr>
                <w:sz w:val="22"/>
                <w:szCs w:val="22"/>
              </w:rPr>
              <w:t>工业企业场界环境噪声排放标准</w:t>
            </w:r>
            <w:r>
              <w:rPr>
                <w:rFonts w:hint="eastAsia"/>
                <w:sz w:val="22"/>
                <w:szCs w:val="22"/>
                <w:lang w:val="en-US" w:eastAsia="zh-CN"/>
              </w:rPr>
              <w:t xml:space="preserve">  </w:t>
            </w:r>
            <w:r>
              <w:rPr>
                <w:sz w:val="22"/>
                <w:szCs w:val="22"/>
              </w:rPr>
              <w:t>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944"/>
              <w:gridCol w:w="2944"/>
            </w:tblGrid>
            <w:tr w14:paraId="700E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9" w:type="dxa"/>
                  <w:vAlign w:val="center"/>
                </w:tcPr>
                <w:p w14:paraId="5C9CF4E2">
                  <w:pPr>
                    <w:widowControl/>
                    <w:pBdr>
                      <w:left w:val="single" w:color="auto" w:sz="4" w:space="31"/>
                      <w:right w:val="single" w:color="auto" w:sz="4" w:space="31"/>
                    </w:pBdr>
                    <w:jc w:val="center"/>
                    <w:rPr>
                      <w:sz w:val="22"/>
                    </w:rPr>
                  </w:pPr>
                  <w:r>
                    <w:rPr>
                      <w:sz w:val="22"/>
                    </w:rPr>
                    <w:t>类别</w:t>
                  </w:r>
                </w:p>
              </w:tc>
              <w:tc>
                <w:tcPr>
                  <w:tcW w:w="2828" w:type="dxa"/>
                  <w:vAlign w:val="center"/>
                </w:tcPr>
                <w:p w14:paraId="7CD9B488">
                  <w:pPr>
                    <w:widowControl/>
                    <w:pBdr>
                      <w:left w:val="single" w:color="auto" w:sz="4" w:space="31"/>
                      <w:right w:val="single" w:color="auto" w:sz="4" w:space="31"/>
                    </w:pBdr>
                    <w:jc w:val="center"/>
                    <w:rPr>
                      <w:sz w:val="22"/>
                    </w:rPr>
                  </w:pPr>
                  <w:r>
                    <w:rPr>
                      <w:sz w:val="22"/>
                    </w:rPr>
                    <w:t>昼间</w:t>
                  </w:r>
                </w:p>
              </w:tc>
              <w:tc>
                <w:tcPr>
                  <w:tcW w:w="2828" w:type="dxa"/>
                  <w:vAlign w:val="center"/>
                </w:tcPr>
                <w:p w14:paraId="27C6E39F">
                  <w:pPr>
                    <w:widowControl/>
                    <w:pBdr>
                      <w:left w:val="single" w:color="auto" w:sz="4" w:space="31"/>
                      <w:right w:val="single" w:color="auto" w:sz="4" w:space="31"/>
                    </w:pBdr>
                    <w:jc w:val="center"/>
                    <w:rPr>
                      <w:sz w:val="22"/>
                    </w:rPr>
                  </w:pPr>
                  <w:r>
                    <w:rPr>
                      <w:bCs/>
                      <w:sz w:val="22"/>
                    </w:rPr>
                    <w:t>夜间</w:t>
                  </w:r>
                </w:p>
              </w:tc>
            </w:tr>
            <w:tr w14:paraId="2B27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9" w:type="dxa"/>
                  <w:vAlign w:val="center"/>
                </w:tcPr>
                <w:p w14:paraId="3DD5F010">
                  <w:pPr>
                    <w:widowControl/>
                    <w:pBdr>
                      <w:left w:val="single" w:color="auto" w:sz="4" w:space="31"/>
                      <w:right w:val="single" w:color="auto" w:sz="4" w:space="31"/>
                    </w:pBdr>
                    <w:jc w:val="center"/>
                    <w:rPr>
                      <w:sz w:val="22"/>
                    </w:rPr>
                  </w:pPr>
                  <w:r>
                    <w:rPr>
                      <w:rFonts w:hint="eastAsia"/>
                      <w:sz w:val="22"/>
                      <w:lang w:val="en-US" w:eastAsia="zh-CN"/>
                    </w:rPr>
                    <w:t>3</w:t>
                  </w:r>
                  <w:r>
                    <w:rPr>
                      <w:sz w:val="22"/>
                    </w:rPr>
                    <w:t>类</w:t>
                  </w:r>
                </w:p>
              </w:tc>
              <w:tc>
                <w:tcPr>
                  <w:tcW w:w="2828" w:type="dxa"/>
                  <w:vAlign w:val="center"/>
                </w:tcPr>
                <w:p w14:paraId="247F3D37">
                  <w:pPr>
                    <w:widowControl/>
                    <w:pBdr>
                      <w:left w:val="single" w:color="auto" w:sz="4" w:space="31"/>
                      <w:right w:val="single" w:color="auto" w:sz="4" w:space="31"/>
                    </w:pBdr>
                    <w:jc w:val="center"/>
                    <w:rPr>
                      <w:rFonts w:hint="eastAsia" w:eastAsia="宋体"/>
                      <w:sz w:val="22"/>
                      <w:lang w:eastAsia="zh-CN"/>
                    </w:rPr>
                  </w:pPr>
                  <w:r>
                    <w:rPr>
                      <w:sz w:val="22"/>
                    </w:rPr>
                    <w:t>6</w:t>
                  </w:r>
                  <w:r>
                    <w:rPr>
                      <w:rFonts w:hint="eastAsia"/>
                      <w:sz w:val="22"/>
                      <w:lang w:val="en-US" w:eastAsia="zh-CN"/>
                    </w:rPr>
                    <w:t>5</w:t>
                  </w:r>
                </w:p>
              </w:tc>
              <w:tc>
                <w:tcPr>
                  <w:tcW w:w="2828" w:type="dxa"/>
                  <w:vAlign w:val="center"/>
                </w:tcPr>
                <w:p w14:paraId="33FB97C9">
                  <w:pPr>
                    <w:widowControl/>
                    <w:pBdr>
                      <w:left w:val="single" w:color="auto" w:sz="4" w:space="31"/>
                      <w:right w:val="single" w:color="auto" w:sz="4" w:space="31"/>
                    </w:pBdr>
                    <w:jc w:val="center"/>
                    <w:rPr>
                      <w:rFonts w:hint="eastAsia" w:eastAsia="宋体"/>
                      <w:sz w:val="22"/>
                      <w:lang w:eastAsia="zh-CN"/>
                    </w:rPr>
                  </w:pPr>
                  <w:r>
                    <w:rPr>
                      <w:sz w:val="22"/>
                    </w:rPr>
                    <w:t>5</w:t>
                  </w:r>
                  <w:r>
                    <w:rPr>
                      <w:rFonts w:hint="eastAsia"/>
                      <w:sz w:val="22"/>
                      <w:lang w:val="en-US" w:eastAsia="zh-CN"/>
                    </w:rPr>
                    <w:t>5</w:t>
                  </w:r>
                </w:p>
              </w:tc>
            </w:tr>
            <w:tr w14:paraId="180E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9" w:type="dxa"/>
                  <w:vAlign w:val="center"/>
                </w:tcPr>
                <w:p w14:paraId="7569C329">
                  <w:pPr>
                    <w:widowControl/>
                    <w:pBdr>
                      <w:left w:val="single" w:color="auto" w:sz="4" w:space="31"/>
                      <w:right w:val="single" w:color="auto" w:sz="4" w:space="31"/>
                    </w:pBdr>
                    <w:jc w:val="center"/>
                    <w:rPr>
                      <w:sz w:val="22"/>
                    </w:rPr>
                  </w:pPr>
                  <w:r>
                    <w:rPr>
                      <w:rFonts w:hint="eastAsia"/>
                      <w:sz w:val="22"/>
                    </w:rPr>
                    <w:t>4类</w:t>
                  </w:r>
                </w:p>
              </w:tc>
              <w:tc>
                <w:tcPr>
                  <w:tcW w:w="2828" w:type="dxa"/>
                  <w:vAlign w:val="center"/>
                </w:tcPr>
                <w:p w14:paraId="11B4FDA8">
                  <w:pPr>
                    <w:widowControl/>
                    <w:pBdr>
                      <w:left w:val="single" w:color="auto" w:sz="4" w:space="31"/>
                      <w:right w:val="single" w:color="auto" w:sz="4" w:space="31"/>
                    </w:pBdr>
                    <w:jc w:val="center"/>
                    <w:rPr>
                      <w:sz w:val="22"/>
                    </w:rPr>
                  </w:pPr>
                  <w:r>
                    <w:rPr>
                      <w:rFonts w:hint="eastAsia"/>
                      <w:sz w:val="22"/>
                    </w:rPr>
                    <w:t>7</w:t>
                  </w:r>
                  <w:r>
                    <w:rPr>
                      <w:sz w:val="22"/>
                    </w:rPr>
                    <w:t>0</w:t>
                  </w:r>
                </w:p>
              </w:tc>
              <w:tc>
                <w:tcPr>
                  <w:tcW w:w="2828" w:type="dxa"/>
                  <w:vAlign w:val="center"/>
                </w:tcPr>
                <w:p w14:paraId="2A553749">
                  <w:pPr>
                    <w:widowControl/>
                    <w:pBdr>
                      <w:left w:val="single" w:color="auto" w:sz="4" w:space="31"/>
                      <w:right w:val="single" w:color="auto" w:sz="4" w:space="31"/>
                    </w:pBdr>
                    <w:jc w:val="center"/>
                    <w:rPr>
                      <w:sz w:val="22"/>
                    </w:rPr>
                  </w:pPr>
                  <w:r>
                    <w:rPr>
                      <w:rFonts w:hint="eastAsia"/>
                      <w:sz w:val="22"/>
                    </w:rPr>
                    <w:t>5</w:t>
                  </w:r>
                  <w:r>
                    <w:rPr>
                      <w:sz w:val="22"/>
                    </w:rPr>
                    <w:t>5</w:t>
                  </w:r>
                </w:p>
              </w:tc>
            </w:tr>
          </w:tbl>
          <w:p w14:paraId="17C5ADA1">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b/>
                <w:sz w:val="26"/>
                <w:szCs w:val="26"/>
              </w:rPr>
            </w:pPr>
            <w:r>
              <w:rPr>
                <w:b/>
                <w:sz w:val="26"/>
                <w:szCs w:val="26"/>
              </w:rPr>
              <w:t>3.3.4固体废物</w:t>
            </w:r>
          </w:p>
          <w:p w14:paraId="0DB7F6CD">
            <w:pPr>
              <w:keepNext w:val="0"/>
              <w:keepLines w:val="0"/>
              <w:pageBreakBefore w:val="0"/>
              <w:widowControl w:val="0"/>
              <w:kinsoku/>
              <w:wordWrap/>
              <w:overflowPunct/>
              <w:topLinePunct w:val="0"/>
              <w:autoSpaceDE/>
              <w:autoSpaceDN/>
              <w:bidi w:val="0"/>
              <w:spacing w:line="460" w:lineRule="exact"/>
              <w:ind w:firstLine="520" w:firstLineChars="200"/>
              <w:jc w:val="both"/>
              <w:textAlignment w:val="auto"/>
              <w:outlineLvl w:val="0"/>
              <w:rPr>
                <w:rFonts w:hint="eastAsia"/>
                <w:bCs/>
                <w:sz w:val="26"/>
                <w:szCs w:val="26"/>
              </w:rPr>
            </w:pPr>
            <w:r>
              <w:rPr>
                <w:rFonts w:hint="eastAsia"/>
                <w:color w:val="auto"/>
                <w:sz w:val="26"/>
                <w:szCs w:val="26"/>
              </w:rPr>
              <w:t>生活垃圾实行分类收集，由环卫部门统一收集处置；危险废物执行《危险废物贮存污染控制标准》（GB18597-20</w:t>
            </w:r>
            <w:r>
              <w:rPr>
                <w:rFonts w:hint="eastAsia"/>
                <w:color w:val="auto"/>
                <w:sz w:val="26"/>
                <w:szCs w:val="26"/>
                <w:lang w:val="en-US" w:eastAsia="zh-CN"/>
              </w:rPr>
              <w:t>23</w:t>
            </w:r>
            <w:r>
              <w:rPr>
                <w:rFonts w:hint="eastAsia"/>
                <w:color w:val="auto"/>
                <w:sz w:val="26"/>
                <w:szCs w:val="26"/>
              </w:rPr>
              <w:t>）中相关要求，危险废物转移执行《危险废物转移管理办法》（生态环境部 公安部 交通运输部 部令第23号）中的相关要求；一般工业固废贮存过程应当满足相应防渗漏、防雨淋、防扬尘等环境保护要求。</w:t>
            </w:r>
            <w:r>
              <w:rPr>
                <w:rFonts w:hint="eastAsia"/>
                <w:color w:val="auto"/>
                <w:sz w:val="26"/>
                <w:szCs w:val="26"/>
                <w:lang w:val="en-US" w:eastAsia="zh-CN"/>
              </w:rPr>
              <w:t>贮存应设置环境保护图形的警示、提示标志；堆场不得混入生活垃圾或危险废物。</w:t>
            </w:r>
          </w:p>
        </w:tc>
      </w:tr>
      <w:tr w14:paraId="5F54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Pr>
          <w:p w14:paraId="0312ECE6">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kern w:val="0"/>
                <w:sz w:val="26"/>
                <w:szCs w:val="26"/>
              </w:rPr>
            </w:pPr>
            <w:r>
              <w:rPr>
                <w:kern w:val="0"/>
                <w:sz w:val="26"/>
                <w:szCs w:val="26"/>
              </w:rPr>
              <w:t>总量</w:t>
            </w:r>
          </w:p>
          <w:p w14:paraId="2AED5025">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kern w:val="0"/>
                <w:sz w:val="26"/>
                <w:szCs w:val="26"/>
              </w:rPr>
            </w:pPr>
            <w:r>
              <w:rPr>
                <w:kern w:val="0"/>
                <w:sz w:val="26"/>
                <w:szCs w:val="26"/>
              </w:rPr>
              <w:t>控制</w:t>
            </w:r>
          </w:p>
          <w:p w14:paraId="08B013FB">
            <w:pPr>
              <w:keepNext w:val="0"/>
              <w:keepLines w:val="0"/>
              <w:pageBreakBefore w:val="0"/>
              <w:widowControl w:val="0"/>
              <w:kinsoku/>
              <w:wordWrap/>
              <w:overflowPunct/>
              <w:topLinePunct w:val="0"/>
              <w:autoSpaceDE/>
              <w:autoSpaceDN/>
              <w:bidi w:val="0"/>
              <w:spacing w:line="460" w:lineRule="exact"/>
              <w:jc w:val="center"/>
              <w:textAlignment w:val="auto"/>
              <w:outlineLvl w:val="0"/>
              <w:rPr>
                <w:kern w:val="0"/>
                <w:sz w:val="26"/>
                <w:szCs w:val="26"/>
              </w:rPr>
            </w:pPr>
            <w:r>
              <w:rPr>
                <w:kern w:val="0"/>
                <w:sz w:val="26"/>
                <w:szCs w:val="26"/>
              </w:rPr>
              <w:t>指标</w:t>
            </w:r>
          </w:p>
        </w:tc>
        <w:tc>
          <w:tcPr>
            <w:tcW w:w="8270" w:type="dxa"/>
          </w:tcPr>
          <w:p w14:paraId="139A0349">
            <w:pPr>
              <w:keepNext w:val="0"/>
              <w:keepLines w:val="0"/>
              <w:pageBreakBefore w:val="0"/>
              <w:widowControl w:val="0"/>
              <w:kinsoku/>
              <w:wordWrap/>
              <w:overflowPunct/>
              <w:topLinePunct w:val="0"/>
              <w:autoSpaceDE/>
              <w:autoSpaceDN/>
              <w:bidi w:val="0"/>
              <w:spacing w:line="460" w:lineRule="exact"/>
              <w:jc w:val="both"/>
              <w:textAlignment w:val="auto"/>
              <w:outlineLvl w:val="0"/>
              <w:rPr>
                <w:rFonts w:hint="eastAsia"/>
                <w:color w:val="auto"/>
                <w:sz w:val="26"/>
                <w:szCs w:val="26"/>
              </w:rPr>
            </w:pPr>
            <w:r>
              <w:rPr>
                <w:rFonts w:hint="eastAsia"/>
                <w:color w:val="auto"/>
                <w:sz w:val="26"/>
                <w:szCs w:val="26"/>
              </w:rPr>
              <w:t>评价计算出的总量为：</w:t>
            </w:r>
            <w:r>
              <w:rPr>
                <w:rFonts w:hint="eastAsia"/>
                <w:bCs/>
                <w:color w:val="auto"/>
                <w:sz w:val="26"/>
                <w:szCs w:val="26"/>
              </w:rPr>
              <w:t>COD</w:t>
            </w:r>
            <w:r>
              <w:rPr>
                <w:rFonts w:hint="eastAsia"/>
                <w:bCs/>
                <w:color w:val="auto"/>
                <w:sz w:val="26"/>
                <w:szCs w:val="26"/>
                <w:lang w:val="en-US" w:eastAsia="zh-CN"/>
              </w:rPr>
              <w:t>0.059</w:t>
            </w:r>
            <w:r>
              <w:rPr>
                <w:rFonts w:hint="eastAsia"/>
                <w:bCs/>
                <w:color w:val="auto"/>
                <w:sz w:val="26"/>
                <w:szCs w:val="26"/>
              </w:rPr>
              <w:t>t/a、氨氮0.0</w:t>
            </w:r>
            <w:r>
              <w:rPr>
                <w:rFonts w:hint="eastAsia"/>
                <w:bCs/>
                <w:color w:val="auto"/>
                <w:sz w:val="26"/>
                <w:szCs w:val="26"/>
                <w:lang w:val="en-US" w:eastAsia="zh-CN"/>
              </w:rPr>
              <w:t>06</w:t>
            </w:r>
            <w:r>
              <w:rPr>
                <w:rFonts w:hint="eastAsia"/>
                <w:bCs/>
                <w:color w:val="auto"/>
                <w:sz w:val="26"/>
                <w:szCs w:val="26"/>
              </w:rPr>
              <w:t>t/a。</w:t>
            </w:r>
          </w:p>
        </w:tc>
      </w:tr>
    </w:tbl>
    <w:p w14:paraId="28AAE01E">
      <w:pPr>
        <w:jc w:val="center"/>
        <w:outlineLvl w:val="0"/>
        <w:rPr>
          <w:rFonts w:eastAsia="黑体"/>
          <w:snapToGrid w:val="0"/>
          <w:sz w:val="30"/>
          <w:szCs w:val="30"/>
        </w:rPr>
      </w:pPr>
      <w:r>
        <w:rPr>
          <w:rFonts w:eastAsia="黑体"/>
          <w:snapToGrid w:val="0"/>
          <w:sz w:val="36"/>
          <w:szCs w:val="36"/>
        </w:rPr>
        <w:br w:type="page"/>
      </w:r>
      <w:r>
        <w:rPr>
          <w:rFonts w:eastAsia="黑体"/>
          <w:snapToGrid w:val="0"/>
          <w:sz w:val="30"/>
          <w:szCs w:val="30"/>
        </w:rPr>
        <w:t>四、主要环境影响和保护措施</w:t>
      </w:r>
    </w:p>
    <w:tbl>
      <w:tblPr>
        <w:tblStyle w:val="1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0CFA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746" w:type="dxa"/>
            <w:tcMar>
              <w:left w:w="28" w:type="dxa"/>
              <w:right w:w="28" w:type="dxa"/>
            </w:tcMar>
            <w:vAlign w:val="center"/>
          </w:tcPr>
          <w:p w14:paraId="3E64A542">
            <w:pPr>
              <w:adjustRightInd w:val="0"/>
              <w:snapToGrid w:val="0"/>
              <w:jc w:val="center"/>
              <w:rPr>
                <w:sz w:val="26"/>
                <w:szCs w:val="26"/>
              </w:rPr>
            </w:pPr>
            <w:r>
              <w:rPr>
                <w:sz w:val="26"/>
                <w:szCs w:val="26"/>
              </w:rPr>
              <w:t>施工</w:t>
            </w:r>
          </w:p>
          <w:p w14:paraId="36249DF5">
            <w:pPr>
              <w:adjustRightInd w:val="0"/>
              <w:snapToGrid w:val="0"/>
              <w:jc w:val="center"/>
              <w:rPr>
                <w:sz w:val="26"/>
                <w:szCs w:val="26"/>
              </w:rPr>
            </w:pPr>
            <w:r>
              <w:rPr>
                <w:sz w:val="26"/>
                <w:szCs w:val="26"/>
              </w:rPr>
              <w:t>期环</w:t>
            </w:r>
          </w:p>
          <w:p w14:paraId="35CC96B2">
            <w:pPr>
              <w:adjustRightInd w:val="0"/>
              <w:snapToGrid w:val="0"/>
              <w:jc w:val="center"/>
              <w:rPr>
                <w:sz w:val="26"/>
                <w:szCs w:val="26"/>
              </w:rPr>
            </w:pPr>
            <w:r>
              <w:rPr>
                <w:sz w:val="26"/>
                <w:szCs w:val="26"/>
              </w:rPr>
              <w:t>境保</w:t>
            </w:r>
          </w:p>
          <w:p w14:paraId="04BE0A94">
            <w:pPr>
              <w:adjustRightInd w:val="0"/>
              <w:snapToGrid w:val="0"/>
              <w:jc w:val="center"/>
              <w:rPr>
                <w:sz w:val="26"/>
                <w:szCs w:val="26"/>
              </w:rPr>
            </w:pPr>
            <w:r>
              <w:rPr>
                <w:sz w:val="26"/>
                <w:szCs w:val="26"/>
              </w:rPr>
              <w:t>护措</w:t>
            </w:r>
          </w:p>
          <w:p w14:paraId="09A87010">
            <w:pPr>
              <w:adjustRightInd w:val="0"/>
              <w:snapToGrid w:val="0"/>
              <w:jc w:val="center"/>
              <w:rPr>
                <w:bCs/>
                <w:szCs w:val="21"/>
              </w:rPr>
            </w:pPr>
            <w:r>
              <w:rPr>
                <w:sz w:val="26"/>
                <w:szCs w:val="26"/>
              </w:rPr>
              <w:t>施</w:t>
            </w:r>
          </w:p>
        </w:tc>
        <w:tc>
          <w:tcPr>
            <w:tcW w:w="8162" w:type="dxa"/>
            <w:vAlign w:val="center"/>
          </w:tcPr>
          <w:p w14:paraId="1DDFD44E">
            <w:pPr>
              <w:adjustRightInd w:val="0"/>
              <w:snapToGrid w:val="0"/>
              <w:spacing w:line="460" w:lineRule="exact"/>
              <w:jc w:val="left"/>
              <w:rPr>
                <w:b/>
                <w:bCs/>
                <w:sz w:val="26"/>
                <w:szCs w:val="26"/>
              </w:rPr>
            </w:pPr>
            <w:r>
              <w:rPr>
                <w:b/>
                <w:bCs/>
                <w:sz w:val="26"/>
                <w:szCs w:val="26"/>
              </w:rPr>
              <w:t>4.1施工期环境保护措施</w:t>
            </w:r>
          </w:p>
          <w:p w14:paraId="79255A58">
            <w:pPr>
              <w:adjustRightInd w:val="0"/>
              <w:snapToGrid w:val="0"/>
              <w:spacing w:line="460" w:lineRule="exact"/>
              <w:jc w:val="left"/>
              <w:rPr>
                <w:b/>
                <w:sz w:val="26"/>
                <w:szCs w:val="26"/>
              </w:rPr>
            </w:pPr>
            <w:r>
              <w:rPr>
                <w:b/>
                <w:sz w:val="26"/>
                <w:szCs w:val="26"/>
              </w:rPr>
              <w:t>4.</w:t>
            </w:r>
            <w:r>
              <w:rPr>
                <w:rFonts w:hint="eastAsia"/>
                <w:b/>
                <w:sz w:val="26"/>
                <w:szCs w:val="26"/>
              </w:rPr>
              <w:t>1</w:t>
            </w:r>
            <w:r>
              <w:rPr>
                <w:b/>
                <w:sz w:val="26"/>
                <w:szCs w:val="26"/>
              </w:rPr>
              <w:t>.1</w:t>
            </w:r>
            <w:r>
              <w:rPr>
                <w:rFonts w:hint="eastAsia"/>
                <w:b/>
                <w:sz w:val="26"/>
                <w:szCs w:val="26"/>
              </w:rPr>
              <w:t>施工期</w:t>
            </w:r>
            <w:r>
              <w:rPr>
                <w:b/>
                <w:sz w:val="26"/>
                <w:szCs w:val="26"/>
              </w:rPr>
              <w:t>废气影响分析及其防治措施</w:t>
            </w:r>
          </w:p>
          <w:p w14:paraId="654821E8">
            <w:pPr>
              <w:adjustRightInd w:val="0"/>
              <w:snapToGrid w:val="0"/>
              <w:spacing w:line="460" w:lineRule="exact"/>
              <w:ind w:firstLine="520" w:firstLineChars="200"/>
              <w:rPr>
                <w:bCs/>
                <w:sz w:val="26"/>
                <w:szCs w:val="26"/>
              </w:rPr>
            </w:pPr>
            <w:r>
              <w:rPr>
                <w:rFonts w:hint="eastAsia"/>
                <w:bCs/>
                <w:sz w:val="26"/>
                <w:szCs w:val="26"/>
              </w:rPr>
              <w:t>项目施工期大气污染物主要为施工扬尘；施工机械及运输车辆排放的尾气；装修废气。</w:t>
            </w:r>
          </w:p>
          <w:p w14:paraId="679EFA61">
            <w:pPr>
              <w:adjustRightInd w:val="0"/>
              <w:snapToGrid w:val="0"/>
              <w:spacing w:line="460" w:lineRule="exact"/>
              <w:ind w:firstLine="520" w:firstLineChars="200"/>
              <w:rPr>
                <w:bCs/>
                <w:sz w:val="26"/>
                <w:szCs w:val="26"/>
              </w:rPr>
            </w:pPr>
            <w:r>
              <w:rPr>
                <w:rFonts w:hint="eastAsia"/>
                <w:bCs/>
                <w:sz w:val="26"/>
                <w:szCs w:val="26"/>
              </w:rPr>
              <w:t>（1）施工扬尘</w:t>
            </w:r>
          </w:p>
          <w:p w14:paraId="6099BD6B">
            <w:pPr>
              <w:adjustRightInd w:val="0"/>
              <w:snapToGrid w:val="0"/>
              <w:spacing w:line="460" w:lineRule="exact"/>
              <w:ind w:firstLine="520" w:firstLineChars="200"/>
              <w:rPr>
                <w:bCs/>
                <w:sz w:val="26"/>
                <w:szCs w:val="26"/>
              </w:rPr>
            </w:pPr>
            <w:r>
              <w:rPr>
                <w:rFonts w:hint="eastAsia"/>
                <w:bCs/>
                <w:sz w:val="26"/>
                <w:szCs w:val="26"/>
              </w:rPr>
              <w:t>施工期粉尘污染源属于面源，排放高度一般较低，颗粒度较大，污染扩散距离不太远，其影响程度和范围与施工管理水平及采取的措施有直接关系。施工期管理好，措施得力，其影响范围和程度较小。</w:t>
            </w:r>
          </w:p>
          <w:p w14:paraId="05049F0C">
            <w:pPr>
              <w:adjustRightInd w:val="0"/>
              <w:snapToGrid w:val="0"/>
              <w:spacing w:line="460" w:lineRule="exact"/>
              <w:ind w:firstLine="520" w:firstLineChars="200"/>
              <w:rPr>
                <w:bCs/>
                <w:sz w:val="26"/>
                <w:szCs w:val="26"/>
              </w:rPr>
            </w:pPr>
            <w:r>
              <w:rPr>
                <w:rFonts w:hint="eastAsia"/>
                <w:bCs/>
                <w:sz w:val="26"/>
                <w:szCs w:val="26"/>
              </w:rPr>
              <w:t>施工期扬尘防治措施如下：</w:t>
            </w:r>
          </w:p>
          <w:p w14:paraId="1D19A57D">
            <w:pPr>
              <w:adjustRightInd w:val="0"/>
              <w:snapToGrid w:val="0"/>
              <w:spacing w:line="460" w:lineRule="exact"/>
              <w:ind w:firstLine="520" w:firstLineChars="200"/>
              <w:rPr>
                <w:bCs/>
                <w:sz w:val="26"/>
                <w:szCs w:val="26"/>
              </w:rPr>
            </w:pPr>
            <w:r>
              <w:rPr>
                <w:rFonts w:hint="eastAsia"/>
                <w:bCs/>
                <w:sz w:val="26"/>
                <w:szCs w:val="26"/>
              </w:rPr>
              <w:t>①各施工阶段应有专职环境保护管理人员，其职责是指导和管理施工现场的工程弃土、建筑垃圾、建筑材料的处置、清运、堆放以及场地恢复和硬化，清除进出施工现场道路上的泥土、弃料以及轮胎上的泥土，防止二次扬尘污染。</w:t>
            </w:r>
          </w:p>
          <w:p w14:paraId="3F7F7D63">
            <w:pPr>
              <w:adjustRightInd w:val="0"/>
              <w:snapToGrid w:val="0"/>
              <w:spacing w:line="460" w:lineRule="exact"/>
              <w:ind w:firstLine="520" w:firstLineChars="200"/>
              <w:rPr>
                <w:bCs/>
                <w:sz w:val="26"/>
                <w:szCs w:val="26"/>
              </w:rPr>
            </w:pPr>
            <w:r>
              <w:rPr>
                <w:rFonts w:hint="eastAsia"/>
                <w:bCs/>
                <w:sz w:val="26"/>
                <w:szCs w:val="26"/>
              </w:rPr>
              <w:t>②运输道路及施工区应定时洒水，并根据天气状况调整洒水作业频率，以减少粉尘污染，对易飞散的建材堆放点应设蓬盖，防止二次扬尘对周围环境的影响。</w:t>
            </w:r>
          </w:p>
          <w:p w14:paraId="76018C9F">
            <w:pPr>
              <w:widowControl/>
              <w:adjustRightInd w:val="0"/>
              <w:snapToGrid w:val="0"/>
              <w:spacing w:line="460" w:lineRule="exact"/>
              <w:ind w:firstLine="520" w:firstLineChars="200"/>
              <w:rPr>
                <w:bCs/>
                <w:sz w:val="26"/>
                <w:szCs w:val="26"/>
              </w:rPr>
            </w:pPr>
            <w:r>
              <w:rPr>
                <w:rFonts w:hint="eastAsia"/>
                <w:bCs/>
                <w:sz w:val="26"/>
                <w:szCs w:val="26"/>
              </w:rPr>
              <w:t>③加强场界的围挡、喷淋装置配置，进一步减小施工扬尘对附近居民点空气环境的影响。</w:t>
            </w:r>
          </w:p>
          <w:p w14:paraId="2EFBA288">
            <w:pPr>
              <w:widowControl/>
              <w:adjustRightInd w:val="0"/>
              <w:snapToGrid w:val="0"/>
              <w:spacing w:line="460" w:lineRule="exact"/>
              <w:ind w:firstLine="520" w:firstLineChars="200"/>
              <w:rPr>
                <w:bCs/>
                <w:sz w:val="26"/>
                <w:szCs w:val="26"/>
              </w:rPr>
            </w:pPr>
            <w:r>
              <w:rPr>
                <w:rFonts w:hint="eastAsia"/>
                <w:bCs/>
                <w:sz w:val="26"/>
                <w:szCs w:val="26"/>
              </w:rPr>
              <w:t>④在基础施工期间，应尽可能采取措施提高工程进度，并将土石方及时外运到合规处置地点，缩短堆放的危害周期，减少扬尘的地面源点。</w:t>
            </w:r>
          </w:p>
          <w:p w14:paraId="5FE71DBC">
            <w:pPr>
              <w:widowControl/>
              <w:adjustRightInd w:val="0"/>
              <w:snapToGrid w:val="0"/>
              <w:spacing w:line="460" w:lineRule="exact"/>
              <w:ind w:firstLine="520" w:firstLineChars="200"/>
              <w:rPr>
                <w:bCs/>
                <w:sz w:val="26"/>
                <w:szCs w:val="26"/>
              </w:rPr>
            </w:pPr>
            <w:r>
              <w:rPr>
                <w:rFonts w:hint="eastAsia"/>
                <w:bCs/>
                <w:sz w:val="26"/>
                <w:szCs w:val="26"/>
              </w:rPr>
              <w:t>⑤场地内土堆、料堆要加遮盖，防止扬尘的扩散。施工道路应进行夯实硬化处理，减少起尘量。运土方和水泥、砂石等不宜装载过满，同时要采取相应的遮盖、封闭措施（如用苫布）。对不慎洒落的沙土和建筑材料，应对地面进行清理。</w:t>
            </w:r>
          </w:p>
          <w:p w14:paraId="24E08828">
            <w:pPr>
              <w:widowControl/>
              <w:adjustRightInd w:val="0"/>
              <w:snapToGrid w:val="0"/>
              <w:spacing w:line="460" w:lineRule="exact"/>
              <w:ind w:firstLine="520" w:firstLineChars="200"/>
              <w:rPr>
                <w:bCs/>
                <w:sz w:val="26"/>
                <w:szCs w:val="26"/>
              </w:rPr>
            </w:pPr>
            <w:r>
              <w:rPr>
                <w:rFonts w:hint="eastAsia"/>
                <w:bCs/>
                <w:sz w:val="26"/>
                <w:szCs w:val="26"/>
              </w:rPr>
              <w:t>⑥应在工地边界设置</w:t>
            </w:r>
            <w:r>
              <w:rPr>
                <w:bCs/>
                <w:sz w:val="26"/>
                <w:szCs w:val="26"/>
              </w:rPr>
              <w:t>1.8m</w:t>
            </w:r>
            <w:r>
              <w:rPr>
                <w:rFonts w:hint="eastAsia"/>
                <w:bCs/>
                <w:sz w:val="26"/>
                <w:szCs w:val="26"/>
              </w:rPr>
              <w:t>以上的围挡，围挡视地方要求适当增加，围挡底端设置防溢座。</w:t>
            </w:r>
          </w:p>
          <w:p w14:paraId="6C7FDC26">
            <w:pPr>
              <w:widowControl/>
              <w:adjustRightInd w:val="0"/>
              <w:snapToGrid w:val="0"/>
              <w:spacing w:line="460" w:lineRule="exact"/>
              <w:ind w:firstLine="520" w:firstLineChars="200"/>
              <w:rPr>
                <w:bCs/>
                <w:sz w:val="26"/>
                <w:szCs w:val="26"/>
              </w:rPr>
            </w:pPr>
            <w:r>
              <w:rPr>
                <w:rFonts w:hint="eastAsia"/>
                <w:bCs/>
                <w:sz w:val="26"/>
                <w:szCs w:val="26"/>
              </w:rPr>
              <w:t>⑦本项目在建材和施工工具运输过程中也应该注意合理安排运输时间，尽量在人流、车流较少时进行运输，避开上下班高峰期。</w:t>
            </w:r>
          </w:p>
          <w:p w14:paraId="4A2D033E">
            <w:pPr>
              <w:widowControl/>
              <w:adjustRightInd w:val="0"/>
              <w:snapToGrid w:val="0"/>
              <w:spacing w:line="460" w:lineRule="exact"/>
              <w:ind w:firstLine="520" w:firstLineChars="200"/>
              <w:rPr>
                <w:bCs/>
                <w:sz w:val="26"/>
                <w:szCs w:val="26"/>
              </w:rPr>
            </w:pPr>
            <w:r>
              <w:rPr>
                <w:rFonts w:hint="eastAsia"/>
                <w:bCs/>
                <w:sz w:val="26"/>
                <w:szCs w:val="26"/>
              </w:rPr>
              <w:t>（</w:t>
            </w:r>
            <w:r>
              <w:rPr>
                <w:bCs/>
                <w:sz w:val="26"/>
                <w:szCs w:val="26"/>
              </w:rPr>
              <w:t>2</w:t>
            </w:r>
            <w:r>
              <w:rPr>
                <w:rFonts w:hint="eastAsia"/>
                <w:bCs/>
                <w:sz w:val="26"/>
                <w:szCs w:val="26"/>
              </w:rPr>
              <w:t>）施工机械废气</w:t>
            </w:r>
          </w:p>
          <w:p w14:paraId="6EB7DFA1">
            <w:pPr>
              <w:widowControl/>
              <w:adjustRightInd w:val="0"/>
              <w:snapToGrid w:val="0"/>
              <w:spacing w:line="460" w:lineRule="exact"/>
              <w:ind w:firstLine="520" w:firstLineChars="200"/>
              <w:rPr>
                <w:bCs/>
                <w:sz w:val="26"/>
                <w:szCs w:val="26"/>
              </w:rPr>
            </w:pPr>
            <w:r>
              <w:rPr>
                <w:rFonts w:hint="eastAsia"/>
                <w:bCs/>
                <w:sz w:val="26"/>
                <w:szCs w:val="26"/>
              </w:rPr>
              <w:t>为减少项目施工期运输车辆及工程机械所排废气对周围环境空气的影响，施工期应采取如下措施：</w:t>
            </w:r>
          </w:p>
          <w:p w14:paraId="26E8A837">
            <w:pPr>
              <w:widowControl/>
              <w:adjustRightInd w:val="0"/>
              <w:snapToGrid w:val="0"/>
              <w:spacing w:line="460" w:lineRule="exact"/>
              <w:ind w:firstLine="520" w:firstLineChars="200"/>
              <w:rPr>
                <w:bCs/>
                <w:sz w:val="26"/>
                <w:szCs w:val="26"/>
              </w:rPr>
            </w:pPr>
            <w:r>
              <w:rPr>
                <w:rFonts w:hint="eastAsia"/>
                <w:bCs/>
                <w:sz w:val="26"/>
                <w:szCs w:val="26"/>
              </w:rPr>
              <w:t>①运输、施工单位必须使用所排污染物达到国家有关标准的运输车辆和工程机械，严禁使用超标排放污染物的车辆和机械，加强机械设备的保养与合理操作。</w:t>
            </w:r>
          </w:p>
          <w:p w14:paraId="3A4FDFD8">
            <w:pPr>
              <w:widowControl/>
              <w:adjustRightInd w:val="0"/>
              <w:snapToGrid w:val="0"/>
              <w:spacing w:line="460" w:lineRule="exact"/>
              <w:ind w:firstLine="520" w:firstLineChars="200"/>
              <w:rPr>
                <w:bCs/>
                <w:sz w:val="26"/>
                <w:szCs w:val="26"/>
              </w:rPr>
            </w:pPr>
            <w:r>
              <w:rPr>
                <w:rFonts w:hint="eastAsia"/>
                <w:bCs/>
                <w:sz w:val="26"/>
                <w:szCs w:val="26"/>
              </w:rPr>
              <w:t>②施工的各种机动车辆应保持车况良好，完善排烟系统，减轻施工期大气污染。</w:t>
            </w:r>
          </w:p>
          <w:p w14:paraId="156AF346">
            <w:pPr>
              <w:widowControl/>
              <w:adjustRightInd w:val="0"/>
              <w:snapToGrid w:val="0"/>
              <w:spacing w:line="460" w:lineRule="exact"/>
              <w:ind w:firstLine="520" w:firstLineChars="200"/>
              <w:rPr>
                <w:bCs/>
                <w:sz w:val="26"/>
                <w:szCs w:val="26"/>
              </w:rPr>
            </w:pPr>
            <w:r>
              <w:rPr>
                <w:rFonts w:hint="eastAsia"/>
                <w:bCs/>
                <w:sz w:val="26"/>
                <w:szCs w:val="26"/>
              </w:rPr>
              <w:t>③必须严格禁止运输车辆超载、限值行车速度，避免沙土泄露，运输土方的车辆应有防止扬尘措施，避免材料的裸露运输，同时运输道路及主要出入口可经常洒水，以减轻粉尘对环境污染影响。</w:t>
            </w:r>
          </w:p>
          <w:p w14:paraId="23642FDC">
            <w:pPr>
              <w:adjustRightInd w:val="0"/>
              <w:snapToGrid w:val="0"/>
              <w:spacing w:line="460" w:lineRule="exact"/>
              <w:jc w:val="left"/>
              <w:rPr>
                <w:b/>
                <w:sz w:val="26"/>
                <w:szCs w:val="26"/>
              </w:rPr>
            </w:pPr>
            <w:r>
              <w:rPr>
                <w:b/>
                <w:sz w:val="26"/>
                <w:szCs w:val="26"/>
              </w:rPr>
              <w:t>4.</w:t>
            </w:r>
            <w:r>
              <w:rPr>
                <w:rFonts w:hint="eastAsia"/>
                <w:b/>
                <w:sz w:val="26"/>
                <w:szCs w:val="26"/>
              </w:rPr>
              <w:t>1</w:t>
            </w:r>
            <w:r>
              <w:rPr>
                <w:b/>
                <w:sz w:val="26"/>
                <w:szCs w:val="26"/>
              </w:rPr>
              <w:t>.</w:t>
            </w:r>
            <w:r>
              <w:rPr>
                <w:rFonts w:hint="eastAsia"/>
                <w:b/>
                <w:sz w:val="26"/>
                <w:szCs w:val="26"/>
              </w:rPr>
              <w:t>2施工期废水</w:t>
            </w:r>
            <w:r>
              <w:rPr>
                <w:b/>
                <w:sz w:val="26"/>
                <w:szCs w:val="26"/>
              </w:rPr>
              <w:t>影响分析及其防治措施</w:t>
            </w:r>
          </w:p>
          <w:p w14:paraId="41ECE5D8">
            <w:pPr>
              <w:adjustRightInd w:val="0"/>
              <w:snapToGrid w:val="0"/>
              <w:spacing w:line="460" w:lineRule="exact"/>
              <w:ind w:firstLine="520" w:firstLineChars="200"/>
              <w:jc w:val="left"/>
              <w:rPr>
                <w:bCs/>
                <w:sz w:val="26"/>
                <w:szCs w:val="26"/>
              </w:rPr>
            </w:pPr>
            <w:r>
              <w:rPr>
                <w:rFonts w:hint="eastAsia"/>
                <w:bCs/>
                <w:sz w:val="26"/>
                <w:szCs w:val="26"/>
              </w:rPr>
              <w:t>项目施工期废水主要为施工作业产生的施工废水和施工人员排放的生活污水。</w:t>
            </w:r>
          </w:p>
          <w:p w14:paraId="33F52CBA">
            <w:pPr>
              <w:adjustRightInd w:val="0"/>
              <w:snapToGrid w:val="0"/>
              <w:spacing w:line="460" w:lineRule="exact"/>
              <w:ind w:firstLine="520" w:firstLineChars="200"/>
              <w:rPr>
                <w:bCs/>
                <w:sz w:val="26"/>
                <w:szCs w:val="26"/>
              </w:rPr>
            </w:pPr>
            <w:r>
              <w:rPr>
                <w:rFonts w:hint="eastAsia"/>
                <w:bCs/>
                <w:sz w:val="26"/>
                <w:szCs w:val="26"/>
              </w:rPr>
              <w:t>（1）施工生产废水：施工现场应设立简易沉淀池，施工废水通过沉淀处理后将上清液回用于设备及场地冲洗、洒水降尘，不外排。</w:t>
            </w:r>
          </w:p>
          <w:p w14:paraId="62E74609">
            <w:pPr>
              <w:adjustRightInd w:val="0"/>
              <w:snapToGrid w:val="0"/>
              <w:spacing w:line="460" w:lineRule="exact"/>
              <w:ind w:firstLine="520" w:firstLineChars="200"/>
              <w:rPr>
                <w:bCs/>
                <w:sz w:val="26"/>
                <w:szCs w:val="26"/>
              </w:rPr>
            </w:pPr>
            <w:r>
              <w:rPr>
                <w:rFonts w:hint="eastAsia"/>
                <w:bCs/>
                <w:sz w:val="26"/>
                <w:szCs w:val="26"/>
              </w:rPr>
              <w:t>（2）生活污水：施工人员租住在周边居民区内，且项目现场本身具有生活污水处理设施，可依托处理。项目施工人员产生的生活污水经化粪池处理后经市政污水管网。</w:t>
            </w:r>
          </w:p>
          <w:p w14:paraId="7FFD8321">
            <w:pPr>
              <w:adjustRightInd w:val="0"/>
              <w:snapToGrid w:val="0"/>
              <w:spacing w:line="460" w:lineRule="exact"/>
              <w:ind w:firstLine="520" w:firstLineChars="200"/>
              <w:rPr>
                <w:bCs/>
                <w:sz w:val="26"/>
                <w:szCs w:val="26"/>
              </w:rPr>
            </w:pPr>
            <w:r>
              <w:rPr>
                <w:rFonts w:hint="eastAsia"/>
                <w:bCs/>
                <w:sz w:val="26"/>
                <w:szCs w:val="26"/>
              </w:rPr>
              <w:t>（3）严格施工管理，文明施工，加强对机器设备的维护和保养，防止机械设备发生漏油现象。</w:t>
            </w:r>
          </w:p>
          <w:p w14:paraId="7F958B21">
            <w:pPr>
              <w:adjustRightInd w:val="0"/>
              <w:snapToGrid w:val="0"/>
              <w:spacing w:line="460" w:lineRule="exact"/>
              <w:ind w:firstLine="520" w:firstLineChars="200"/>
              <w:rPr>
                <w:bCs/>
                <w:sz w:val="26"/>
                <w:szCs w:val="26"/>
              </w:rPr>
            </w:pPr>
            <w:r>
              <w:rPr>
                <w:rFonts w:hint="eastAsia"/>
                <w:bCs/>
                <w:sz w:val="26"/>
                <w:szCs w:val="26"/>
              </w:rPr>
              <w:t>通过上述措施可减少本项目施工期废水影响。</w:t>
            </w:r>
          </w:p>
          <w:p w14:paraId="0A331859">
            <w:pPr>
              <w:adjustRightInd w:val="0"/>
              <w:snapToGrid w:val="0"/>
              <w:spacing w:line="460" w:lineRule="exact"/>
              <w:jc w:val="left"/>
              <w:rPr>
                <w:b/>
                <w:sz w:val="26"/>
                <w:szCs w:val="26"/>
              </w:rPr>
            </w:pPr>
            <w:r>
              <w:rPr>
                <w:b/>
                <w:sz w:val="26"/>
                <w:szCs w:val="26"/>
              </w:rPr>
              <w:t>4.</w:t>
            </w:r>
            <w:r>
              <w:rPr>
                <w:rFonts w:hint="eastAsia"/>
                <w:b/>
                <w:sz w:val="26"/>
                <w:szCs w:val="26"/>
              </w:rPr>
              <w:t>1</w:t>
            </w:r>
            <w:r>
              <w:rPr>
                <w:b/>
                <w:sz w:val="26"/>
                <w:szCs w:val="26"/>
              </w:rPr>
              <w:t>.</w:t>
            </w:r>
            <w:r>
              <w:rPr>
                <w:rFonts w:hint="eastAsia"/>
                <w:b/>
                <w:sz w:val="26"/>
                <w:szCs w:val="26"/>
              </w:rPr>
              <w:t>3施工期噪声</w:t>
            </w:r>
            <w:r>
              <w:rPr>
                <w:b/>
                <w:sz w:val="26"/>
                <w:szCs w:val="26"/>
              </w:rPr>
              <w:t>影响分析及其防治措施</w:t>
            </w:r>
          </w:p>
          <w:p w14:paraId="6B0B9A02">
            <w:pPr>
              <w:adjustRightInd w:val="0"/>
              <w:snapToGrid w:val="0"/>
              <w:spacing w:line="460" w:lineRule="exact"/>
              <w:ind w:firstLine="520" w:firstLineChars="200"/>
              <w:rPr>
                <w:bCs/>
                <w:sz w:val="26"/>
                <w:szCs w:val="26"/>
              </w:rPr>
            </w:pPr>
            <w:r>
              <w:rPr>
                <w:rFonts w:hint="eastAsia"/>
                <w:bCs/>
                <w:sz w:val="26"/>
                <w:szCs w:val="26"/>
              </w:rPr>
              <w:t>工程施工期间施工噪声影响较大，为减少施工噪声对附近居民和施工人员的影响，施工单位在施工期间必须严格执行《中华人民共和国噪声污染防治法》中的建设施工噪声污染防治条例，施工场界噪声必须控制在《建筑施工场界环境噪声排放标准》（GB 12523-2011）要求，做到文明施工。具体应采取以下噪声污染防治措施：</w:t>
            </w:r>
          </w:p>
          <w:p w14:paraId="581E828B">
            <w:pPr>
              <w:adjustRightInd w:val="0"/>
              <w:snapToGrid w:val="0"/>
              <w:spacing w:line="460" w:lineRule="exact"/>
              <w:ind w:firstLine="520" w:firstLineChars="200"/>
              <w:rPr>
                <w:bCs/>
                <w:sz w:val="26"/>
                <w:szCs w:val="26"/>
              </w:rPr>
            </w:pPr>
            <w:r>
              <w:rPr>
                <w:rFonts w:hint="eastAsia"/>
                <w:bCs/>
                <w:sz w:val="26"/>
                <w:szCs w:val="26"/>
              </w:rPr>
              <w:t>（1）合理布局施工场地和施工时间。应尽量远离附近声敏感点，合理安排施工时间，工程不得在午间（12:00~14:30）、夜间（22:00~次日6:00）施工。因特殊需要必须在午间、夜间连续施工，需提前向主管部门提出申请，并在施工现场显著位置公示或者以其他方式公告附近居民。</w:t>
            </w:r>
          </w:p>
          <w:p w14:paraId="2A545A33">
            <w:pPr>
              <w:adjustRightInd w:val="0"/>
              <w:snapToGrid w:val="0"/>
              <w:spacing w:line="460" w:lineRule="exact"/>
              <w:ind w:firstLine="520" w:firstLineChars="200"/>
              <w:rPr>
                <w:bCs/>
                <w:sz w:val="26"/>
                <w:szCs w:val="26"/>
              </w:rPr>
            </w:pPr>
            <w:r>
              <w:rPr>
                <w:rFonts w:hint="eastAsia"/>
                <w:bCs/>
                <w:sz w:val="26"/>
                <w:szCs w:val="26"/>
              </w:rPr>
              <w:t>（2）采用较先进、噪声较低的施工设备，限制高噪声设备的施工时段，必要时高噪声的施工机械应采取隔声、降噪措施，减轻对周围环境的影响。</w:t>
            </w:r>
          </w:p>
          <w:p w14:paraId="2363898A">
            <w:pPr>
              <w:adjustRightInd w:val="0"/>
              <w:snapToGrid w:val="0"/>
              <w:spacing w:line="460" w:lineRule="exact"/>
              <w:ind w:firstLine="520" w:firstLineChars="200"/>
              <w:rPr>
                <w:bCs/>
                <w:sz w:val="26"/>
                <w:szCs w:val="26"/>
              </w:rPr>
            </w:pPr>
            <w:r>
              <w:rPr>
                <w:rFonts w:hint="eastAsia"/>
                <w:bCs/>
                <w:sz w:val="26"/>
                <w:szCs w:val="26"/>
              </w:rPr>
              <w:t>（3）运输材料的车辆进入施工现场，严禁鸣笛，装卸材料应做到轻拿轻放，并防止人为噪声影响周围安静环境。</w:t>
            </w:r>
          </w:p>
          <w:p w14:paraId="6539C122">
            <w:pPr>
              <w:adjustRightInd w:val="0"/>
              <w:snapToGrid w:val="0"/>
              <w:spacing w:line="460" w:lineRule="exact"/>
              <w:ind w:firstLine="520" w:firstLineChars="200"/>
              <w:rPr>
                <w:bCs/>
                <w:sz w:val="26"/>
                <w:szCs w:val="26"/>
              </w:rPr>
            </w:pPr>
            <w:r>
              <w:rPr>
                <w:rFonts w:hint="eastAsia"/>
                <w:bCs/>
                <w:sz w:val="26"/>
                <w:szCs w:val="26"/>
              </w:rPr>
              <w:t>（4）提高工作效率，加快施工进度，尽可能缩短施工建设对周围环境的影响。</w:t>
            </w:r>
          </w:p>
          <w:p w14:paraId="60667AF6">
            <w:pPr>
              <w:adjustRightInd w:val="0"/>
              <w:snapToGrid w:val="0"/>
              <w:spacing w:line="460" w:lineRule="exact"/>
              <w:ind w:firstLine="520" w:firstLineChars="200"/>
              <w:rPr>
                <w:bCs/>
                <w:sz w:val="26"/>
                <w:szCs w:val="26"/>
              </w:rPr>
            </w:pPr>
            <w:r>
              <w:rPr>
                <w:rFonts w:hint="eastAsia"/>
                <w:bCs/>
                <w:sz w:val="26"/>
                <w:szCs w:val="26"/>
              </w:rPr>
              <w:t>本项目施工周期较短，随着施工期的结束而结束，所以该项目施工期间噪声影响是可以接受的。</w:t>
            </w:r>
          </w:p>
          <w:p w14:paraId="4196FBC2">
            <w:pPr>
              <w:adjustRightInd w:val="0"/>
              <w:snapToGrid w:val="0"/>
              <w:spacing w:line="460" w:lineRule="exact"/>
              <w:jc w:val="left"/>
              <w:rPr>
                <w:b/>
                <w:sz w:val="26"/>
                <w:szCs w:val="26"/>
              </w:rPr>
            </w:pPr>
            <w:r>
              <w:rPr>
                <w:b/>
                <w:sz w:val="26"/>
                <w:szCs w:val="26"/>
              </w:rPr>
              <w:t>4.</w:t>
            </w:r>
            <w:r>
              <w:rPr>
                <w:rFonts w:hint="eastAsia"/>
                <w:b/>
                <w:sz w:val="26"/>
                <w:szCs w:val="26"/>
              </w:rPr>
              <w:t>1</w:t>
            </w:r>
            <w:r>
              <w:rPr>
                <w:b/>
                <w:sz w:val="26"/>
                <w:szCs w:val="26"/>
              </w:rPr>
              <w:t>.</w:t>
            </w:r>
            <w:r>
              <w:rPr>
                <w:rFonts w:hint="eastAsia"/>
                <w:b/>
                <w:sz w:val="26"/>
                <w:szCs w:val="26"/>
              </w:rPr>
              <w:t>3施工期固体废物</w:t>
            </w:r>
            <w:r>
              <w:rPr>
                <w:b/>
                <w:sz w:val="26"/>
                <w:szCs w:val="26"/>
              </w:rPr>
              <w:t>影响分析及其防治措施</w:t>
            </w:r>
          </w:p>
          <w:p w14:paraId="28632D93">
            <w:pPr>
              <w:adjustRightInd w:val="0"/>
              <w:snapToGrid w:val="0"/>
              <w:spacing w:line="460" w:lineRule="exact"/>
              <w:ind w:firstLine="520" w:firstLineChars="200"/>
              <w:rPr>
                <w:rFonts w:hint="eastAsia"/>
                <w:bCs/>
                <w:sz w:val="26"/>
                <w:szCs w:val="26"/>
              </w:rPr>
            </w:pPr>
            <w:r>
              <w:rPr>
                <w:rFonts w:hint="eastAsia"/>
                <w:bCs/>
                <w:sz w:val="26"/>
                <w:szCs w:val="26"/>
              </w:rPr>
              <w:t>本项目施工期产生的固废主要为建筑垃圾、弃土石方和施工人员生活垃圾。</w:t>
            </w:r>
          </w:p>
          <w:p w14:paraId="66118976">
            <w:pPr>
              <w:adjustRightInd w:val="0"/>
              <w:snapToGrid w:val="0"/>
              <w:spacing w:line="460" w:lineRule="exact"/>
              <w:ind w:firstLine="520" w:firstLineChars="200"/>
              <w:rPr>
                <w:rFonts w:hint="eastAsia"/>
                <w:bCs/>
                <w:sz w:val="26"/>
                <w:szCs w:val="26"/>
              </w:rPr>
            </w:pPr>
            <w:r>
              <w:rPr>
                <w:rFonts w:hint="eastAsia"/>
                <w:bCs/>
                <w:color w:val="FF0000"/>
                <w:sz w:val="26"/>
                <w:szCs w:val="26"/>
              </w:rPr>
              <w:t>油罐、油品管道</w:t>
            </w:r>
            <w:r>
              <w:rPr>
                <w:rFonts w:hint="eastAsia"/>
                <w:bCs/>
                <w:color w:val="FF0000"/>
                <w:sz w:val="26"/>
                <w:szCs w:val="26"/>
                <w:lang w:val="en-US" w:eastAsia="zh-CN"/>
              </w:rPr>
              <w:t>及隔油池</w:t>
            </w:r>
            <w:r>
              <w:rPr>
                <w:rFonts w:hint="eastAsia"/>
                <w:bCs/>
                <w:color w:val="FF0000"/>
                <w:sz w:val="26"/>
                <w:szCs w:val="26"/>
              </w:rPr>
              <w:t>拆除中，清罐委托专业的清罐单位进行清洗，清洁油罐产生的油水混合物、油渣及废棉纱属于危险废物，危废代码：HW08</w:t>
            </w:r>
            <w:r>
              <w:rPr>
                <w:rFonts w:hint="eastAsia"/>
                <w:bCs/>
                <w:color w:val="FF0000"/>
                <w:sz w:val="26"/>
                <w:szCs w:val="26"/>
                <w:lang w:val="en-US" w:eastAsia="zh-CN"/>
              </w:rPr>
              <w:t xml:space="preserve"> </w:t>
            </w:r>
            <w:r>
              <w:rPr>
                <w:rFonts w:hint="eastAsia"/>
                <w:bCs/>
                <w:color w:val="FF0000"/>
                <w:sz w:val="26"/>
                <w:szCs w:val="26"/>
              </w:rPr>
              <w:t>900-249-08，由清洁单位送有危废处理资质单位处置；油罐、油品管道清洗干净拆除后交废品回收单位处理。</w:t>
            </w:r>
          </w:p>
          <w:p w14:paraId="1EB3583C">
            <w:pPr>
              <w:adjustRightInd w:val="0"/>
              <w:snapToGrid w:val="0"/>
              <w:spacing w:line="460" w:lineRule="exact"/>
              <w:ind w:firstLine="520" w:firstLineChars="200"/>
              <w:rPr>
                <w:bCs/>
                <w:sz w:val="26"/>
                <w:szCs w:val="26"/>
              </w:rPr>
            </w:pPr>
            <w:r>
              <w:rPr>
                <w:rFonts w:hint="eastAsia"/>
                <w:bCs/>
                <w:sz w:val="26"/>
                <w:szCs w:val="26"/>
              </w:rPr>
              <w:t>为妥善处理施工过程产生的固体废物，针对项目固体废物产生特点，确保项目建设过程产生的固体废物得到妥善处置，应采取如下措施：</w:t>
            </w:r>
          </w:p>
          <w:p w14:paraId="58E3879D">
            <w:pPr>
              <w:adjustRightInd w:val="0"/>
              <w:snapToGrid w:val="0"/>
              <w:spacing w:line="460" w:lineRule="exact"/>
              <w:ind w:firstLine="520" w:firstLineChars="200"/>
              <w:rPr>
                <w:bCs/>
                <w:sz w:val="26"/>
                <w:szCs w:val="26"/>
              </w:rPr>
            </w:pPr>
            <w:r>
              <w:rPr>
                <w:rFonts w:hint="eastAsia"/>
                <w:bCs/>
                <w:sz w:val="26"/>
                <w:szCs w:val="26"/>
              </w:rPr>
              <w:t>（1）按施工计划和操作规程，严格控制并尽量减少余下的物料，施工过程产生的建筑垃圾进行分类收集、分类暂存，尽可能回收利用。</w:t>
            </w:r>
          </w:p>
          <w:p w14:paraId="56F90987">
            <w:pPr>
              <w:adjustRightInd w:val="0"/>
              <w:snapToGrid w:val="0"/>
              <w:spacing w:line="460" w:lineRule="exact"/>
              <w:ind w:firstLine="520" w:firstLineChars="200"/>
              <w:rPr>
                <w:bCs/>
                <w:sz w:val="26"/>
                <w:szCs w:val="26"/>
              </w:rPr>
            </w:pPr>
            <w:r>
              <w:rPr>
                <w:rFonts w:hint="eastAsia"/>
                <w:bCs/>
                <w:sz w:val="26"/>
                <w:szCs w:val="26"/>
              </w:rPr>
              <w:t>（2）对可再利用的废料，如木材等，应进行回收，以节省资源；对砖块瓦砾等块状物和颗粒状废物，可采用一般堆存的方法处理，但一定要将其最终运送到有关部门指定的建筑固体废物倾倒场。</w:t>
            </w:r>
          </w:p>
          <w:p w14:paraId="2AEF5816">
            <w:pPr>
              <w:adjustRightInd w:val="0"/>
              <w:snapToGrid w:val="0"/>
              <w:spacing w:line="460" w:lineRule="exact"/>
              <w:ind w:firstLine="520" w:firstLineChars="200"/>
              <w:rPr>
                <w:bCs/>
                <w:sz w:val="26"/>
                <w:szCs w:val="26"/>
              </w:rPr>
            </w:pPr>
            <w:r>
              <w:rPr>
                <w:rFonts w:hint="eastAsia"/>
                <w:bCs/>
                <w:sz w:val="26"/>
                <w:szCs w:val="26"/>
              </w:rPr>
              <w:t>（3）在施工场地内设置垃圾箱，生活垃圾由环保部门统一进行处置。</w:t>
            </w:r>
          </w:p>
          <w:p w14:paraId="64A849E6">
            <w:pPr>
              <w:adjustRightInd w:val="0"/>
              <w:snapToGrid w:val="0"/>
              <w:spacing w:line="460" w:lineRule="exact"/>
              <w:ind w:firstLine="520" w:firstLineChars="200"/>
              <w:rPr>
                <w:bCs/>
                <w:sz w:val="26"/>
                <w:szCs w:val="26"/>
              </w:rPr>
            </w:pPr>
            <w:r>
              <w:rPr>
                <w:rFonts w:hint="eastAsia"/>
                <w:bCs/>
                <w:color w:val="FF0000"/>
                <w:sz w:val="26"/>
                <w:szCs w:val="26"/>
              </w:rPr>
              <w:t>（4）拆除油罐过程，企业可参照《企业拆除活动污染防治技术规定（试行）》组织编制《企业拆除活动污染防治方案》</w:t>
            </w:r>
            <w:r>
              <w:rPr>
                <w:bCs/>
                <w:color w:val="FF0000"/>
                <w:sz w:val="26"/>
                <w:szCs w:val="26"/>
              </w:rPr>
              <w:t>、《拆除活动环境应急预案》</w:t>
            </w:r>
            <w:r>
              <w:rPr>
                <w:rFonts w:hint="eastAsia"/>
                <w:bCs/>
                <w:color w:val="FF0000"/>
                <w:sz w:val="26"/>
                <w:szCs w:val="26"/>
              </w:rPr>
              <w:t>等，建设单位可自行组织拆除工作或委托具备相应能力的施工单位开展拆除工作，实施过程中，应当根据现场的情况和土壤、水、大气等污染防治的需要，及时完善和调整《污染防治方案》。拆除过程可充分利用原有雨污分流、废水收集及处理系统，对拆除现场及拆除过程中产生的各类废水（含清洗废水）、污水、积水收集处理，禁止随意排放。没有收集处理系统或原有收集处理系统不可用的，应采取临时收集处理措施。拆除活动中应尽量减少固体废物的产生，油罐需在拆除后委托有组织单位及时清运处置，并做好资料台账记录。</w:t>
            </w:r>
          </w:p>
          <w:p w14:paraId="3B54D72D">
            <w:pPr>
              <w:adjustRightInd w:val="0"/>
              <w:snapToGrid w:val="0"/>
              <w:spacing w:line="460" w:lineRule="exact"/>
              <w:ind w:firstLine="520" w:firstLineChars="200"/>
              <w:rPr>
                <w:bCs/>
                <w:sz w:val="26"/>
                <w:szCs w:val="26"/>
              </w:rPr>
            </w:pPr>
            <w:r>
              <w:rPr>
                <w:rFonts w:hint="eastAsia"/>
                <w:bCs/>
                <w:sz w:val="26"/>
                <w:szCs w:val="26"/>
              </w:rPr>
              <w:t>经采取上述有效措施后施工期固废对周围环境的影响较小，环保措施可行。</w:t>
            </w:r>
          </w:p>
        </w:tc>
      </w:tr>
      <w:tr w14:paraId="41E44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9" w:hRule="atLeast"/>
          <w:jc w:val="center"/>
        </w:trPr>
        <w:tc>
          <w:tcPr>
            <w:tcW w:w="746" w:type="dxa"/>
            <w:tcMar>
              <w:left w:w="28" w:type="dxa"/>
              <w:right w:w="28" w:type="dxa"/>
            </w:tcMar>
            <w:vAlign w:val="center"/>
          </w:tcPr>
          <w:p w14:paraId="78E6A374">
            <w:pPr>
              <w:adjustRightInd w:val="0"/>
              <w:snapToGrid w:val="0"/>
              <w:jc w:val="center"/>
              <w:rPr>
                <w:bCs/>
                <w:sz w:val="26"/>
                <w:szCs w:val="26"/>
              </w:rPr>
            </w:pPr>
            <w:r>
              <w:rPr>
                <w:bCs/>
                <w:sz w:val="26"/>
                <w:szCs w:val="26"/>
              </w:rPr>
              <w:t>运营</w:t>
            </w:r>
          </w:p>
          <w:p w14:paraId="43199AFE">
            <w:pPr>
              <w:adjustRightInd w:val="0"/>
              <w:snapToGrid w:val="0"/>
              <w:jc w:val="center"/>
              <w:rPr>
                <w:bCs/>
                <w:sz w:val="26"/>
                <w:szCs w:val="26"/>
              </w:rPr>
            </w:pPr>
            <w:r>
              <w:rPr>
                <w:bCs/>
                <w:sz w:val="26"/>
                <w:szCs w:val="26"/>
              </w:rPr>
              <w:t>期环</w:t>
            </w:r>
          </w:p>
          <w:p w14:paraId="485BD3DF">
            <w:pPr>
              <w:adjustRightInd w:val="0"/>
              <w:snapToGrid w:val="0"/>
              <w:jc w:val="center"/>
              <w:rPr>
                <w:bCs/>
                <w:sz w:val="26"/>
                <w:szCs w:val="26"/>
              </w:rPr>
            </w:pPr>
            <w:r>
              <w:rPr>
                <w:bCs/>
                <w:sz w:val="26"/>
                <w:szCs w:val="26"/>
              </w:rPr>
              <w:t>境影</w:t>
            </w:r>
          </w:p>
          <w:p w14:paraId="05DBE470">
            <w:pPr>
              <w:adjustRightInd w:val="0"/>
              <w:snapToGrid w:val="0"/>
              <w:jc w:val="center"/>
              <w:rPr>
                <w:bCs/>
                <w:sz w:val="26"/>
                <w:szCs w:val="26"/>
              </w:rPr>
            </w:pPr>
            <w:r>
              <w:rPr>
                <w:bCs/>
                <w:sz w:val="26"/>
                <w:szCs w:val="26"/>
              </w:rPr>
              <w:t>响和</w:t>
            </w:r>
          </w:p>
          <w:p w14:paraId="5FD748AB">
            <w:pPr>
              <w:adjustRightInd w:val="0"/>
              <w:snapToGrid w:val="0"/>
              <w:jc w:val="center"/>
              <w:rPr>
                <w:bCs/>
                <w:sz w:val="26"/>
                <w:szCs w:val="26"/>
              </w:rPr>
            </w:pPr>
            <w:r>
              <w:rPr>
                <w:bCs/>
                <w:sz w:val="26"/>
                <w:szCs w:val="26"/>
              </w:rPr>
              <w:t>保护</w:t>
            </w:r>
          </w:p>
          <w:p w14:paraId="610BB9DC">
            <w:pPr>
              <w:adjustRightInd w:val="0"/>
              <w:snapToGrid w:val="0"/>
              <w:jc w:val="center"/>
              <w:rPr>
                <w:sz w:val="26"/>
                <w:szCs w:val="26"/>
              </w:rPr>
            </w:pPr>
            <w:r>
              <w:rPr>
                <w:bCs/>
                <w:sz w:val="26"/>
                <w:szCs w:val="26"/>
              </w:rPr>
              <w:t>措施</w:t>
            </w:r>
          </w:p>
        </w:tc>
        <w:tc>
          <w:tcPr>
            <w:tcW w:w="8162" w:type="dxa"/>
            <w:vAlign w:val="center"/>
          </w:tcPr>
          <w:p w14:paraId="19E622C9">
            <w:pPr>
              <w:adjustRightInd w:val="0"/>
              <w:snapToGrid w:val="0"/>
              <w:spacing w:line="460" w:lineRule="exact"/>
              <w:jc w:val="left"/>
              <w:rPr>
                <w:b/>
                <w:bCs/>
                <w:sz w:val="26"/>
                <w:szCs w:val="26"/>
              </w:rPr>
            </w:pPr>
            <w:r>
              <w:rPr>
                <w:b/>
                <w:bCs/>
                <w:sz w:val="26"/>
                <w:szCs w:val="26"/>
              </w:rPr>
              <w:t>4.2运营期环境影响和保护措施</w:t>
            </w:r>
          </w:p>
          <w:p w14:paraId="2CD14825">
            <w:pPr>
              <w:adjustRightInd w:val="0"/>
              <w:snapToGrid w:val="0"/>
              <w:spacing w:line="460" w:lineRule="exact"/>
              <w:jc w:val="left"/>
              <w:rPr>
                <w:b/>
                <w:sz w:val="26"/>
                <w:szCs w:val="26"/>
              </w:rPr>
            </w:pPr>
            <w:r>
              <w:rPr>
                <w:b/>
                <w:sz w:val="26"/>
                <w:szCs w:val="26"/>
              </w:rPr>
              <w:t>4.2.1废气影响分析及其防治措施</w:t>
            </w:r>
          </w:p>
          <w:p w14:paraId="73C98616">
            <w:pPr>
              <w:adjustRightInd w:val="0"/>
              <w:snapToGrid w:val="0"/>
              <w:spacing w:line="460" w:lineRule="exact"/>
              <w:ind w:firstLine="520" w:firstLineChars="200"/>
              <w:jc w:val="left"/>
              <w:rPr>
                <w:bCs/>
                <w:sz w:val="26"/>
                <w:szCs w:val="26"/>
              </w:rPr>
            </w:pPr>
            <w:r>
              <w:rPr>
                <w:bCs/>
                <w:sz w:val="26"/>
                <w:szCs w:val="26"/>
              </w:rPr>
              <w:t>（1）废气排放源强</w:t>
            </w:r>
          </w:p>
          <w:p w14:paraId="6C5B0FE4">
            <w:pPr>
              <w:adjustRightInd w:val="0"/>
              <w:snapToGrid w:val="0"/>
              <w:spacing w:line="460" w:lineRule="exact"/>
              <w:ind w:firstLine="520" w:firstLineChars="200"/>
              <w:rPr>
                <w:bCs/>
                <w:sz w:val="26"/>
                <w:szCs w:val="26"/>
              </w:rPr>
            </w:pPr>
            <w:r>
              <w:rPr>
                <w:rFonts w:hint="eastAsia"/>
                <w:bCs/>
                <w:sz w:val="26"/>
                <w:szCs w:val="26"/>
              </w:rPr>
              <w:t>本项目主要大气污染因子为非甲烷总烃，正常营运期期间产生的废气主要来自于储油罐</w:t>
            </w:r>
            <w:r>
              <w:rPr>
                <w:rFonts w:hint="eastAsia"/>
                <w:bCs/>
                <w:sz w:val="26"/>
                <w:szCs w:val="26"/>
                <w:lang w:val="en-US" w:eastAsia="zh-CN"/>
              </w:rPr>
              <w:t>贮存</w:t>
            </w:r>
            <w:r>
              <w:rPr>
                <w:rFonts w:hint="eastAsia"/>
                <w:bCs/>
                <w:sz w:val="26"/>
                <w:szCs w:val="26"/>
              </w:rPr>
              <w:t>呼吸损耗</w:t>
            </w:r>
            <w:r>
              <w:rPr>
                <w:rFonts w:hint="eastAsia"/>
                <w:bCs/>
                <w:sz w:val="26"/>
                <w:szCs w:val="26"/>
                <w:lang w:eastAsia="zh-CN"/>
              </w:rPr>
              <w:t>（</w:t>
            </w:r>
            <w:r>
              <w:rPr>
                <w:rFonts w:hint="eastAsia"/>
                <w:bCs/>
                <w:sz w:val="26"/>
                <w:szCs w:val="26"/>
                <w:lang w:val="en-US" w:eastAsia="zh-CN"/>
              </w:rPr>
              <w:t>汽油</w:t>
            </w:r>
            <w:r>
              <w:rPr>
                <w:rFonts w:hint="eastAsia"/>
                <w:bCs/>
                <w:sz w:val="26"/>
                <w:szCs w:val="26"/>
                <w:lang w:eastAsia="zh-CN"/>
              </w:rPr>
              <w:t>）</w:t>
            </w:r>
            <w:r>
              <w:rPr>
                <w:rFonts w:hint="eastAsia"/>
                <w:bCs/>
                <w:sz w:val="26"/>
                <w:szCs w:val="26"/>
              </w:rPr>
              <w:t>、油罐车卸油灌注</w:t>
            </w:r>
            <w:r>
              <w:rPr>
                <w:rFonts w:hint="eastAsia"/>
                <w:bCs/>
                <w:sz w:val="26"/>
                <w:szCs w:val="26"/>
                <w:lang w:eastAsia="zh-CN"/>
              </w:rPr>
              <w:t>（</w:t>
            </w:r>
            <w:r>
              <w:rPr>
                <w:rFonts w:hint="eastAsia"/>
                <w:bCs/>
                <w:sz w:val="26"/>
                <w:szCs w:val="26"/>
                <w:lang w:val="en-US" w:eastAsia="zh-CN"/>
              </w:rPr>
              <w:t>汽油、柴油</w:t>
            </w:r>
            <w:r>
              <w:rPr>
                <w:rFonts w:hint="eastAsia"/>
                <w:bCs/>
                <w:sz w:val="26"/>
                <w:szCs w:val="26"/>
                <w:lang w:eastAsia="zh-CN"/>
              </w:rPr>
              <w:t>）</w:t>
            </w:r>
            <w:r>
              <w:rPr>
                <w:rFonts w:hint="eastAsia"/>
                <w:bCs/>
                <w:sz w:val="26"/>
                <w:szCs w:val="26"/>
              </w:rPr>
              <w:t>以及加油作业过程中排放的少量油气</w:t>
            </w:r>
            <w:r>
              <w:rPr>
                <w:rFonts w:hint="eastAsia"/>
                <w:bCs/>
                <w:sz w:val="26"/>
                <w:szCs w:val="26"/>
                <w:lang w:eastAsia="zh-CN"/>
              </w:rPr>
              <w:t>（</w:t>
            </w:r>
            <w:r>
              <w:rPr>
                <w:rFonts w:hint="eastAsia"/>
                <w:bCs/>
                <w:sz w:val="26"/>
                <w:szCs w:val="26"/>
                <w:lang w:val="en-US" w:eastAsia="zh-CN"/>
              </w:rPr>
              <w:t>汽油、柴油</w:t>
            </w:r>
            <w:r>
              <w:rPr>
                <w:rFonts w:hint="eastAsia"/>
                <w:bCs/>
                <w:sz w:val="26"/>
                <w:szCs w:val="26"/>
                <w:lang w:eastAsia="zh-CN"/>
              </w:rPr>
              <w:t>）</w:t>
            </w:r>
            <w:r>
              <w:rPr>
                <w:rFonts w:hint="eastAsia"/>
                <w:bCs/>
                <w:sz w:val="26"/>
                <w:szCs w:val="26"/>
              </w:rPr>
              <w:t>，</w:t>
            </w:r>
            <w:r>
              <w:rPr>
                <w:rFonts w:hint="eastAsia"/>
                <w:bCs/>
                <w:sz w:val="26"/>
                <w:szCs w:val="26"/>
                <w:lang w:val="en-US" w:eastAsia="zh-CN"/>
              </w:rPr>
              <w:t>均</w:t>
            </w:r>
            <w:r>
              <w:rPr>
                <w:rFonts w:hint="eastAsia"/>
                <w:bCs/>
                <w:sz w:val="26"/>
                <w:szCs w:val="26"/>
              </w:rPr>
              <w:t>以非甲烷总烃为污染物指标计算。另外，加油站运营过程中还有过往车辆产生的少量汽车尾气</w:t>
            </w:r>
            <w:r>
              <w:rPr>
                <w:rFonts w:hint="eastAsia"/>
                <w:bCs/>
                <w:sz w:val="26"/>
                <w:szCs w:val="26"/>
                <w:lang w:eastAsia="zh-CN"/>
              </w:rPr>
              <w:t>、</w:t>
            </w:r>
            <w:r>
              <w:rPr>
                <w:rFonts w:hint="eastAsia"/>
                <w:bCs/>
                <w:sz w:val="26"/>
                <w:szCs w:val="26"/>
                <w:lang w:val="en-US" w:eastAsia="zh-CN"/>
              </w:rPr>
              <w:t>化粪池臭气</w:t>
            </w:r>
            <w:r>
              <w:rPr>
                <w:rFonts w:hint="eastAsia"/>
                <w:bCs/>
                <w:sz w:val="26"/>
                <w:szCs w:val="26"/>
              </w:rPr>
              <w:t>和</w:t>
            </w:r>
            <w:r>
              <w:rPr>
                <w:rFonts w:hint="eastAsia"/>
                <w:bCs/>
                <w:color w:val="auto"/>
                <w:sz w:val="26"/>
                <w:szCs w:val="26"/>
              </w:rPr>
              <w:t>备用柴油发电机废气。</w:t>
            </w:r>
          </w:p>
          <w:p w14:paraId="19A7741F">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lang w:val="en-US" w:eastAsia="zh-CN"/>
              </w:rPr>
              <w:t>①油品卸料过程油气产排情况</w:t>
            </w:r>
          </w:p>
          <w:p w14:paraId="7374BD2B">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rPr>
              <w:t>油罐车卸油损耗是指</w:t>
            </w:r>
            <w:r>
              <w:rPr>
                <w:rFonts w:hint="eastAsia"/>
                <w:bCs/>
                <w:sz w:val="26"/>
                <w:szCs w:val="26"/>
                <w:lang w:val="en-US" w:eastAsia="zh-CN"/>
              </w:rPr>
              <w:t>将油品卸料进入</w:t>
            </w:r>
            <w:r>
              <w:rPr>
                <w:rFonts w:hint="eastAsia"/>
                <w:bCs/>
                <w:sz w:val="26"/>
                <w:szCs w:val="26"/>
              </w:rPr>
              <w:t>油罐</w:t>
            </w:r>
            <w:r>
              <w:rPr>
                <w:rFonts w:hint="eastAsia"/>
                <w:bCs/>
                <w:sz w:val="26"/>
                <w:szCs w:val="26"/>
                <w:lang w:eastAsia="zh-CN"/>
              </w:rPr>
              <w:t>，</w:t>
            </w:r>
            <w:r>
              <w:rPr>
                <w:rFonts w:hint="eastAsia"/>
                <w:bCs/>
                <w:sz w:val="26"/>
                <w:szCs w:val="26"/>
                <w:lang w:val="en-US" w:eastAsia="zh-CN"/>
              </w:rPr>
              <w:t>油罐</w:t>
            </w:r>
            <w:r>
              <w:rPr>
                <w:rFonts w:hint="eastAsia"/>
                <w:bCs/>
                <w:sz w:val="26"/>
                <w:szCs w:val="26"/>
              </w:rPr>
              <w:t>进行装油时所呼出的油蒸气而造成的油品蒸发损失。油罐进油时，由于油面逐渐升高，气体空间逐渐减小，罐内压力增大，当压力超过呼吸阀控制压力时，一定浓度的油蒸气开始从呼吸阀呼出，直到油罐停止收油。本项目进料采用淹没输油管法，根据《中国加油站VOC排放污染现状及控制》（环境科学·第27卷第8期 2006年8月），</w:t>
            </w:r>
            <w:r>
              <w:rPr>
                <w:rFonts w:hint="eastAsia"/>
                <w:bCs/>
                <w:sz w:val="26"/>
                <w:szCs w:val="26"/>
                <w:lang w:val="en-US" w:eastAsia="zh-CN"/>
              </w:rPr>
              <w:t>汽油</w:t>
            </w:r>
            <w:r>
              <w:rPr>
                <w:rFonts w:hint="eastAsia"/>
                <w:bCs/>
                <w:sz w:val="26"/>
                <w:szCs w:val="26"/>
              </w:rPr>
              <w:t>卸油过程中损耗率为2.3kg/t</w:t>
            </w:r>
            <w:r>
              <w:rPr>
                <w:rFonts w:hint="eastAsia"/>
                <w:bCs/>
                <w:sz w:val="26"/>
                <w:szCs w:val="26"/>
                <w:lang w:eastAsia="zh-CN"/>
              </w:rPr>
              <w:t>，</w:t>
            </w:r>
            <w:r>
              <w:rPr>
                <w:rFonts w:hint="eastAsia"/>
                <w:bCs/>
                <w:sz w:val="26"/>
                <w:szCs w:val="26"/>
                <w:lang w:val="en-US" w:eastAsia="zh-CN"/>
              </w:rPr>
              <w:t>柴油卸油过程中损耗率为0.027</w:t>
            </w:r>
            <w:r>
              <w:rPr>
                <w:rFonts w:hint="eastAsia"/>
                <w:bCs/>
                <w:sz w:val="26"/>
                <w:szCs w:val="26"/>
              </w:rPr>
              <w:t>kg/t。</w:t>
            </w:r>
            <w:r>
              <w:rPr>
                <w:rFonts w:hint="eastAsia"/>
                <w:bCs/>
                <w:sz w:val="26"/>
                <w:szCs w:val="26"/>
                <w:lang w:val="en-US" w:eastAsia="zh-CN"/>
              </w:rPr>
              <w:t>一次油气回收系统回收率取95%。</w:t>
            </w:r>
          </w:p>
          <w:p w14:paraId="282A0097">
            <w:pPr>
              <w:adjustRightInd w:val="0"/>
              <w:snapToGrid w:val="0"/>
              <w:spacing w:line="460" w:lineRule="exact"/>
              <w:ind w:firstLine="520" w:firstLineChars="200"/>
              <w:rPr>
                <w:bCs/>
                <w:sz w:val="26"/>
                <w:szCs w:val="26"/>
              </w:rPr>
            </w:pPr>
            <w:r>
              <w:rPr>
                <w:rFonts w:hint="eastAsia"/>
                <w:bCs/>
                <w:sz w:val="26"/>
                <w:szCs w:val="26"/>
              </w:rPr>
              <w:t>本项目改建后预计年周转汽油</w:t>
            </w:r>
            <w:r>
              <w:rPr>
                <w:rFonts w:hint="eastAsia"/>
                <w:bCs/>
                <w:color w:val="auto"/>
                <w:sz w:val="26"/>
                <w:szCs w:val="26"/>
                <w:lang w:val="en-US" w:eastAsia="zh-CN"/>
              </w:rPr>
              <w:t>4150</w:t>
            </w:r>
            <w:r>
              <w:rPr>
                <w:rFonts w:hint="eastAsia"/>
                <w:bCs/>
                <w:color w:val="auto"/>
                <w:sz w:val="26"/>
                <w:szCs w:val="26"/>
              </w:rPr>
              <w:t>t，</w:t>
            </w:r>
            <w:r>
              <w:rPr>
                <w:rFonts w:hint="eastAsia"/>
                <w:bCs/>
                <w:color w:val="auto"/>
                <w:sz w:val="26"/>
                <w:szCs w:val="26"/>
                <w:lang w:val="en-US" w:eastAsia="zh-CN"/>
              </w:rPr>
              <w:t>年周转柴油520</w:t>
            </w:r>
            <w:r>
              <w:rPr>
                <w:rFonts w:hint="eastAsia"/>
                <w:bCs/>
                <w:color w:val="auto"/>
                <w:sz w:val="26"/>
                <w:szCs w:val="26"/>
              </w:rPr>
              <w:t>t</w:t>
            </w:r>
            <w:r>
              <w:rPr>
                <w:rFonts w:hint="eastAsia"/>
                <w:bCs/>
                <w:sz w:val="26"/>
                <w:szCs w:val="26"/>
                <w:lang w:val="en-US" w:eastAsia="zh-CN"/>
              </w:rPr>
              <w:t>，</w:t>
            </w:r>
            <w:r>
              <w:rPr>
                <w:rFonts w:hint="eastAsia"/>
                <w:bCs/>
                <w:sz w:val="26"/>
                <w:szCs w:val="26"/>
              </w:rPr>
              <w:t>汽油损耗产生的油气经卸油油气回收系统</w:t>
            </w:r>
            <w:r>
              <w:rPr>
                <w:rFonts w:hint="eastAsia"/>
                <w:bCs/>
                <w:sz w:val="26"/>
                <w:szCs w:val="26"/>
                <w:lang w:val="en-US" w:eastAsia="zh-CN"/>
              </w:rPr>
              <w:t>回收处理，柴油</w:t>
            </w:r>
            <w:r>
              <w:rPr>
                <w:rFonts w:hint="eastAsia"/>
                <w:bCs/>
                <w:sz w:val="26"/>
                <w:szCs w:val="26"/>
              </w:rPr>
              <w:t>损耗产生的油气</w:t>
            </w:r>
            <w:r>
              <w:rPr>
                <w:rFonts w:hint="eastAsia"/>
                <w:bCs/>
                <w:sz w:val="26"/>
                <w:szCs w:val="26"/>
                <w:lang w:val="en-US" w:eastAsia="zh-CN"/>
              </w:rPr>
              <w:t>逸出后散排。油品卸料过程油气产生</w:t>
            </w:r>
            <w:r>
              <w:rPr>
                <w:rFonts w:hint="eastAsia"/>
                <w:bCs/>
                <w:sz w:val="26"/>
                <w:szCs w:val="26"/>
              </w:rPr>
              <w:t>排放量统计结果如下表</w:t>
            </w:r>
            <w:r>
              <w:rPr>
                <w:bCs/>
                <w:sz w:val="26"/>
                <w:szCs w:val="26"/>
              </w:rPr>
              <w:t>4.2</w:t>
            </w:r>
            <w:r>
              <w:rPr>
                <w:rFonts w:hint="eastAsia"/>
                <w:bCs/>
                <w:sz w:val="26"/>
                <w:szCs w:val="26"/>
                <w:lang w:val="en-US" w:eastAsia="zh-CN"/>
              </w:rPr>
              <w:t>-1</w:t>
            </w:r>
            <w:r>
              <w:rPr>
                <w:rFonts w:hint="eastAsia"/>
                <w:bCs/>
                <w:sz w:val="26"/>
                <w:szCs w:val="26"/>
              </w:rPr>
              <w:t>。</w:t>
            </w:r>
          </w:p>
          <w:p w14:paraId="6E655E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6"/>
                <w:szCs w:val="26"/>
              </w:rPr>
            </w:pPr>
            <w:r>
              <w:rPr>
                <w:sz w:val="22"/>
                <w:szCs w:val="22"/>
              </w:rPr>
              <w:t>表4.2</w:t>
            </w:r>
            <w:r>
              <w:rPr>
                <w:rFonts w:hint="eastAsia"/>
                <w:sz w:val="22"/>
                <w:szCs w:val="22"/>
              </w:rPr>
              <w:t>-</w:t>
            </w:r>
            <w:r>
              <w:rPr>
                <w:rFonts w:hint="eastAsia"/>
                <w:sz w:val="22"/>
                <w:szCs w:val="22"/>
                <w:lang w:val="en-US" w:eastAsia="zh-CN"/>
              </w:rPr>
              <w:t xml:space="preserve">1  </w:t>
            </w:r>
            <w:r>
              <w:rPr>
                <w:rFonts w:hint="eastAsia"/>
                <w:bCs/>
                <w:sz w:val="22"/>
                <w:szCs w:val="22"/>
                <w:lang w:val="en-US" w:eastAsia="zh-CN"/>
              </w:rPr>
              <w:t>油品卸料过程</w:t>
            </w:r>
            <w:r>
              <w:rPr>
                <w:rFonts w:hint="eastAsia"/>
                <w:sz w:val="22"/>
                <w:szCs w:val="22"/>
              </w:rPr>
              <w:t>油气</w:t>
            </w:r>
            <w:r>
              <w:rPr>
                <w:rFonts w:hint="eastAsia"/>
                <w:sz w:val="22"/>
                <w:szCs w:val="22"/>
                <w:lang w:val="en-US" w:eastAsia="zh-CN"/>
              </w:rPr>
              <w:t>产排情况</w:t>
            </w:r>
            <w:r>
              <w:rPr>
                <w:rFonts w:hint="eastAsia"/>
                <w:sz w:val="22"/>
                <w:szCs w:val="22"/>
              </w:rPr>
              <w:t>统计表</w:t>
            </w:r>
            <w:r>
              <w:rPr>
                <w:rFonts w:hint="eastAsia"/>
                <w:sz w:val="22"/>
                <w:szCs w:val="22"/>
                <w:lang w:val="en-US" w:eastAsia="zh-CN"/>
              </w:rPr>
              <w:t xml:space="preserve">  </w:t>
            </w:r>
            <w:r>
              <w:rPr>
                <w:sz w:val="22"/>
                <w:szCs w:val="22"/>
              </w:rPr>
              <w:t>单位：t/a</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60"/>
              <w:gridCol w:w="1158"/>
              <w:gridCol w:w="807"/>
              <w:gridCol w:w="918"/>
              <w:gridCol w:w="1088"/>
              <w:gridCol w:w="1125"/>
              <w:gridCol w:w="1283"/>
            </w:tblGrid>
            <w:tr w14:paraId="6C3E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gridSpan w:val="2"/>
                  <w:vMerge w:val="restart"/>
                  <w:tcBorders>
                    <w:tl2br w:val="single" w:color="auto" w:sz="4" w:space="0"/>
                  </w:tcBorders>
                  <w:vAlign w:val="center"/>
                </w:tcPr>
                <w:p w14:paraId="41E800F6">
                  <w:pPr>
                    <w:jc w:val="center"/>
                    <w:rPr>
                      <w:sz w:val="22"/>
                      <w:szCs w:val="22"/>
                    </w:rPr>
                  </w:pPr>
                  <w:r>
                    <w:rPr>
                      <w:rFonts w:hint="eastAsia"/>
                      <w:sz w:val="22"/>
                      <w:szCs w:val="22"/>
                    </w:rPr>
                    <w:t xml:space="preserve"> </w:t>
                  </w:r>
                  <w:r>
                    <w:rPr>
                      <w:sz w:val="22"/>
                      <w:szCs w:val="22"/>
                    </w:rPr>
                    <w:t xml:space="preserve">    </w:t>
                  </w:r>
                  <w:r>
                    <w:rPr>
                      <w:rFonts w:hint="eastAsia"/>
                      <w:sz w:val="22"/>
                      <w:szCs w:val="22"/>
                    </w:rPr>
                    <w:t>项目</w:t>
                  </w:r>
                </w:p>
                <w:p w14:paraId="7C79C5E4">
                  <w:pPr>
                    <w:rPr>
                      <w:sz w:val="22"/>
                      <w:szCs w:val="22"/>
                    </w:rPr>
                  </w:pPr>
                  <w:r>
                    <w:rPr>
                      <w:rFonts w:hint="eastAsia"/>
                      <w:sz w:val="22"/>
                      <w:szCs w:val="22"/>
                    </w:rPr>
                    <w:t>类型</w:t>
                  </w:r>
                </w:p>
              </w:tc>
              <w:tc>
                <w:tcPr>
                  <w:tcW w:w="1158" w:type="dxa"/>
                  <w:vMerge w:val="restart"/>
                  <w:vAlign w:val="center"/>
                </w:tcPr>
                <w:p w14:paraId="66A9A493">
                  <w:pPr>
                    <w:jc w:val="center"/>
                    <w:rPr>
                      <w:sz w:val="22"/>
                      <w:szCs w:val="22"/>
                    </w:rPr>
                  </w:pPr>
                  <w:r>
                    <w:rPr>
                      <w:rFonts w:hint="eastAsia"/>
                      <w:sz w:val="22"/>
                      <w:szCs w:val="22"/>
                    </w:rPr>
                    <w:t>损耗率</w:t>
                  </w:r>
                </w:p>
              </w:tc>
              <w:tc>
                <w:tcPr>
                  <w:tcW w:w="807" w:type="dxa"/>
                  <w:vMerge w:val="restart"/>
                  <w:vAlign w:val="center"/>
                </w:tcPr>
                <w:p w14:paraId="5ED15F1E">
                  <w:pPr>
                    <w:widowControl/>
                    <w:pBdr>
                      <w:left w:val="single" w:color="auto" w:sz="4" w:space="31"/>
                      <w:right w:val="single" w:color="auto" w:sz="4" w:space="31"/>
                    </w:pBdr>
                    <w:jc w:val="center"/>
                    <w:rPr>
                      <w:rFonts w:hint="eastAsia" w:eastAsia="宋体"/>
                      <w:sz w:val="22"/>
                      <w:szCs w:val="22"/>
                      <w:lang w:eastAsia="zh-CN"/>
                    </w:rPr>
                  </w:pPr>
                  <w:r>
                    <w:rPr>
                      <w:rFonts w:hint="eastAsia"/>
                      <w:sz w:val="22"/>
                      <w:szCs w:val="22"/>
                      <w:lang w:val="en-US" w:eastAsia="zh-CN"/>
                    </w:rPr>
                    <w:t>周转量</w:t>
                  </w:r>
                </w:p>
              </w:tc>
              <w:tc>
                <w:tcPr>
                  <w:tcW w:w="918" w:type="dxa"/>
                  <w:vMerge w:val="restart"/>
                  <w:vAlign w:val="center"/>
                </w:tcPr>
                <w:p w14:paraId="6A18C96D">
                  <w:pPr>
                    <w:widowControl/>
                    <w:pBdr>
                      <w:left w:val="single" w:color="auto" w:sz="4" w:space="31"/>
                      <w:right w:val="single" w:color="auto" w:sz="4" w:space="31"/>
                    </w:pBdr>
                    <w:jc w:val="center"/>
                    <w:rPr>
                      <w:rFonts w:hint="eastAsia"/>
                      <w:sz w:val="22"/>
                      <w:szCs w:val="22"/>
                      <w:lang w:val="en-US" w:eastAsia="zh-CN"/>
                    </w:rPr>
                  </w:pPr>
                  <w:r>
                    <w:rPr>
                      <w:rFonts w:hint="eastAsia"/>
                      <w:sz w:val="22"/>
                      <w:szCs w:val="22"/>
                      <w:lang w:val="en-US" w:eastAsia="zh-CN"/>
                    </w:rPr>
                    <w:t>损耗量</w:t>
                  </w:r>
                </w:p>
              </w:tc>
              <w:tc>
                <w:tcPr>
                  <w:tcW w:w="2213" w:type="dxa"/>
                  <w:gridSpan w:val="2"/>
                  <w:vAlign w:val="center"/>
                </w:tcPr>
                <w:p w14:paraId="213AEC13">
                  <w:pPr>
                    <w:jc w:val="center"/>
                    <w:rPr>
                      <w:sz w:val="22"/>
                      <w:szCs w:val="22"/>
                    </w:rPr>
                  </w:pPr>
                  <w:r>
                    <w:rPr>
                      <w:rFonts w:hint="eastAsia"/>
                      <w:sz w:val="22"/>
                      <w:szCs w:val="22"/>
                      <w:lang w:val="en-US" w:eastAsia="zh-CN"/>
                    </w:rPr>
                    <w:t>一次</w:t>
                  </w:r>
                  <w:r>
                    <w:rPr>
                      <w:rFonts w:hint="eastAsia"/>
                      <w:sz w:val="22"/>
                      <w:szCs w:val="22"/>
                    </w:rPr>
                    <w:t>油气回收系统</w:t>
                  </w:r>
                </w:p>
              </w:tc>
              <w:tc>
                <w:tcPr>
                  <w:tcW w:w="1283" w:type="dxa"/>
                  <w:vMerge w:val="restart"/>
                  <w:vAlign w:val="center"/>
                </w:tcPr>
                <w:p w14:paraId="6C7F5723">
                  <w:pPr>
                    <w:jc w:val="center"/>
                    <w:rPr>
                      <w:sz w:val="22"/>
                      <w:szCs w:val="22"/>
                    </w:rPr>
                  </w:pPr>
                  <w:r>
                    <w:rPr>
                      <w:rFonts w:hint="eastAsia"/>
                      <w:sz w:val="22"/>
                      <w:szCs w:val="22"/>
                    </w:rPr>
                    <w:t>油气无组织排放</w:t>
                  </w:r>
                </w:p>
              </w:tc>
            </w:tr>
            <w:tr w14:paraId="7AD9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gridSpan w:val="2"/>
                  <w:vMerge w:val="continue"/>
                  <w:tcBorders>
                    <w:tl2br w:val="single" w:color="auto" w:sz="4" w:space="0"/>
                  </w:tcBorders>
                  <w:vAlign w:val="center"/>
                </w:tcPr>
                <w:p w14:paraId="3FC27A92">
                  <w:pPr>
                    <w:jc w:val="center"/>
                    <w:rPr>
                      <w:sz w:val="22"/>
                      <w:szCs w:val="22"/>
                    </w:rPr>
                  </w:pPr>
                </w:p>
              </w:tc>
              <w:tc>
                <w:tcPr>
                  <w:tcW w:w="1158" w:type="dxa"/>
                  <w:vMerge w:val="continue"/>
                  <w:vAlign w:val="center"/>
                </w:tcPr>
                <w:p w14:paraId="22E50563">
                  <w:pPr>
                    <w:jc w:val="center"/>
                    <w:rPr>
                      <w:sz w:val="22"/>
                      <w:szCs w:val="22"/>
                    </w:rPr>
                  </w:pPr>
                </w:p>
              </w:tc>
              <w:tc>
                <w:tcPr>
                  <w:tcW w:w="807" w:type="dxa"/>
                  <w:vMerge w:val="continue"/>
                  <w:vAlign w:val="center"/>
                </w:tcPr>
                <w:p w14:paraId="470C7258">
                  <w:pPr>
                    <w:jc w:val="center"/>
                    <w:rPr>
                      <w:sz w:val="22"/>
                      <w:szCs w:val="22"/>
                    </w:rPr>
                  </w:pPr>
                </w:p>
              </w:tc>
              <w:tc>
                <w:tcPr>
                  <w:tcW w:w="918" w:type="dxa"/>
                  <w:vMerge w:val="continue"/>
                  <w:vAlign w:val="center"/>
                </w:tcPr>
                <w:p w14:paraId="6E243DA1">
                  <w:pPr>
                    <w:jc w:val="center"/>
                    <w:rPr>
                      <w:sz w:val="22"/>
                      <w:szCs w:val="22"/>
                    </w:rPr>
                  </w:pPr>
                </w:p>
              </w:tc>
              <w:tc>
                <w:tcPr>
                  <w:tcW w:w="1088" w:type="dxa"/>
                  <w:vAlign w:val="center"/>
                </w:tcPr>
                <w:p w14:paraId="438B6978">
                  <w:pPr>
                    <w:jc w:val="center"/>
                    <w:rPr>
                      <w:sz w:val="22"/>
                      <w:szCs w:val="22"/>
                    </w:rPr>
                  </w:pPr>
                  <w:r>
                    <w:rPr>
                      <w:rFonts w:hint="eastAsia"/>
                      <w:sz w:val="22"/>
                      <w:szCs w:val="22"/>
                    </w:rPr>
                    <w:t>回收率</w:t>
                  </w:r>
                </w:p>
              </w:tc>
              <w:tc>
                <w:tcPr>
                  <w:tcW w:w="1125" w:type="dxa"/>
                  <w:vAlign w:val="center"/>
                </w:tcPr>
                <w:p w14:paraId="5659EFB8">
                  <w:pPr>
                    <w:jc w:val="center"/>
                    <w:rPr>
                      <w:sz w:val="22"/>
                      <w:szCs w:val="22"/>
                    </w:rPr>
                  </w:pPr>
                  <w:r>
                    <w:rPr>
                      <w:rFonts w:hint="eastAsia"/>
                      <w:sz w:val="22"/>
                      <w:szCs w:val="22"/>
                    </w:rPr>
                    <w:t>回收量</w:t>
                  </w:r>
                </w:p>
              </w:tc>
              <w:tc>
                <w:tcPr>
                  <w:tcW w:w="1283" w:type="dxa"/>
                  <w:vMerge w:val="continue"/>
                  <w:vAlign w:val="center"/>
                </w:tcPr>
                <w:p w14:paraId="534E387D">
                  <w:pPr>
                    <w:jc w:val="center"/>
                    <w:rPr>
                      <w:sz w:val="22"/>
                      <w:szCs w:val="22"/>
                    </w:rPr>
                  </w:pPr>
                </w:p>
              </w:tc>
            </w:tr>
            <w:tr w14:paraId="5269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14:paraId="17720AC6">
                  <w:pPr>
                    <w:jc w:val="center"/>
                    <w:rPr>
                      <w:sz w:val="22"/>
                      <w:szCs w:val="22"/>
                    </w:rPr>
                  </w:pPr>
                  <w:r>
                    <w:rPr>
                      <w:rFonts w:hint="eastAsia"/>
                      <w:sz w:val="22"/>
                      <w:szCs w:val="22"/>
                    </w:rPr>
                    <w:t>卸油</w:t>
                  </w:r>
                </w:p>
              </w:tc>
              <w:tc>
                <w:tcPr>
                  <w:tcW w:w="660" w:type="dxa"/>
                  <w:vAlign w:val="center"/>
                </w:tcPr>
                <w:p w14:paraId="2C851A7E">
                  <w:pPr>
                    <w:jc w:val="center"/>
                    <w:rPr>
                      <w:rFonts w:hint="eastAsia" w:eastAsia="宋体"/>
                      <w:sz w:val="22"/>
                      <w:szCs w:val="22"/>
                      <w:lang w:val="en-US" w:eastAsia="zh-CN"/>
                    </w:rPr>
                  </w:pPr>
                  <w:r>
                    <w:rPr>
                      <w:rFonts w:hint="eastAsia"/>
                      <w:sz w:val="22"/>
                      <w:szCs w:val="22"/>
                      <w:lang w:val="en-US" w:eastAsia="zh-CN"/>
                    </w:rPr>
                    <w:t>汽油</w:t>
                  </w:r>
                </w:p>
              </w:tc>
              <w:tc>
                <w:tcPr>
                  <w:tcW w:w="1158" w:type="dxa"/>
                  <w:vAlign w:val="center"/>
                </w:tcPr>
                <w:p w14:paraId="0D141EA2">
                  <w:pPr>
                    <w:jc w:val="center"/>
                    <w:rPr>
                      <w:rFonts w:hint="default" w:eastAsia="宋体"/>
                      <w:sz w:val="22"/>
                      <w:szCs w:val="22"/>
                      <w:lang w:val="en-US" w:eastAsia="zh-CN"/>
                    </w:rPr>
                  </w:pPr>
                  <w:r>
                    <w:rPr>
                      <w:rFonts w:hint="eastAsia"/>
                      <w:sz w:val="22"/>
                      <w:szCs w:val="22"/>
                      <w:lang w:val="en-US" w:eastAsia="zh-CN"/>
                    </w:rPr>
                    <w:t>2.3kg/t</w:t>
                  </w:r>
                </w:p>
              </w:tc>
              <w:tc>
                <w:tcPr>
                  <w:tcW w:w="807" w:type="dxa"/>
                  <w:tcBorders>
                    <w:top w:val="single" w:color="auto" w:sz="4" w:space="0"/>
                    <w:left w:val="single" w:color="auto" w:sz="4" w:space="0"/>
                    <w:bottom w:val="single" w:color="auto" w:sz="4" w:space="0"/>
                    <w:right w:val="single" w:color="auto" w:sz="4" w:space="0"/>
                  </w:tcBorders>
                  <w:vAlign w:val="center"/>
                </w:tcPr>
                <w:p w14:paraId="57E7D204">
                  <w:pPr>
                    <w:jc w:val="center"/>
                    <w:rPr>
                      <w:rFonts w:hint="default" w:eastAsia="宋体"/>
                      <w:sz w:val="22"/>
                      <w:szCs w:val="22"/>
                      <w:lang w:val="en-US" w:eastAsia="zh-CN"/>
                    </w:rPr>
                  </w:pPr>
                  <w:r>
                    <w:rPr>
                      <w:rFonts w:hint="eastAsia"/>
                      <w:sz w:val="22"/>
                      <w:szCs w:val="22"/>
                      <w:lang w:val="en-US" w:eastAsia="zh-CN"/>
                    </w:rPr>
                    <w:t>4150</w:t>
                  </w:r>
                </w:p>
              </w:tc>
              <w:tc>
                <w:tcPr>
                  <w:tcW w:w="918" w:type="dxa"/>
                  <w:tcBorders>
                    <w:top w:val="single" w:color="auto" w:sz="4" w:space="0"/>
                    <w:left w:val="single" w:color="auto" w:sz="4" w:space="0"/>
                    <w:bottom w:val="single" w:color="auto" w:sz="4" w:space="0"/>
                    <w:right w:val="single" w:color="auto" w:sz="4" w:space="0"/>
                  </w:tcBorders>
                  <w:vAlign w:val="center"/>
                </w:tcPr>
                <w:p w14:paraId="7480B65E">
                  <w:pPr>
                    <w:jc w:val="center"/>
                    <w:rPr>
                      <w:rFonts w:hint="default" w:eastAsia="等线"/>
                      <w:sz w:val="22"/>
                      <w:szCs w:val="22"/>
                      <w:lang w:val="en-US" w:eastAsia="zh-CN"/>
                    </w:rPr>
                  </w:pPr>
                  <w:r>
                    <w:rPr>
                      <w:rFonts w:hint="eastAsia" w:eastAsia="等线"/>
                      <w:sz w:val="22"/>
                      <w:szCs w:val="22"/>
                      <w:lang w:val="en-US" w:eastAsia="zh-CN"/>
                    </w:rPr>
                    <w:t>9.545</w:t>
                  </w:r>
                </w:p>
              </w:tc>
              <w:tc>
                <w:tcPr>
                  <w:tcW w:w="1088" w:type="dxa"/>
                  <w:vAlign w:val="center"/>
                </w:tcPr>
                <w:p w14:paraId="7370C0E3">
                  <w:pPr>
                    <w:jc w:val="center"/>
                    <w:rPr>
                      <w:sz w:val="22"/>
                      <w:szCs w:val="22"/>
                    </w:rPr>
                  </w:pPr>
                  <w:r>
                    <w:rPr>
                      <w:sz w:val="22"/>
                      <w:szCs w:val="22"/>
                    </w:rPr>
                    <w:t>95</w:t>
                  </w:r>
                  <w:r>
                    <w:rPr>
                      <w:rFonts w:hint="eastAsia"/>
                      <w:sz w:val="22"/>
                      <w:szCs w:val="22"/>
                    </w:rPr>
                    <w:t>%</w:t>
                  </w:r>
                </w:p>
              </w:tc>
              <w:tc>
                <w:tcPr>
                  <w:tcW w:w="1125" w:type="dxa"/>
                  <w:tcBorders>
                    <w:top w:val="single" w:color="auto" w:sz="4" w:space="0"/>
                    <w:left w:val="single" w:color="auto" w:sz="4" w:space="0"/>
                    <w:bottom w:val="single" w:color="auto" w:sz="4" w:space="0"/>
                    <w:right w:val="single" w:color="auto" w:sz="4" w:space="0"/>
                  </w:tcBorders>
                  <w:vAlign w:val="center"/>
                </w:tcPr>
                <w:p w14:paraId="47A4B1B6">
                  <w:pPr>
                    <w:jc w:val="center"/>
                    <w:rPr>
                      <w:rFonts w:hint="default" w:eastAsia="宋体"/>
                      <w:sz w:val="22"/>
                      <w:szCs w:val="22"/>
                      <w:lang w:val="en-US" w:eastAsia="zh-CN"/>
                    </w:rPr>
                  </w:pPr>
                  <w:r>
                    <w:rPr>
                      <w:rFonts w:hint="eastAsia"/>
                      <w:sz w:val="22"/>
                      <w:szCs w:val="22"/>
                      <w:lang w:val="en-US" w:eastAsia="zh-CN"/>
                    </w:rPr>
                    <w:t>9.068</w:t>
                  </w:r>
                </w:p>
              </w:tc>
              <w:tc>
                <w:tcPr>
                  <w:tcW w:w="1283" w:type="dxa"/>
                  <w:tcBorders>
                    <w:top w:val="single" w:color="auto" w:sz="4" w:space="0"/>
                    <w:left w:val="nil"/>
                    <w:bottom w:val="single" w:color="auto" w:sz="4" w:space="0"/>
                    <w:right w:val="single" w:color="auto" w:sz="4" w:space="0"/>
                  </w:tcBorders>
                  <w:vAlign w:val="center"/>
                </w:tcPr>
                <w:p w14:paraId="144266AA">
                  <w:pPr>
                    <w:jc w:val="center"/>
                    <w:rPr>
                      <w:rFonts w:hint="default" w:eastAsia="宋体"/>
                      <w:sz w:val="22"/>
                      <w:szCs w:val="22"/>
                      <w:lang w:val="en-US" w:eastAsia="zh-CN"/>
                    </w:rPr>
                  </w:pPr>
                  <w:r>
                    <w:rPr>
                      <w:rFonts w:hint="eastAsia"/>
                      <w:sz w:val="22"/>
                      <w:szCs w:val="22"/>
                      <w:lang w:val="en-US" w:eastAsia="zh-CN"/>
                    </w:rPr>
                    <w:t>0.477</w:t>
                  </w:r>
                </w:p>
              </w:tc>
            </w:tr>
            <w:tr w14:paraId="4571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14:paraId="2D1D3B6C">
                  <w:pPr>
                    <w:jc w:val="center"/>
                    <w:rPr>
                      <w:sz w:val="22"/>
                      <w:szCs w:val="22"/>
                    </w:rPr>
                  </w:pPr>
                </w:p>
              </w:tc>
              <w:tc>
                <w:tcPr>
                  <w:tcW w:w="660" w:type="dxa"/>
                  <w:vAlign w:val="center"/>
                </w:tcPr>
                <w:p w14:paraId="4847C611">
                  <w:pPr>
                    <w:jc w:val="center"/>
                    <w:rPr>
                      <w:rFonts w:hint="eastAsia" w:eastAsia="宋体"/>
                      <w:sz w:val="22"/>
                      <w:szCs w:val="22"/>
                      <w:lang w:val="en-US" w:eastAsia="zh-CN"/>
                    </w:rPr>
                  </w:pPr>
                  <w:r>
                    <w:rPr>
                      <w:rFonts w:hint="eastAsia"/>
                      <w:sz w:val="22"/>
                      <w:szCs w:val="22"/>
                      <w:lang w:val="en-US" w:eastAsia="zh-CN"/>
                    </w:rPr>
                    <w:t>柴油</w:t>
                  </w:r>
                </w:p>
              </w:tc>
              <w:tc>
                <w:tcPr>
                  <w:tcW w:w="1158" w:type="dxa"/>
                  <w:vAlign w:val="center"/>
                </w:tcPr>
                <w:p w14:paraId="557D735A">
                  <w:pPr>
                    <w:jc w:val="center"/>
                    <w:rPr>
                      <w:rFonts w:hint="default" w:eastAsia="宋体"/>
                      <w:sz w:val="22"/>
                      <w:szCs w:val="22"/>
                      <w:lang w:val="en-US" w:eastAsia="zh-CN"/>
                    </w:rPr>
                  </w:pPr>
                  <w:r>
                    <w:rPr>
                      <w:rFonts w:hint="eastAsia"/>
                      <w:sz w:val="22"/>
                      <w:szCs w:val="22"/>
                      <w:lang w:val="en-US" w:eastAsia="zh-CN"/>
                    </w:rPr>
                    <w:t>0.027kg/t</w:t>
                  </w:r>
                </w:p>
              </w:tc>
              <w:tc>
                <w:tcPr>
                  <w:tcW w:w="807" w:type="dxa"/>
                  <w:tcBorders>
                    <w:top w:val="nil"/>
                    <w:left w:val="single" w:color="auto" w:sz="4" w:space="0"/>
                    <w:bottom w:val="single" w:color="auto" w:sz="4" w:space="0"/>
                    <w:right w:val="single" w:color="auto" w:sz="4" w:space="0"/>
                  </w:tcBorders>
                  <w:vAlign w:val="center"/>
                </w:tcPr>
                <w:p w14:paraId="48BF2AB9">
                  <w:pPr>
                    <w:jc w:val="center"/>
                    <w:rPr>
                      <w:rFonts w:hint="default" w:eastAsia="宋体"/>
                      <w:sz w:val="22"/>
                      <w:szCs w:val="22"/>
                      <w:lang w:val="en-US" w:eastAsia="zh-CN"/>
                    </w:rPr>
                  </w:pPr>
                  <w:r>
                    <w:rPr>
                      <w:rFonts w:hint="eastAsia"/>
                      <w:sz w:val="22"/>
                      <w:szCs w:val="22"/>
                      <w:lang w:val="en-US" w:eastAsia="zh-CN"/>
                    </w:rPr>
                    <w:t>520</w:t>
                  </w:r>
                </w:p>
              </w:tc>
              <w:tc>
                <w:tcPr>
                  <w:tcW w:w="918" w:type="dxa"/>
                  <w:tcBorders>
                    <w:top w:val="nil"/>
                    <w:left w:val="single" w:color="auto" w:sz="4" w:space="0"/>
                    <w:bottom w:val="single" w:color="auto" w:sz="4" w:space="0"/>
                    <w:right w:val="single" w:color="auto" w:sz="4" w:space="0"/>
                  </w:tcBorders>
                  <w:vAlign w:val="center"/>
                </w:tcPr>
                <w:p w14:paraId="0D4EBBED">
                  <w:pPr>
                    <w:jc w:val="center"/>
                    <w:rPr>
                      <w:rFonts w:hint="default" w:eastAsia="等线"/>
                      <w:sz w:val="22"/>
                      <w:szCs w:val="22"/>
                      <w:lang w:val="en-US" w:eastAsia="zh-CN"/>
                    </w:rPr>
                  </w:pPr>
                  <w:r>
                    <w:rPr>
                      <w:rFonts w:hint="eastAsia" w:eastAsia="等线"/>
                      <w:sz w:val="22"/>
                      <w:szCs w:val="22"/>
                      <w:lang w:val="en-US" w:eastAsia="zh-CN"/>
                    </w:rPr>
                    <w:t>0.014</w:t>
                  </w:r>
                </w:p>
              </w:tc>
              <w:tc>
                <w:tcPr>
                  <w:tcW w:w="1088" w:type="dxa"/>
                  <w:vAlign w:val="center"/>
                </w:tcPr>
                <w:p w14:paraId="68D6CBAE">
                  <w:pPr>
                    <w:jc w:val="center"/>
                    <w:rPr>
                      <w:rFonts w:hint="eastAsia" w:eastAsia="宋体"/>
                      <w:sz w:val="22"/>
                      <w:szCs w:val="22"/>
                      <w:lang w:eastAsia="zh-CN"/>
                    </w:rPr>
                  </w:pPr>
                  <w:r>
                    <w:rPr>
                      <w:rFonts w:hint="eastAsia"/>
                      <w:sz w:val="22"/>
                      <w:szCs w:val="22"/>
                      <w:lang w:val="en-US" w:eastAsia="zh-CN"/>
                    </w:rPr>
                    <w:t>0</w:t>
                  </w:r>
                </w:p>
              </w:tc>
              <w:tc>
                <w:tcPr>
                  <w:tcW w:w="1125" w:type="dxa"/>
                  <w:tcBorders>
                    <w:top w:val="nil"/>
                    <w:left w:val="single" w:color="auto" w:sz="4" w:space="0"/>
                    <w:bottom w:val="single" w:color="auto" w:sz="4" w:space="0"/>
                    <w:right w:val="single" w:color="auto" w:sz="4" w:space="0"/>
                  </w:tcBorders>
                  <w:vAlign w:val="center"/>
                </w:tcPr>
                <w:p w14:paraId="1350AF33">
                  <w:pPr>
                    <w:jc w:val="center"/>
                    <w:rPr>
                      <w:rFonts w:hint="eastAsia" w:eastAsia="宋体"/>
                      <w:sz w:val="22"/>
                      <w:szCs w:val="22"/>
                      <w:lang w:eastAsia="zh-CN"/>
                    </w:rPr>
                  </w:pPr>
                  <w:r>
                    <w:rPr>
                      <w:rFonts w:hint="eastAsia" w:eastAsia="等线"/>
                      <w:sz w:val="22"/>
                      <w:szCs w:val="22"/>
                      <w:lang w:val="en-US" w:eastAsia="zh-CN"/>
                    </w:rPr>
                    <w:t>0</w:t>
                  </w:r>
                </w:p>
              </w:tc>
              <w:tc>
                <w:tcPr>
                  <w:tcW w:w="1283" w:type="dxa"/>
                  <w:tcBorders>
                    <w:top w:val="nil"/>
                    <w:left w:val="nil"/>
                    <w:bottom w:val="single" w:color="auto" w:sz="4" w:space="0"/>
                    <w:right w:val="single" w:color="auto" w:sz="4" w:space="0"/>
                  </w:tcBorders>
                  <w:vAlign w:val="center"/>
                </w:tcPr>
                <w:p w14:paraId="195DFAF7">
                  <w:pPr>
                    <w:jc w:val="center"/>
                    <w:rPr>
                      <w:rFonts w:hint="default" w:eastAsia="宋体"/>
                      <w:sz w:val="22"/>
                      <w:szCs w:val="22"/>
                      <w:lang w:val="en-US" w:eastAsia="zh-CN"/>
                    </w:rPr>
                  </w:pPr>
                  <w:r>
                    <w:rPr>
                      <w:rFonts w:hint="eastAsia"/>
                      <w:sz w:val="22"/>
                      <w:szCs w:val="22"/>
                      <w:lang w:val="en-US" w:eastAsia="zh-CN"/>
                    </w:rPr>
                    <w:t>0.014</w:t>
                  </w:r>
                </w:p>
              </w:tc>
            </w:tr>
            <w:tr w14:paraId="07B4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7" w:type="dxa"/>
                  <w:gridSpan w:val="3"/>
                  <w:vAlign w:val="center"/>
                </w:tcPr>
                <w:p w14:paraId="3266E85F">
                  <w:pPr>
                    <w:jc w:val="center"/>
                    <w:rPr>
                      <w:sz w:val="22"/>
                      <w:szCs w:val="22"/>
                    </w:rPr>
                  </w:pPr>
                  <w:r>
                    <w:rPr>
                      <w:rFonts w:hint="eastAsia"/>
                      <w:sz w:val="22"/>
                      <w:szCs w:val="22"/>
                    </w:rPr>
                    <w:t>合计</w:t>
                  </w:r>
                </w:p>
              </w:tc>
              <w:tc>
                <w:tcPr>
                  <w:tcW w:w="807" w:type="dxa"/>
                  <w:vAlign w:val="center"/>
                </w:tcPr>
                <w:p w14:paraId="30ED55CF">
                  <w:pPr>
                    <w:jc w:val="center"/>
                    <w:rPr>
                      <w:rFonts w:hint="default" w:eastAsia="宋体"/>
                      <w:sz w:val="22"/>
                      <w:szCs w:val="22"/>
                      <w:lang w:val="en-US" w:eastAsia="zh-CN"/>
                    </w:rPr>
                  </w:pPr>
                  <w:r>
                    <w:rPr>
                      <w:rFonts w:hint="eastAsia"/>
                      <w:sz w:val="22"/>
                      <w:szCs w:val="22"/>
                      <w:lang w:val="en-US" w:eastAsia="zh-CN"/>
                    </w:rPr>
                    <w:t>4670</w:t>
                  </w:r>
                </w:p>
              </w:tc>
              <w:tc>
                <w:tcPr>
                  <w:tcW w:w="918" w:type="dxa"/>
                  <w:vAlign w:val="center"/>
                </w:tcPr>
                <w:p w14:paraId="0CD59C86">
                  <w:pPr>
                    <w:jc w:val="center"/>
                    <w:rPr>
                      <w:rFonts w:hint="default" w:eastAsia="宋体"/>
                      <w:sz w:val="22"/>
                      <w:szCs w:val="22"/>
                      <w:lang w:val="en-US" w:eastAsia="zh-CN"/>
                    </w:rPr>
                  </w:pPr>
                  <w:r>
                    <w:rPr>
                      <w:rFonts w:hint="eastAsia"/>
                      <w:sz w:val="22"/>
                      <w:szCs w:val="22"/>
                      <w:lang w:val="en-US" w:eastAsia="zh-CN"/>
                    </w:rPr>
                    <w:t>9.559</w:t>
                  </w:r>
                </w:p>
              </w:tc>
              <w:tc>
                <w:tcPr>
                  <w:tcW w:w="1088" w:type="dxa"/>
                  <w:tcBorders>
                    <w:top w:val="nil"/>
                    <w:left w:val="single" w:color="auto" w:sz="4" w:space="0"/>
                    <w:bottom w:val="single" w:color="auto" w:sz="4" w:space="0"/>
                    <w:right w:val="single" w:color="auto" w:sz="4" w:space="0"/>
                  </w:tcBorders>
                  <w:vAlign w:val="center"/>
                </w:tcPr>
                <w:p w14:paraId="1C01C31D">
                  <w:pPr>
                    <w:jc w:val="center"/>
                    <w:rPr>
                      <w:sz w:val="22"/>
                      <w:szCs w:val="22"/>
                    </w:rPr>
                  </w:pPr>
                  <w:r>
                    <w:rPr>
                      <w:rFonts w:eastAsia="等线"/>
                      <w:sz w:val="22"/>
                      <w:szCs w:val="22"/>
                    </w:rPr>
                    <w:t>/</w:t>
                  </w:r>
                </w:p>
              </w:tc>
              <w:tc>
                <w:tcPr>
                  <w:tcW w:w="1125" w:type="dxa"/>
                  <w:vAlign w:val="center"/>
                </w:tcPr>
                <w:p w14:paraId="0AA6EC02">
                  <w:pPr>
                    <w:jc w:val="center"/>
                    <w:rPr>
                      <w:rFonts w:hint="default" w:eastAsia="宋体"/>
                      <w:sz w:val="22"/>
                      <w:szCs w:val="22"/>
                      <w:lang w:val="en-US" w:eastAsia="zh-CN"/>
                    </w:rPr>
                  </w:pPr>
                  <w:r>
                    <w:rPr>
                      <w:rFonts w:hint="eastAsia"/>
                      <w:sz w:val="22"/>
                      <w:szCs w:val="22"/>
                      <w:lang w:val="en-US" w:eastAsia="zh-CN"/>
                    </w:rPr>
                    <w:t>9.068</w:t>
                  </w:r>
                </w:p>
              </w:tc>
              <w:tc>
                <w:tcPr>
                  <w:tcW w:w="1283" w:type="dxa"/>
                  <w:vAlign w:val="center"/>
                </w:tcPr>
                <w:p w14:paraId="40B8AC3E">
                  <w:pPr>
                    <w:jc w:val="center"/>
                    <w:rPr>
                      <w:rFonts w:hint="default" w:eastAsia="宋体"/>
                      <w:sz w:val="22"/>
                      <w:szCs w:val="22"/>
                      <w:lang w:val="en-US" w:eastAsia="zh-CN"/>
                    </w:rPr>
                  </w:pPr>
                  <w:r>
                    <w:rPr>
                      <w:rFonts w:hint="eastAsia"/>
                      <w:sz w:val="22"/>
                      <w:szCs w:val="22"/>
                      <w:lang w:val="en-US" w:eastAsia="zh-CN"/>
                    </w:rPr>
                    <w:t>0.491</w:t>
                  </w:r>
                </w:p>
              </w:tc>
            </w:tr>
          </w:tbl>
          <w:p w14:paraId="53D36F12">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rPr>
              <w:t>由上表4</w:t>
            </w:r>
            <w:r>
              <w:rPr>
                <w:bCs/>
                <w:sz w:val="26"/>
                <w:szCs w:val="26"/>
              </w:rPr>
              <w:t>.2</w:t>
            </w:r>
            <w:r>
              <w:rPr>
                <w:rFonts w:hint="eastAsia"/>
                <w:bCs/>
                <w:sz w:val="26"/>
                <w:szCs w:val="26"/>
                <w:lang w:val="en-US" w:eastAsia="zh-CN"/>
              </w:rPr>
              <w:t>-1</w:t>
            </w:r>
            <w:r>
              <w:rPr>
                <w:rFonts w:hint="eastAsia"/>
                <w:bCs/>
                <w:sz w:val="26"/>
                <w:szCs w:val="26"/>
              </w:rPr>
              <w:t>可知，本项目</w:t>
            </w:r>
            <w:r>
              <w:rPr>
                <w:rFonts w:hint="eastAsia"/>
                <w:bCs/>
                <w:sz w:val="26"/>
                <w:szCs w:val="26"/>
                <w:lang w:val="en-US" w:eastAsia="zh-CN"/>
              </w:rPr>
              <w:t>汽油</w:t>
            </w:r>
            <w:r>
              <w:rPr>
                <w:rFonts w:hint="eastAsia"/>
                <w:bCs/>
                <w:sz w:val="26"/>
                <w:szCs w:val="26"/>
              </w:rPr>
              <w:t>损耗产生油气量为</w:t>
            </w:r>
            <w:r>
              <w:rPr>
                <w:rFonts w:hint="eastAsia"/>
                <w:bCs/>
                <w:color w:val="auto"/>
                <w:sz w:val="26"/>
                <w:szCs w:val="26"/>
                <w:lang w:val="en-US" w:eastAsia="zh-CN"/>
              </w:rPr>
              <w:t>9.545t</w:t>
            </w:r>
            <w:r>
              <w:rPr>
                <w:rFonts w:hint="eastAsia"/>
                <w:bCs/>
                <w:sz w:val="26"/>
                <w:szCs w:val="26"/>
              </w:rPr>
              <w:t>/a。卸油损耗的</w:t>
            </w:r>
            <w:r>
              <w:rPr>
                <w:rFonts w:hint="eastAsia"/>
                <w:bCs/>
                <w:sz w:val="26"/>
                <w:szCs w:val="26"/>
                <w:lang w:val="en-US" w:eastAsia="zh-CN"/>
              </w:rPr>
              <w:t>汽油</w:t>
            </w:r>
            <w:r>
              <w:rPr>
                <w:rFonts w:hint="eastAsia"/>
                <w:bCs/>
                <w:sz w:val="26"/>
                <w:szCs w:val="26"/>
              </w:rPr>
              <w:t>油气通过卸油油气回收</w:t>
            </w:r>
            <w:r>
              <w:rPr>
                <w:rFonts w:hint="eastAsia"/>
                <w:bCs/>
                <w:sz w:val="26"/>
                <w:szCs w:val="26"/>
                <w:lang w:val="en-US" w:eastAsia="zh-CN"/>
              </w:rPr>
              <w:t>系统</w:t>
            </w:r>
            <w:r>
              <w:rPr>
                <w:rFonts w:hint="eastAsia"/>
                <w:bCs/>
                <w:sz w:val="26"/>
                <w:szCs w:val="26"/>
              </w:rPr>
              <w:t>回收至油罐车内，然后运回油库处理；</w:t>
            </w:r>
            <w:r>
              <w:rPr>
                <w:rFonts w:hint="eastAsia"/>
                <w:bCs/>
                <w:sz w:val="26"/>
                <w:szCs w:val="26"/>
                <w:lang w:val="en-US" w:eastAsia="zh-CN"/>
              </w:rPr>
              <w:t>柴油损耗产生的油气量为0.014t/a，柴油油气逸出后散排进入外环境。</w:t>
            </w:r>
          </w:p>
          <w:p w14:paraId="1E65837B">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lang w:val="en-US" w:eastAsia="zh-CN"/>
              </w:rPr>
              <w:t>②油罐呼吸过程油气产排情况</w:t>
            </w:r>
          </w:p>
          <w:p w14:paraId="78788DF7">
            <w:pPr>
              <w:adjustRightInd w:val="0"/>
              <w:snapToGrid w:val="0"/>
              <w:spacing w:line="460" w:lineRule="exact"/>
              <w:ind w:firstLine="520" w:firstLineChars="200"/>
              <w:rPr>
                <w:rFonts w:hint="eastAsia" w:eastAsia="宋体"/>
                <w:bCs/>
                <w:sz w:val="26"/>
                <w:szCs w:val="26"/>
                <w:lang w:eastAsia="zh-CN"/>
              </w:rPr>
            </w:pPr>
            <w:r>
              <w:rPr>
                <w:rFonts w:hint="eastAsia"/>
                <w:bCs/>
                <w:sz w:val="26"/>
                <w:szCs w:val="26"/>
              </w:rPr>
              <w:t>储油工序会产生油罐“小呼吸”损失，即随着外界气温、压力在一天内的升降周期变化，罐内气体空间温度、油品蒸发速度、油气浓度和蒸汽压力也随之变化，油罐排出油蒸气和吸入空气过程造成的油气损失。项目采用密闭储罐</w:t>
            </w:r>
            <w:r>
              <w:rPr>
                <w:rFonts w:hint="eastAsia"/>
                <w:bCs/>
                <w:color w:val="auto"/>
                <w:sz w:val="26"/>
                <w:szCs w:val="26"/>
              </w:rPr>
              <w:t>，并在储罐呼吸阀处设置油气排放处置装置（三次油气回收处置装置），采用</w:t>
            </w:r>
            <w:r>
              <w:rPr>
                <w:rFonts w:hint="eastAsia"/>
                <w:bCs/>
                <w:color w:val="auto"/>
                <w:sz w:val="26"/>
                <w:szCs w:val="26"/>
                <w:lang w:val="en-US" w:eastAsia="zh-CN"/>
              </w:rPr>
              <w:t>膜分离+冷凝</w:t>
            </w:r>
            <w:r>
              <w:rPr>
                <w:rFonts w:hint="eastAsia"/>
                <w:bCs/>
                <w:color w:val="auto"/>
                <w:sz w:val="26"/>
                <w:szCs w:val="26"/>
              </w:rPr>
              <w:t>技术，剩余未回收的油气经通气管排出，其回收效率9</w:t>
            </w:r>
            <w:r>
              <w:rPr>
                <w:rFonts w:hint="eastAsia"/>
                <w:bCs/>
                <w:color w:val="auto"/>
                <w:sz w:val="26"/>
                <w:szCs w:val="26"/>
                <w:lang w:val="en-US" w:eastAsia="zh-CN"/>
              </w:rPr>
              <w:t>5</w:t>
            </w:r>
            <w:r>
              <w:rPr>
                <w:rFonts w:hint="eastAsia"/>
                <w:bCs/>
                <w:color w:val="auto"/>
                <w:sz w:val="26"/>
                <w:szCs w:val="26"/>
              </w:rPr>
              <w:t>%。参考《中国加油站VOC排放污染现</w:t>
            </w:r>
            <w:r>
              <w:rPr>
                <w:rFonts w:hint="eastAsia"/>
                <w:bCs/>
                <w:sz w:val="26"/>
                <w:szCs w:val="26"/>
              </w:rPr>
              <w:t>状及控制》（环境科学·第27卷第8期2006年8月）中的数据，储存过程中汽油损耗率为0.16kg/t。由于柴油的蒸汽压太低，约为汽油蒸汽压的0.0075倍，因此</w:t>
            </w:r>
            <w:r>
              <w:rPr>
                <w:rFonts w:hint="eastAsia"/>
                <w:bCs/>
                <w:sz w:val="26"/>
                <w:szCs w:val="26"/>
                <w:lang w:val="en-US" w:eastAsia="zh-CN"/>
              </w:rPr>
              <w:t>柴油</w:t>
            </w:r>
            <w:r>
              <w:rPr>
                <w:rFonts w:hint="eastAsia"/>
                <w:bCs/>
                <w:sz w:val="26"/>
                <w:szCs w:val="26"/>
              </w:rPr>
              <w:t>油罐呼吸排放其蒸发量不予考虑，柴油呼吸损耗产生的油气直接由阻火器（起呼吸阀作用，并同时能阻燃、阻火）排放</w:t>
            </w:r>
            <w:r>
              <w:rPr>
                <w:rFonts w:hint="eastAsia"/>
                <w:bCs/>
                <w:sz w:val="26"/>
                <w:szCs w:val="26"/>
                <w:lang w:eastAsia="zh-CN"/>
              </w:rPr>
              <w:t>，</w:t>
            </w:r>
            <w:r>
              <w:rPr>
                <w:rFonts w:hint="eastAsia"/>
                <w:bCs/>
                <w:sz w:val="26"/>
                <w:szCs w:val="26"/>
                <w:lang w:val="en-US" w:eastAsia="zh-CN"/>
              </w:rPr>
              <w:t>本次不定量核算</w:t>
            </w:r>
            <w:r>
              <w:rPr>
                <w:rFonts w:hint="eastAsia"/>
                <w:bCs/>
                <w:sz w:val="26"/>
                <w:szCs w:val="26"/>
                <w:lang w:eastAsia="zh-CN"/>
              </w:rPr>
              <w:t>。</w:t>
            </w:r>
          </w:p>
          <w:p w14:paraId="055352E9">
            <w:pPr>
              <w:adjustRightInd w:val="0"/>
              <w:snapToGrid w:val="0"/>
              <w:spacing w:line="460" w:lineRule="exact"/>
              <w:ind w:firstLine="520" w:firstLineChars="200"/>
              <w:rPr>
                <w:bCs/>
                <w:sz w:val="26"/>
                <w:szCs w:val="26"/>
              </w:rPr>
            </w:pPr>
            <w:r>
              <w:rPr>
                <w:rFonts w:hint="eastAsia"/>
                <w:bCs/>
                <w:sz w:val="26"/>
                <w:szCs w:val="26"/>
              </w:rPr>
              <w:t>本项目改建后预计年周转汽油</w:t>
            </w:r>
            <w:r>
              <w:rPr>
                <w:rFonts w:hint="eastAsia"/>
                <w:bCs/>
                <w:color w:val="auto"/>
                <w:sz w:val="26"/>
                <w:szCs w:val="26"/>
                <w:lang w:val="en-US" w:eastAsia="zh-CN"/>
              </w:rPr>
              <w:t>4150</w:t>
            </w:r>
            <w:r>
              <w:rPr>
                <w:rFonts w:hint="eastAsia"/>
                <w:bCs/>
                <w:color w:val="auto"/>
                <w:sz w:val="26"/>
                <w:szCs w:val="26"/>
              </w:rPr>
              <w:t>t</w:t>
            </w:r>
            <w:r>
              <w:rPr>
                <w:rFonts w:hint="eastAsia"/>
                <w:bCs/>
                <w:sz w:val="26"/>
                <w:szCs w:val="26"/>
              </w:rPr>
              <w:t>，汽油</w:t>
            </w:r>
            <w:r>
              <w:rPr>
                <w:rFonts w:hint="eastAsia"/>
                <w:bCs/>
                <w:sz w:val="26"/>
                <w:szCs w:val="26"/>
                <w:lang w:val="en-US" w:eastAsia="zh-CN"/>
              </w:rPr>
              <w:t>油罐小呼吸</w:t>
            </w:r>
            <w:r>
              <w:rPr>
                <w:rFonts w:hint="eastAsia"/>
                <w:bCs/>
                <w:sz w:val="26"/>
                <w:szCs w:val="26"/>
              </w:rPr>
              <w:t>产生的油气经</w:t>
            </w:r>
            <w:r>
              <w:rPr>
                <w:rFonts w:hint="eastAsia"/>
                <w:bCs/>
                <w:sz w:val="26"/>
                <w:szCs w:val="26"/>
                <w:lang w:val="en-US" w:eastAsia="zh-CN"/>
              </w:rPr>
              <w:t>三次</w:t>
            </w:r>
            <w:r>
              <w:rPr>
                <w:rFonts w:hint="eastAsia"/>
                <w:bCs/>
                <w:sz w:val="26"/>
                <w:szCs w:val="26"/>
              </w:rPr>
              <w:t>油气回收系统</w:t>
            </w:r>
            <w:r>
              <w:rPr>
                <w:rFonts w:hint="eastAsia"/>
                <w:bCs/>
                <w:sz w:val="26"/>
                <w:szCs w:val="26"/>
                <w:lang w:val="en-US" w:eastAsia="zh-CN"/>
              </w:rPr>
              <w:t>回收处理。汽油油罐小呼吸过程油气产生</w:t>
            </w:r>
            <w:r>
              <w:rPr>
                <w:rFonts w:hint="eastAsia"/>
                <w:bCs/>
                <w:sz w:val="26"/>
                <w:szCs w:val="26"/>
              </w:rPr>
              <w:t>排放量统计结果如下表</w:t>
            </w:r>
            <w:r>
              <w:rPr>
                <w:bCs/>
                <w:sz w:val="26"/>
                <w:szCs w:val="26"/>
              </w:rPr>
              <w:t>4.2</w:t>
            </w:r>
            <w:r>
              <w:rPr>
                <w:rFonts w:hint="eastAsia"/>
                <w:bCs/>
                <w:sz w:val="26"/>
                <w:szCs w:val="26"/>
              </w:rPr>
              <w:t>-</w:t>
            </w:r>
            <w:r>
              <w:rPr>
                <w:bCs/>
                <w:sz w:val="26"/>
                <w:szCs w:val="26"/>
              </w:rPr>
              <w:t>2</w:t>
            </w:r>
            <w:r>
              <w:rPr>
                <w:rFonts w:hint="eastAsia"/>
                <w:bCs/>
                <w:sz w:val="26"/>
                <w:szCs w:val="26"/>
              </w:rPr>
              <w:t>。</w:t>
            </w:r>
          </w:p>
          <w:p w14:paraId="0929E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6"/>
                <w:szCs w:val="26"/>
              </w:rPr>
            </w:pPr>
            <w:r>
              <w:rPr>
                <w:sz w:val="22"/>
                <w:szCs w:val="22"/>
              </w:rPr>
              <w:t>表4.2</w:t>
            </w:r>
            <w:r>
              <w:rPr>
                <w:rFonts w:hint="eastAsia"/>
                <w:sz w:val="22"/>
                <w:szCs w:val="22"/>
              </w:rPr>
              <w:t>-</w:t>
            </w:r>
            <w:r>
              <w:rPr>
                <w:sz w:val="22"/>
                <w:szCs w:val="22"/>
              </w:rPr>
              <w:t>2</w:t>
            </w:r>
            <w:r>
              <w:rPr>
                <w:rFonts w:hint="eastAsia"/>
                <w:sz w:val="22"/>
                <w:szCs w:val="22"/>
                <w:lang w:val="en-US" w:eastAsia="zh-CN"/>
              </w:rPr>
              <w:t xml:space="preserve">  </w:t>
            </w:r>
            <w:r>
              <w:rPr>
                <w:rFonts w:hint="eastAsia"/>
                <w:bCs/>
                <w:sz w:val="22"/>
                <w:szCs w:val="22"/>
                <w:lang w:val="en-US" w:eastAsia="zh-CN"/>
              </w:rPr>
              <w:t>油品储罐呼吸过程</w:t>
            </w:r>
            <w:r>
              <w:rPr>
                <w:rFonts w:hint="eastAsia"/>
                <w:sz w:val="22"/>
                <w:szCs w:val="22"/>
              </w:rPr>
              <w:t>油气</w:t>
            </w:r>
            <w:r>
              <w:rPr>
                <w:rFonts w:hint="eastAsia"/>
                <w:sz w:val="22"/>
                <w:szCs w:val="22"/>
                <w:lang w:val="en-US" w:eastAsia="zh-CN"/>
              </w:rPr>
              <w:t>产排情况</w:t>
            </w:r>
            <w:r>
              <w:rPr>
                <w:rFonts w:hint="eastAsia"/>
                <w:sz w:val="22"/>
                <w:szCs w:val="22"/>
              </w:rPr>
              <w:t>统计表</w:t>
            </w:r>
            <w:r>
              <w:rPr>
                <w:rFonts w:hint="eastAsia"/>
                <w:sz w:val="22"/>
                <w:szCs w:val="22"/>
                <w:lang w:val="en-US" w:eastAsia="zh-CN"/>
              </w:rPr>
              <w:t xml:space="preserve">  </w:t>
            </w:r>
            <w:r>
              <w:rPr>
                <w:sz w:val="22"/>
                <w:szCs w:val="22"/>
              </w:rPr>
              <w:t>单位：t/a</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60"/>
              <w:gridCol w:w="1042"/>
              <w:gridCol w:w="784"/>
              <w:gridCol w:w="1001"/>
              <w:gridCol w:w="1200"/>
              <w:gridCol w:w="1069"/>
              <w:gridCol w:w="1283"/>
            </w:tblGrid>
            <w:tr w14:paraId="1042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gridSpan w:val="2"/>
                  <w:vMerge w:val="restart"/>
                  <w:tcBorders>
                    <w:tl2br w:val="single" w:color="auto" w:sz="4" w:space="0"/>
                  </w:tcBorders>
                  <w:vAlign w:val="center"/>
                </w:tcPr>
                <w:p w14:paraId="1DE6E3EE">
                  <w:pPr>
                    <w:jc w:val="center"/>
                    <w:rPr>
                      <w:sz w:val="22"/>
                      <w:szCs w:val="22"/>
                    </w:rPr>
                  </w:pPr>
                  <w:r>
                    <w:rPr>
                      <w:rFonts w:hint="eastAsia"/>
                      <w:sz w:val="22"/>
                      <w:szCs w:val="22"/>
                    </w:rPr>
                    <w:t xml:space="preserve"> </w:t>
                  </w:r>
                  <w:r>
                    <w:rPr>
                      <w:sz w:val="22"/>
                      <w:szCs w:val="22"/>
                    </w:rPr>
                    <w:t xml:space="preserve">    </w:t>
                  </w:r>
                  <w:r>
                    <w:rPr>
                      <w:rFonts w:hint="eastAsia"/>
                      <w:sz w:val="22"/>
                      <w:szCs w:val="22"/>
                    </w:rPr>
                    <w:t>项目</w:t>
                  </w:r>
                </w:p>
                <w:p w14:paraId="7515A578">
                  <w:pPr>
                    <w:rPr>
                      <w:sz w:val="22"/>
                      <w:szCs w:val="22"/>
                    </w:rPr>
                  </w:pPr>
                  <w:r>
                    <w:rPr>
                      <w:rFonts w:hint="eastAsia"/>
                      <w:sz w:val="22"/>
                      <w:szCs w:val="22"/>
                    </w:rPr>
                    <w:t>类型</w:t>
                  </w:r>
                </w:p>
              </w:tc>
              <w:tc>
                <w:tcPr>
                  <w:tcW w:w="1042" w:type="dxa"/>
                  <w:vMerge w:val="restart"/>
                  <w:vAlign w:val="center"/>
                </w:tcPr>
                <w:p w14:paraId="69C72766">
                  <w:pPr>
                    <w:jc w:val="center"/>
                    <w:rPr>
                      <w:sz w:val="22"/>
                      <w:szCs w:val="22"/>
                    </w:rPr>
                  </w:pPr>
                  <w:r>
                    <w:rPr>
                      <w:rFonts w:hint="eastAsia"/>
                      <w:sz w:val="22"/>
                      <w:szCs w:val="22"/>
                    </w:rPr>
                    <w:t>损耗率</w:t>
                  </w:r>
                </w:p>
              </w:tc>
              <w:tc>
                <w:tcPr>
                  <w:tcW w:w="784" w:type="dxa"/>
                  <w:vMerge w:val="restart"/>
                  <w:vAlign w:val="center"/>
                </w:tcPr>
                <w:p w14:paraId="0B87451B">
                  <w:pPr>
                    <w:widowControl/>
                    <w:pBdr>
                      <w:left w:val="single" w:color="auto" w:sz="4" w:space="31"/>
                      <w:right w:val="single" w:color="auto" w:sz="4" w:space="31"/>
                    </w:pBdr>
                    <w:jc w:val="center"/>
                    <w:rPr>
                      <w:rFonts w:hint="eastAsia" w:eastAsia="宋体"/>
                      <w:sz w:val="22"/>
                      <w:szCs w:val="22"/>
                      <w:lang w:eastAsia="zh-CN"/>
                    </w:rPr>
                  </w:pPr>
                  <w:r>
                    <w:rPr>
                      <w:rFonts w:hint="eastAsia"/>
                      <w:sz w:val="22"/>
                      <w:szCs w:val="22"/>
                      <w:lang w:val="en-US" w:eastAsia="zh-CN"/>
                    </w:rPr>
                    <w:t>周转量</w:t>
                  </w:r>
                </w:p>
              </w:tc>
              <w:tc>
                <w:tcPr>
                  <w:tcW w:w="1001" w:type="dxa"/>
                  <w:vMerge w:val="restart"/>
                  <w:vAlign w:val="center"/>
                </w:tcPr>
                <w:p w14:paraId="6AFCDFF0">
                  <w:pPr>
                    <w:widowControl/>
                    <w:pBdr>
                      <w:left w:val="single" w:color="auto" w:sz="4" w:space="31"/>
                      <w:right w:val="single" w:color="auto" w:sz="4" w:space="31"/>
                    </w:pBdr>
                    <w:jc w:val="center"/>
                    <w:rPr>
                      <w:rFonts w:hint="eastAsia"/>
                      <w:sz w:val="22"/>
                      <w:szCs w:val="22"/>
                      <w:lang w:val="en-US" w:eastAsia="zh-CN"/>
                    </w:rPr>
                  </w:pPr>
                  <w:r>
                    <w:rPr>
                      <w:rFonts w:hint="eastAsia"/>
                      <w:sz w:val="22"/>
                      <w:szCs w:val="22"/>
                      <w:lang w:val="en-US" w:eastAsia="zh-CN"/>
                    </w:rPr>
                    <w:t>损耗量</w:t>
                  </w:r>
                </w:p>
              </w:tc>
              <w:tc>
                <w:tcPr>
                  <w:tcW w:w="2269" w:type="dxa"/>
                  <w:gridSpan w:val="2"/>
                  <w:vAlign w:val="center"/>
                </w:tcPr>
                <w:p w14:paraId="7C4B8C25">
                  <w:pPr>
                    <w:jc w:val="center"/>
                    <w:rPr>
                      <w:sz w:val="22"/>
                      <w:szCs w:val="22"/>
                    </w:rPr>
                  </w:pPr>
                  <w:r>
                    <w:rPr>
                      <w:rFonts w:hint="eastAsia"/>
                      <w:sz w:val="22"/>
                      <w:szCs w:val="22"/>
                      <w:lang w:val="en-US" w:eastAsia="zh-CN"/>
                    </w:rPr>
                    <w:t>三次</w:t>
                  </w:r>
                  <w:r>
                    <w:rPr>
                      <w:rFonts w:hint="eastAsia"/>
                      <w:sz w:val="22"/>
                      <w:szCs w:val="22"/>
                    </w:rPr>
                    <w:t>油气回收系统</w:t>
                  </w:r>
                </w:p>
              </w:tc>
              <w:tc>
                <w:tcPr>
                  <w:tcW w:w="1283" w:type="dxa"/>
                  <w:vMerge w:val="restart"/>
                  <w:vAlign w:val="center"/>
                </w:tcPr>
                <w:p w14:paraId="617934F2">
                  <w:pPr>
                    <w:jc w:val="center"/>
                    <w:rPr>
                      <w:sz w:val="22"/>
                      <w:szCs w:val="22"/>
                    </w:rPr>
                  </w:pPr>
                  <w:r>
                    <w:rPr>
                      <w:rFonts w:hint="eastAsia"/>
                      <w:sz w:val="22"/>
                      <w:szCs w:val="22"/>
                    </w:rPr>
                    <w:t>油气无组织排放</w:t>
                  </w:r>
                </w:p>
              </w:tc>
            </w:tr>
            <w:tr w14:paraId="38CD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gridSpan w:val="2"/>
                  <w:vMerge w:val="continue"/>
                  <w:tcBorders>
                    <w:tl2br w:val="single" w:color="auto" w:sz="4" w:space="0"/>
                  </w:tcBorders>
                  <w:vAlign w:val="center"/>
                </w:tcPr>
                <w:p w14:paraId="2665FD68">
                  <w:pPr>
                    <w:jc w:val="center"/>
                    <w:rPr>
                      <w:sz w:val="22"/>
                      <w:szCs w:val="22"/>
                    </w:rPr>
                  </w:pPr>
                </w:p>
              </w:tc>
              <w:tc>
                <w:tcPr>
                  <w:tcW w:w="1042" w:type="dxa"/>
                  <w:vMerge w:val="continue"/>
                  <w:vAlign w:val="center"/>
                </w:tcPr>
                <w:p w14:paraId="324513EC">
                  <w:pPr>
                    <w:jc w:val="center"/>
                    <w:rPr>
                      <w:sz w:val="22"/>
                      <w:szCs w:val="22"/>
                    </w:rPr>
                  </w:pPr>
                </w:p>
              </w:tc>
              <w:tc>
                <w:tcPr>
                  <w:tcW w:w="784" w:type="dxa"/>
                  <w:vMerge w:val="continue"/>
                  <w:vAlign w:val="center"/>
                </w:tcPr>
                <w:p w14:paraId="651913AC">
                  <w:pPr>
                    <w:jc w:val="center"/>
                    <w:rPr>
                      <w:sz w:val="22"/>
                      <w:szCs w:val="22"/>
                    </w:rPr>
                  </w:pPr>
                </w:p>
              </w:tc>
              <w:tc>
                <w:tcPr>
                  <w:tcW w:w="1001" w:type="dxa"/>
                  <w:vMerge w:val="continue"/>
                  <w:vAlign w:val="center"/>
                </w:tcPr>
                <w:p w14:paraId="27E3C1B8">
                  <w:pPr>
                    <w:jc w:val="center"/>
                    <w:rPr>
                      <w:sz w:val="22"/>
                      <w:szCs w:val="22"/>
                    </w:rPr>
                  </w:pPr>
                </w:p>
              </w:tc>
              <w:tc>
                <w:tcPr>
                  <w:tcW w:w="1200" w:type="dxa"/>
                  <w:vAlign w:val="center"/>
                </w:tcPr>
                <w:p w14:paraId="6AC84501">
                  <w:pPr>
                    <w:jc w:val="center"/>
                    <w:rPr>
                      <w:sz w:val="22"/>
                      <w:szCs w:val="22"/>
                    </w:rPr>
                  </w:pPr>
                  <w:r>
                    <w:rPr>
                      <w:rFonts w:hint="eastAsia"/>
                      <w:sz w:val="22"/>
                      <w:szCs w:val="22"/>
                    </w:rPr>
                    <w:t>回收率</w:t>
                  </w:r>
                </w:p>
              </w:tc>
              <w:tc>
                <w:tcPr>
                  <w:tcW w:w="1069" w:type="dxa"/>
                  <w:vAlign w:val="center"/>
                </w:tcPr>
                <w:p w14:paraId="4083F794">
                  <w:pPr>
                    <w:jc w:val="center"/>
                    <w:rPr>
                      <w:sz w:val="22"/>
                      <w:szCs w:val="22"/>
                    </w:rPr>
                  </w:pPr>
                  <w:r>
                    <w:rPr>
                      <w:rFonts w:hint="eastAsia"/>
                      <w:sz w:val="22"/>
                      <w:szCs w:val="22"/>
                    </w:rPr>
                    <w:t>回收量</w:t>
                  </w:r>
                </w:p>
              </w:tc>
              <w:tc>
                <w:tcPr>
                  <w:tcW w:w="1283" w:type="dxa"/>
                  <w:vMerge w:val="continue"/>
                  <w:vAlign w:val="center"/>
                </w:tcPr>
                <w:p w14:paraId="5AFE67A5">
                  <w:pPr>
                    <w:jc w:val="center"/>
                    <w:rPr>
                      <w:sz w:val="22"/>
                      <w:szCs w:val="22"/>
                    </w:rPr>
                  </w:pPr>
                </w:p>
              </w:tc>
            </w:tr>
            <w:tr w14:paraId="1EEF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Align w:val="center"/>
                </w:tcPr>
                <w:p w14:paraId="556D9C44">
                  <w:pPr>
                    <w:jc w:val="center"/>
                    <w:rPr>
                      <w:rFonts w:hint="default" w:eastAsia="宋体"/>
                      <w:sz w:val="22"/>
                      <w:szCs w:val="22"/>
                      <w:lang w:val="en-US" w:eastAsia="zh-CN"/>
                    </w:rPr>
                  </w:pPr>
                  <w:r>
                    <w:rPr>
                      <w:rFonts w:hint="eastAsia"/>
                      <w:sz w:val="22"/>
                      <w:szCs w:val="22"/>
                      <w:lang w:val="en-US" w:eastAsia="zh-CN"/>
                    </w:rPr>
                    <w:t>储油呼吸</w:t>
                  </w:r>
                </w:p>
              </w:tc>
              <w:tc>
                <w:tcPr>
                  <w:tcW w:w="660" w:type="dxa"/>
                  <w:vAlign w:val="center"/>
                </w:tcPr>
                <w:p w14:paraId="73707097">
                  <w:pPr>
                    <w:jc w:val="center"/>
                    <w:rPr>
                      <w:rFonts w:hint="eastAsia" w:eastAsia="宋体"/>
                      <w:sz w:val="22"/>
                      <w:szCs w:val="22"/>
                      <w:lang w:val="en-US" w:eastAsia="zh-CN"/>
                    </w:rPr>
                  </w:pPr>
                  <w:r>
                    <w:rPr>
                      <w:rFonts w:hint="eastAsia"/>
                      <w:sz w:val="22"/>
                      <w:szCs w:val="22"/>
                      <w:lang w:val="en-US" w:eastAsia="zh-CN"/>
                    </w:rPr>
                    <w:t>汽油</w:t>
                  </w:r>
                </w:p>
              </w:tc>
              <w:tc>
                <w:tcPr>
                  <w:tcW w:w="1042" w:type="dxa"/>
                  <w:vAlign w:val="center"/>
                </w:tcPr>
                <w:p w14:paraId="1B1EAB68">
                  <w:pPr>
                    <w:jc w:val="center"/>
                    <w:rPr>
                      <w:rFonts w:hint="default" w:eastAsia="宋体"/>
                      <w:sz w:val="22"/>
                      <w:szCs w:val="22"/>
                      <w:lang w:val="en-US" w:eastAsia="zh-CN"/>
                    </w:rPr>
                  </w:pPr>
                  <w:r>
                    <w:rPr>
                      <w:rFonts w:hint="eastAsia"/>
                      <w:sz w:val="22"/>
                      <w:szCs w:val="22"/>
                      <w:lang w:val="en-US" w:eastAsia="zh-CN"/>
                    </w:rPr>
                    <w:t>0.16kg/t</w:t>
                  </w:r>
                </w:p>
              </w:tc>
              <w:tc>
                <w:tcPr>
                  <w:tcW w:w="784" w:type="dxa"/>
                  <w:tcBorders>
                    <w:top w:val="single" w:color="auto" w:sz="4" w:space="0"/>
                    <w:left w:val="single" w:color="auto" w:sz="4" w:space="0"/>
                    <w:bottom w:val="single" w:color="auto" w:sz="4" w:space="0"/>
                    <w:right w:val="single" w:color="auto" w:sz="4" w:space="0"/>
                  </w:tcBorders>
                  <w:vAlign w:val="center"/>
                </w:tcPr>
                <w:p w14:paraId="40451A7E">
                  <w:pPr>
                    <w:jc w:val="center"/>
                    <w:rPr>
                      <w:rFonts w:hint="default" w:eastAsia="宋体"/>
                      <w:sz w:val="22"/>
                      <w:szCs w:val="22"/>
                      <w:lang w:val="en-US" w:eastAsia="zh-CN"/>
                    </w:rPr>
                  </w:pPr>
                  <w:r>
                    <w:rPr>
                      <w:rFonts w:hint="eastAsia"/>
                      <w:sz w:val="22"/>
                      <w:szCs w:val="22"/>
                      <w:lang w:val="en-US" w:eastAsia="zh-CN"/>
                    </w:rPr>
                    <w:t>4150</w:t>
                  </w:r>
                </w:p>
              </w:tc>
              <w:tc>
                <w:tcPr>
                  <w:tcW w:w="1001" w:type="dxa"/>
                  <w:tcBorders>
                    <w:top w:val="single" w:color="auto" w:sz="4" w:space="0"/>
                    <w:left w:val="single" w:color="auto" w:sz="4" w:space="0"/>
                    <w:bottom w:val="single" w:color="auto" w:sz="4" w:space="0"/>
                    <w:right w:val="single" w:color="auto" w:sz="4" w:space="0"/>
                  </w:tcBorders>
                  <w:vAlign w:val="center"/>
                </w:tcPr>
                <w:p w14:paraId="0583EE19">
                  <w:pPr>
                    <w:jc w:val="center"/>
                    <w:rPr>
                      <w:rFonts w:hint="default" w:eastAsia="等线"/>
                      <w:sz w:val="22"/>
                      <w:szCs w:val="22"/>
                      <w:lang w:val="en-US" w:eastAsia="zh-CN"/>
                    </w:rPr>
                  </w:pPr>
                  <w:r>
                    <w:rPr>
                      <w:rFonts w:hint="eastAsia" w:eastAsia="等线"/>
                      <w:sz w:val="22"/>
                      <w:szCs w:val="22"/>
                      <w:lang w:val="en-US" w:eastAsia="zh-CN"/>
                    </w:rPr>
                    <w:t>0.664</w:t>
                  </w:r>
                </w:p>
              </w:tc>
              <w:tc>
                <w:tcPr>
                  <w:tcW w:w="1200" w:type="dxa"/>
                  <w:vAlign w:val="center"/>
                </w:tcPr>
                <w:p w14:paraId="373534B0">
                  <w:pPr>
                    <w:jc w:val="center"/>
                    <w:rPr>
                      <w:sz w:val="22"/>
                      <w:szCs w:val="22"/>
                    </w:rPr>
                  </w:pPr>
                  <w:r>
                    <w:rPr>
                      <w:sz w:val="22"/>
                      <w:szCs w:val="22"/>
                    </w:rPr>
                    <w:t>95</w:t>
                  </w:r>
                  <w:r>
                    <w:rPr>
                      <w:rFonts w:hint="eastAsia"/>
                      <w:sz w:val="22"/>
                      <w:szCs w:val="22"/>
                    </w:rPr>
                    <w:t>%</w:t>
                  </w:r>
                </w:p>
              </w:tc>
              <w:tc>
                <w:tcPr>
                  <w:tcW w:w="1069" w:type="dxa"/>
                  <w:tcBorders>
                    <w:top w:val="single" w:color="auto" w:sz="4" w:space="0"/>
                    <w:left w:val="single" w:color="auto" w:sz="4" w:space="0"/>
                    <w:bottom w:val="single" w:color="auto" w:sz="4" w:space="0"/>
                    <w:right w:val="single" w:color="auto" w:sz="4" w:space="0"/>
                  </w:tcBorders>
                  <w:vAlign w:val="center"/>
                </w:tcPr>
                <w:p w14:paraId="628D739C">
                  <w:pPr>
                    <w:jc w:val="center"/>
                    <w:rPr>
                      <w:rFonts w:hint="default" w:eastAsia="宋体"/>
                      <w:sz w:val="22"/>
                      <w:szCs w:val="22"/>
                      <w:lang w:val="en-US" w:eastAsia="zh-CN"/>
                    </w:rPr>
                  </w:pPr>
                  <w:r>
                    <w:rPr>
                      <w:rFonts w:hint="eastAsia"/>
                      <w:sz w:val="22"/>
                      <w:szCs w:val="22"/>
                      <w:lang w:val="en-US" w:eastAsia="zh-CN"/>
                    </w:rPr>
                    <w:t>0.631</w:t>
                  </w:r>
                </w:p>
              </w:tc>
              <w:tc>
                <w:tcPr>
                  <w:tcW w:w="1283" w:type="dxa"/>
                  <w:tcBorders>
                    <w:top w:val="single" w:color="auto" w:sz="4" w:space="0"/>
                    <w:left w:val="nil"/>
                    <w:bottom w:val="single" w:color="auto" w:sz="4" w:space="0"/>
                    <w:right w:val="single" w:color="auto" w:sz="4" w:space="0"/>
                  </w:tcBorders>
                  <w:vAlign w:val="center"/>
                </w:tcPr>
                <w:p w14:paraId="0F26F739">
                  <w:pPr>
                    <w:jc w:val="center"/>
                    <w:rPr>
                      <w:rFonts w:hint="default" w:eastAsia="宋体"/>
                      <w:sz w:val="22"/>
                      <w:szCs w:val="22"/>
                      <w:lang w:val="en-US" w:eastAsia="zh-CN"/>
                    </w:rPr>
                  </w:pPr>
                  <w:r>
                    <w:rPr>
                      <w:rFonts w:hint="eastAsia"/>
                      <w:sz w:val="22"/>
                      <w:szCs w:val="22"/>
                      <w:lang w:val="en-US" w:eastAsia="zh-CN"/>
                    </w:rPr>
                    <w:t>0.033</w:t>
                  </w:r>
                </w:p>
              </w:tc>
            </w:tr>
          </w:tbl>
          <w:p w14:paraId="4C841D50">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rPr>
              <w:t>由上表4</w:t>
            </w:r>
            <w:r>
              <w:rPr>
                <w:bCs/>
                <w:sz w:val="26"/>
                <w:szCs w:val="26"/>
              </w:rPr>
              <w:t>.2.1</w:t>
            </w:r>
            <w:r>
              <w:rPr>
                <w:rFonts w:hint="eastAsia"/>
                <w:bCs/>
                <w:sz w:val="26"/>
                <w:szCs w:val="26"/>
              </w:rPr>
              <w:t>-</w:t>
            </w:r>
            <w:r>
              <w:rPr>
                <w:bCs/>
                <w:sz w:val="26"/>
                <w:szCs w:val="26"/>
              </w:rPr>
              <w:t>2</w:t>
            </w:r>
            <w:r>
              <w:rPr>
                <w:rFonts w:hint="eastAsia"/>
                <w:bCs/>
                <w:sz w:val="26"/>
                <w:szCs w:val="26"/>
              </w:rPr>
              <w:t>可知，本项目汽油</w:t>
            </w:r>
            <w:r>
              <w:rPr>
                <w:rFonts w:hint="eastAsia"/>
                <w:bCs/>
                <w:sz w:val="26"/>
                <w:szCs w:val="26"/>
                <w:lang w:val="en-US" w:eastAsia="zh-CN"/>
              </w:rPr>
              <w:t>油罐储存过程小呼吸</w:t>
            </w:r>
            <w:r>
              <w:rPr>
                <w:rFonts w:hint="eastAsia"/>
                <w:bCs/>
                <w:sz w:val="26"/>
                <w:szCs w:val="26"/>
              </w:rPr>
              <w:t>产生油气量为</w:t>
            </w:r>
            <w:r>
              <w:rPr>
                <w:rFonts w:hint="eastAsia"/>
                <w:bCs/>
                <w:color w:val="auto"/>
                <w:sz w:val="26"/>
                <w:szCs w:val="26"/>
                <w:lang w:val="en-US" w:eastAsia="zh-CN"/>
              </w:rPr>
              <w:t>0.664</w:t>
            </w:r>
            <w:r>
              <w:rPr>
                <w:rFonts w:hint="eastAsia"/>
                <w:bCs/>
                <w:color w:val="auto"/>
                <w:sz w:val="26"/>
                <w:szCs w:val="26"/>
              </w:rPr>
              <w:t>t/a</w:t>
            </w:r>
            <w:r>
              <w:rPr>
                <w:rFonts w:hint="eastAsia"/>
                <w:bCs/>
                <w:sz w:val="26"/>
                <w:szCs w:val="26"/>
              </w:rPr>
              <w:t>。</w:t>
            </w:r>
            <w:r>
              <w:rPr>
                <w:rFonts w:hint="eastAsia"/>
                <w:bCs/>
                <w:sz w:val="26"/>
                <w:szCs w:val="26"/>
                <w:lang w:val="en-US" w:eastAsia="zh-CN"/>
              </w:rPr>
              <w:t>三次</w:t>
            </w:r>
            <w:r>
              <w:rPr>
                <w:rFonts w:hint="eastAsia"/>
                <w:bCs/>
                <w:sz w:val="26"/>
                <w:szCs w:val="26"/>
              </w:rPr>
              <w:t>油气回收处理装置（处置效率不低于95%）对油罐呼吸油气进行回收处理，含有少量油品的空气</w:t>
            </w:r>
            <w:r>
              <w:rPr>
                <w:rFonts w:hint="eastAsia"/>
                <w:bCs/>
                <w:sz w:val="26"/>
                <w:szCs w:val="26"/>
                <w:lang w:val="en-US" w:eastAsia="zh-CN"/>
              </w:rPr>
              <w:t>经通气立管</w:t>
            </w:r>
            <w:r>
              <w:rPr>
                <w:rFonts w:hint="eastAsia"/>
                <w:bCs/>
                <w:sz w:val="26"/>
                <w:szCs w:val="26"/>
              </w:rPr>
              <w:t>排放</w:t>
            </w:r>
            <w:r>
              <w:rPr>
                <w:rFonts w:hint="eastAsia"/>
                <w:bCs/>
                <w:sz w:val="26"/>
                <w:szCs w:val="26"/>
                <w:lang w:val="en-US" w:eastAsia="zh-CN"/>
              </w:rPr>
              <w:t>至外环境</w:t>
            </w:r>
            <w:r>
              <w:rPr>
                <w:rFonts w:hint="eastAsia"/>
                <w:bCs/>
                <w:sz w:val="26"/>
                <w:szCs w:val="26"/>
              </w:rPr>
              <w:t>。</w:t>
            </w:r>
          </w:p>
          <w:p w14:paraId="7B7AC9F1">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lang w:val="en-US" w:eastAsia="zh-CN"/>
              </w:rPr>
              <w:t>③车辆</w:t>
            </w:r>
            <w:r>
              <w:rPr>
                <w:rFonts w:hint="eastAsia"/>
                <w:bCs/>
                <w:sz w:val="26"/>
                <w:szCs w:val="26"/>
              </w:rPr>
              <w:t>加油</w:t>
            </w:r>
            <w:r>
              <w:rPr>
                <w:rFonts w:hint="eastAsia"/>
                <w:bCs/>
                <w:sz w:val="26"/>
                <w:szCs w:val="26"/>
                <w:lang w:val="en-US" w:eastAsia="zh-CN"/>
              </w:rPr>
              <w:t>过程</w:t>
            </w:r>
            <w:r>
              <w:rPr>
                <w:rFonts w:hint="eastAsia"/>
                <w:bCs/>
                <w:sz w:val="26"/>
                <w:szCs w:val="26"/>
              </w:rPr>
              <w:t>油气</w:t>
            </w:r>
            <w:r>
              <w:rPr>
                <w:rFonts w:hint="eastAsia"/>
                <w:bCs/>
                <w:sz w:val="26"/>
                <w:szCs w:val="26"/>
                <w:lang w:val="en-US" w:eastAsia="zh-CN"/>
              </w:rPr>
              <w:t>产排情况</w:t>
            </w:r>
          </w:p>
          <w:p w14:paraId="7EE3A1BA">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rPr>
              <w:t>加油站非甲烷总烃排放的另一个来源是车辆的加油作业。车辆加油过程中排放的油气主要来自于装入的</w:t>
            </w:r>
            <w:r>
              <w:rPr>
                <w:rFonts w:hint="eastAsia"/>
                <w:bCs/>
                <w:sz w:val="26"/>
                <w:szCs w:val="26"/>
                <w:lang w:val="en-US" w:eastAsia="zh-CN"/>
              </w:rPr>
              <w:t>油品</w:t>
            </w:r>
            <w:r>
              <w:rPr>
                <w:rFonts w:hint="eastAsia"/>
                <w:bCs/>
                <w:sz w:val="26"/>
                <w:szCs w:val="26"/>
              </w:rPr>
              <w:t>逐出汽车油箱内的蒸汽，被逐出的蒸汽量随</w:t>
            </w:r>
            <w:r>
              <w:rPr>
                <w:rFonts w:hint="eastAsia"/>
                <w:bCs/>
                <w:sz w:val="26"/>
                <w:szCs w:val="26"/>
                <w:lang w:val="en-US" w:eastAsia="zh-CN"/>
              </w:rPr>
              <w:t>油品</w:t>
            </w:r>
            <w:r>
              <w:rPr>
                <w:rFonts w:hint="eastAsia"/>
                <w:bCs/>
                <w:sz w:val="26"/>
                <w:szCs w:val="26"/>
              </w:rPr>
              <w:t>温度、汽车油箱温度</w:t>
            </w:r>
            <w:r>
              <w:rPr>
                <w:rFonts w:hint="eastAsia"/>
                <w:bCs/>
                <w:sz w:val="26"/>
                <w:szCs w:val="26"/>
                <w:lang w:eastAsia="zh-CN"/>
              </w:rPr>
              <w:t>、</w:t>
            </w:r>
            <w:r>
              <w:rPr>
                <w:rFonts w:hint="eastAsia"/>
                <w:bCs/>
                <w:sz w:val="26"/>
                <w:szCs w:val="26"/>
                <w:lang w:val="en-US" w:eastAsia="zh-CN"/>
              </w:rPr>
              <w:t>油品</w:t>
            </w:r>
            <w:r>
              <w:rPr>
                <w:rFonts w:hint="eastAsia"/>
                <w:bCs/>
                <w:sz w:val="26"/>
                <w:szCs w:val="26"/>
              </w:rPr>
              <w:t>蒸汽压力</w:t>
            </w:r>
            <w:r>
              <w:rPr>
                <w:rFonts w:hint="eastAsia"/>
                <w:bCs/>
                <w:sz w:val="26"/>
                <w:szCs w:val="26"/>
                <w:lang w:eastAsia="zh-CN"/>
              </w:rPr>
              <w:t>（</w:t>
            </w:r>
            <w:r>
              <w:rPr>
                <w:rFonts w:hint="eastAsia"/>
                <w:bCs/>
                <w:sz w:val="26"/>
                <w:szCs w:val="26"/>
              </w:rPr>
              <w:t>RVP</w:t>
            </w:r>
            <w:r>
              <w:rPr>
                <w:rFonts w:hint="eastAsia"/>
                <w:bCs/>
                <w:sz w:val="26"/>
                <w:szCs w:val="26"/>
                <w:lang w:eastAsia="zh-CN"/>
              </w:rPr>
              <w:t>）</w:t>
            </w:r>
            <w:r>
              <w:rPr>
                <w:rFonts w:hint="eastAsia"/>
                <w:bCs/>
                <w:sz w:val="26"/>
                <w:szCs w:val="26"/>
              </w:rPr>
              <w:t>和装油速率而变动。根据《中国加油站VOC排放污染现状及控制》（环境科学·第27卷第8期2006年8月），加油过程中汽油损耗率为2.49kg/t</w:t>
            </w:r>
            <w:r>
              <w:rPr>
                <w:rFonts w:hint="eastAsia"/>
                <w:bCs/>
                <w:sz w:val="26"/>
                <w:szCs w:val="26"/>
                <w:lang w:eastAsia="zh-CN"/>
              </w:rPr>
              <w:t>，</w:t>
            </w:r>
            <w:r>
              <w:rPr>
                <w:rFonts w:hint="eastAsia"/>
                <w:bCs/>
                <w:sz w:val="26"/>
                <w:szCs w:val="26"/>
                <w:lang w:val="en-US" w:eastAsia="zh-CN"/>
              </w:rPr>
              <w:t>柴油</w:t>
            </w:r>
            <w:r>
              <w:rPr>
                <w:rFonts w:hint="eastAsia"/>
                <w:bCs/>
                <w:sz w:val="26"/>
                <w:szCs w:val="26"/>
              </w:rPr>
              <w:t>损耗率为</w:t>
            </w:r>
            <w:r>
              <w:rPr>
                <w:rFonts w:hint="eastAsia"/>
                <w:bCs/>
                <w:sz w:val="26"/>
                <w:szCs w:val="26"/>
                <w:lang w:val="en-US" w:eastAsia="zh-CN"/>
              </w:rPr>
              <w:t>0.048</w:t>
            </w:r>
            <w:r>
              <w:rPr>
                <w:rFonts w:hint="eastAsia"/>
                <w:bCs/>
                <w:sz w:val="26"/>
                <w:szCs w:val="26"/>
              </w:rPr>
              <w:t>kg/t。</w:t>
            </w:r>
            <w:r>
              <w:rPr>
                <w:rFonts w:hint="eastAsia"/>
                <w:bCs/>
                <w:sz w:val="26"/>
                <w:szCs w:val="26"/>
                <w:lang w:val="en-US" w:eastAsia="zh-CN"/>
              </w:rPr>
              <w:t>二次油气回收系统处置效率为85</w:t>
            </w:r>
            <w:r>
              <w:rPr>
                <w:rFonts w:hint="eastAsia" w:ascii="Times New Roman" w:hAnsi="Times New Roman" w:cs="Times New Roman"/>
                <w:bCs/>
                <w:sz w:val="26"/>
                <w:szCs w:val="26"/>
                <w:lang w:val="en-US" w:eastAsia="zh-CN"/>
              </w:rPr>
              <w:t>%</w:t>
            </w:r>
            <w:r>
              <w:rPr>
                <w:rFonts w:hint="default" w:ascii="Times New Roman" w:hAnsi="Times New Roman" w:cs="Times New Roman"/>
                <w:bCs/>
                <w:sz w:val="26"/>
                <w:szCs w:val="26"/>
                <w:lang w:val="en-US" w:eastAsia="zh-CN"/>
              </w:rPr>
              <w:t>～95</w:t>
            </w:r>
            <w:r>
              <w:rPr>
                <w:rFonts w:hint="eastAsia" w:ascii="Times New Roman" w:hAnsi="Times New Roman" w:cs="Times New Roman"/>
                <w:bCs/>
                <w:sz w:val="26"/>
                <w:szCs w:val="26"/>
                <w:lang w:val="en-US" w:eastAsia="zh-CN"/>
              </w:rPr>
              <w:t>%</w:t>
            </w:r>
            <w:r>
              <w:rPr>
                <w:rFonts w:hint="eastAsia"/>
                <w:bCs/>
                <w:sz w:val="26"/>
                <w:szCs w:val="26"/>
                <w:lang w:val="en-US" w:eastAsia="zh-CN"/>
              </w:rPr>
              <w:t>，本评价取90%。</w:t>
            </w:r>
          </w:p>
          <w:p w14:paraId="5CE98361">
            <w:pPr>
              <w:adjustRightInd w:val="0"/>
              <w:snapToGrid w:val="0"/>
              <w:spacing w:line="460" w:lineRule="exact"/>
              <w:ind w:firstLine="520" w:firstLineChars="200"/>
              <w:rPr>
                <w:bCs/>
                <w:sz w:val="26"/>
                <w:szCs w:val="26"/>
              </w:rPr>
            </w:pPr>
            <w:r>
              <w:rPr>
                <w:rFonts w:hint="eastAsia"/>
                <w:bCs/>
                <w:sz w:val="26"/>
                <w:szCs w:val="26"/>
              </w:rPr>
              <w:t>本项目改建后预计年周转汽油</w:t>
            </w:r>
            <w:r>
              <w:rPr>
                <w:rFonts w:hint="eastAsia"/>
                <w:bCs/>
                <w:color w:val="auto"/>
                <w:sz w:val="26"/>
                <w:szCs w:val="26"/>
                <w:lang w:val="en-US" w:eastAsia="zh-CN"/>
              </w:rPr>
              <w:t>4150</w:t>
            </w:r>
            <w:r>
              <w:rPr>
                <w:rFonts w:hint="eastAsia"/>
                <w:bCs/>
                <w:color w:val="auto"/>
                <w:sz w:val="26"/>
                <w:szCs w:val="26"/>
              </w:rPr>
              <w:t>t，</w:t>
            </w:r>
            <w:r>
              <w:rPr>
                <w:rFonts w:hint="eastAsia"/>
                <w:bCs/>
                <w:color w:val="auto"/>
                <w:sz w:val="26"/>
                <w:szCs w:val="26"/>
                <w:lang w:val="en-US" w:eastAsia="zh-CN"/>
              </w:rPr>
              <w:t>年周转柴油520</w:t>
            </w:r>
            <w:r>
              <w:rPr>
                <w:rFonts w:hint="eastAsia"/>
                <w:bCs/>
                <w:color w:val="auto"/>
                <w:sz w:val="26"/>
                <w:szCs w:val="26"/>
              </w:rPr>
              <w:t>t</w:t>
            </w:r>
            <w:r>
              <w:rPr>
                <w:rFonts w:hint="eastAsia"/>
                <w:bCs/>
                <w:color w:val="auto"/>
                <w:sz w:val="26"/>
                <w:szCs w:val="26"/>
                <w:lang w:val="en-US" w:eastAsia="zh-CN"/>
              </w:rPr>
              <w:t>，</w:t>
            </w:r>
            <w:r>
              <w:rPr>
                <w:rFonts w:hint="eastAsia"/>
                <w:bCs/>
                <w:sz w:val="26"/>
                <w:szCs w:val="26"/>
              </w:rPr>
              <w:t>汽油</w:t>
            </w:r>
            <w:r>
              <w:rPr>
                <w:rFonts w:hint="eastAsia"/>
                <w:bCs/>
                <w:sz w:val="26"/>
                <w:szCs w:val="26"/>
                <w:lang w:val="en-US" w:eastAsia="zh-CN"/>
              </w:rPr>
              <w:t>加油过程</w:t>
            </w:r>
            <w:r>
              <w:rPr>
                <w:rFonts w:hint="eastAsia"/>
                <w:bCs/>
                <w:sz w:val="26"/>
                <w:szCs w:val="26"/>
              </w:rPr>
              <w:t>产生的油气经</w:t>
            </w:r>
            <w:r>
              <w:rPr>
                <w:rFonts w:hint="eastAsia"/>
                <w:bCs/>
                <w:sz w:val="26"/>
                <w:szCs w:val="26"/>
                <w:lang w:val="en-US" w:eastAsia="zh-CN"/>
              </w:rPr>
              <w:t>二次</w:t>
            </w:r>
            <w:r>
              <w:rPr>
                <w:rFonts w:hint="eastAsia"/>
                <w:bCs/>
                <w:sz w:val="26"/>
                <w:szCs w:val="26"/>
              </w:rPr>
              <w:t>油气回收系统</w:t>
            </w:r>
            <w:r>
              <w:rPr>
                <w:rFonts w:hint="eastAsia"/>
                <w:bCs/>
                <w:sz w:val="26"/>
                <w:szCs w:val="26"/>
                <w:lang w:val="en-US" w:eastAsia="zh-CN"/>
              </w:rPr>
              <w:t>回收处理，柴油加油过程</w:t>
            </w:r>
            <w:r>
              <w:rPr>
                <w:rFonts w:hint="eastAsia"/>
                <w:bCs/>
                <w:sz w:val="26"/>
                <w:szCs w:val="26"/>
              </w:rPr>
              <w:t>产生的油气</w:t>
            </w:r>
            <w:r>
              <w:rPr>
                <w:rFonts w:hint="eastAsia"/>
                <w:bCs/>
                <w:sz w:val="26"/>
                <w:szCs w:val="26"/>
                <w:lang w:val="en-US" w:eastAsia="zh-CN"/>
              </w:rPr>
              <w:t>逸出后散排。车辆加油过程油气产生</w:t>
            </w:r>
            <w:r>
              <w:rPr>
                <w:rFonts w:hint="eastAsia"/>
                <w:bCs/>
                <w:sz w:val="26"/>
                <w:szCs w:val="26"/>
              </w:rPr>
              <w:t>排放量统计结果如下表</w:t>
            </w:r>
            <w:r>
              <w:rPr>
                <w:bCs/>
                <w:sz w:val="26"/>
                <w:szCs w:val="26"/>
              </w:rPr>
              <w:t>4.2</w:t>
            </w:r>
            <w:r>
              <w:rPr>
                <w:rFonts w:hint="eastAsia"/>
                <w:bCs/>
                <w:sz w:val="26"/>
                <w:szCs w:val="26"/>
                <w:lang w:val="en-US" w:eastAsia="zh-CN"/>
              </w:rPr>
              <w:t>-3</w:t>
            </w:r>
            <w:r>
              <w:rPr>
                <w:rFonts w:hint="eastAsia"/>
                <w:bCs/>
                <w:sz w:val="26"/>
                <w:szCs w:val="26"/>
              </w:rPr>
              <w:t>。</w:t>
            </w:r>
          </w:p>
          <w:p w14:paraId="6BDBFC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6"/>
                <w:szCs w:val="26"/>
              </w:rPr>
            </w:pPr>
            <w:r>
              <w:rPr>
                <w:sz w:val="22"/>
                <w:szCs w:val="22"/>
              </w:rPr>
              <w:t>表4.2</w:t>
            </w:r>
            <w:r>
              <w:rPr>
                <w:rFonts w:hint="eastAsia"/>
                <w:sz w:val="22"/>
                <w:szCs w:val="22"/>
                <w:lang w:val="en-US" w:eastAsia="zh-CN"/>
              </w:rPr>
              <w:t>-3  车辆</w:t>
            </w:r>
            <w:r>
              <w:rPr>
                <w:rFonts w:hint="eastAsia"/>
                <w:bCs/>
                <w:sz w:val="22"/>
                <w:szCs w:val="22"/>
                <w:lang w:val="en-US" w:eastAsia="zh-CN"/>
              </w:rPr>
              <w:t>加油过程</w:t>
            </w:r>
            <w:r>
              <w:rPr>
                <w:rFonts w:hint="eastAsia"/>
                <w:sz w:val="22"/>
                <w:szCs w:val="22"/>
              </w:rPr>
              <w:t>油气</w:t>
            </w:r>
            <w:r>
              <w:rPr>
                <w:rFonts w:hint="eastAsia"/>
                <w:sz w:val="22"/>
                <w:szCs w:val="22"/>
                <w:lang w:val="en-US" w:eastAsia="zh-CN"/>
              </w:rPr>
              <w:t>产排情况</w:t>
            </w:r>
            <w:r>
              <w:rPr>
                <w:rFonts w:hint="eastAsia"/>
                <w:sz w:val="22"/>
                <w:szCs w:val="22"/>
              </w:rPr>
              <w:t>统计表</w:t>
            </w:r>
            <w:r>
              <w:rPr>
                <w:rFonts w:hint="eastAsia"/>
                <w:sz w:val="22"/>
                <w:szCs w:val="22"/>
                <w:lang w:val="en-US" w:eastAsia="zh-CN"/>
              </w:rPr>
              <w:t xml:space="preserve">  </w:t>
            </w:r>
            <w:r>
              <w:rPr>
                <w:sz w:val="22"/>
                <w:szCs w:val="22"/>
              </w:rPr>
              <w:t>单位：t/a</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60"/>
              <w:gridCol w:w="1126"/>
              <w:gridCol w:w="801"/>
              <w:gridCol w:w="863"/>
              <w:gridCol w:w="1237"/>
              <w:gridCol w:w="1069"/>
              <w:gridCol w:w="1283"/>
            </w:tblGrid>
            <w:tr w14:paraId="476D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gridSpan w:val="2"/>
                  <w:vMerge w:val="restart"/>
                  <w:tcBorders>
                    <w:tl2br w:val="single" w:color="auto" w:sz="4" w:space="0"/>
                  </w:tcBorders>
                  <w:vAlign w:val="center"/>
                </w:tcPr>
                <w:p w14:paraId="6E087521">
                  <w:pPr>
                    <w:jc w:val="center"/>
                    <w:rPr>
                      <w:sz w:val="22"/>
                      <w:szCs w:val="22"/>
                    </w:rPr>
                  </w:pPr>
                  <w:r>
                    <w:rPr>
                      <w:rFonts w:hint="eastAsia"/>
                      <w:sz w:val="22"/>
                      <w:szCs w:val="22"/>
                    </w:rPr>
                    <w:t xml:space="preserve"> </w:t>
                  </w:r>
                  <w:r>
                    <w:rPr>
                      <w:sz w:val="22"/>
                      <w:szCs w:val="22"/>
                    </w:rPr>
                    <w:t xml:space="preserve">    </w:t>
                  </w:r>
                  <w:r>
                    <w:rPr>
                      <w:rFonts w:hint="eastAsia"/>
                      <w:sz w:val="22"/>
                      <w:szCs w:val="22"/>
                    </w:rPr>
                    <w:t>项目</w:t>
                  </w:r>
                </w:p>
                <w:p w14:paraId="3722F897">
                  <w:pPr>
                    <w:rPr>
                      <w:sz w:val="22"/>
                      <w:szCs w:val="22"/>
                    </w:rPr>
                  </w:pPr>
                  <w:r>
                    <w:rPr>
                      <w:rFonts w:hint="eastAsia"/>
                      <w:sz w:val="22"/>
                      <w:szCs w:val="22"/>
                    </w:rPr>
                    <w:t>类型</w:t>
                  </w:r>
                </w:p>
              </w:tc>
              <w:tc>
                <w:tcPr>
                  <w:tcW w:w="1126" w:type="dxa"/>
                  <w:vMerge w:val="restart"/>
                  <w:vAlign w:val="center"/>
                </w:tcPr>
                <w:p w14:paraId="7DCD9DA5">
                  <w:pPr>
                    <w:jc w:val="center"/>
                    <w:rPr>
                      <w:sz w:val="22"/>
                      <w:szCs w:val="22"/>
                    </w:rPr>
                  </w:pPr>
                  <w:r>
                    <w:rPr>
                      <w:rFonts w:hint="eastAsia"/>
                      <w:sz w:val="22"/>
                      <w:szCs w:val="22"/>
                    </w:rPr>
                    <w:t>损耗率</w:t>
                  </w:r>
                </w:p>
              </w:tc>
              <w:tc>
                <w:tcPr>
                  <w:tcW w:w="801" w:type="dxa"/>
                  <w:vMerge w:val="restart"/>
                  <w:vAlign w:val="center"/>
                </w:tcPr>
                <w:p w14:paraId="5B2A6449">
                  <w:pPr>
                    <w:widowControl/>
                    <w:pBdr>
                      <w:left w:val="single" w:color="auto" w:sz="4" w:space="31"/>
                      <w:right w:val="single" w:color="auto" w:sz="4" w:space="31"/>
                    </w:pBdr>
                    <w:jc w:val="center"/>
                    <w:rPr>
                      <w:rFonts w:hint="eastAsia" w:eastAsia="宋体"/>
                      <w:sz w:val="22"/>
                      <w:szCs w:val="22"/>
                      <w:lang w:eastAsia="zh-CN"/>
                    </w:rPr>
                  </w:pPr>
                  <w:r>
                    <w:rPr>
                      <w:rFonts w:hint="eastAsia"/>
                      <w:sz w:val="22"/>
                      <w:szCs w:val="22"/>
                      <w:lang w:val="en-US" w:eastAsia="zh-CN"/>
                    </w:rPr>
                    <w:t>周转量</w:t>
                  </w:r>
                </w:p>
              </w:tc>
              <w:tc>
                <w:tcPr>
                  <w:tcW w:w="863" w:type="dxa"/>
                  <w:vMerge w:val="restart"/>
                  <w:vAlign w:val="center"/>
                </w:tcPr>
                <w:p w14:paraId="4B03A77D">
                  <w:pPr>
                    <w:widowControl/>
                    <w:pBdr>
                      <w:left w:val="single" w:color="auto" w:sz="4" w:space="31"/>
                      <w:right w:val="single" w:color="auto" w:sz="4" w:space="31"/>
                    </w:pBdr>
                    <w:jc w:val="center"/>
                    <w:rPr>
                      <w:rFonts w:hint="eastAsia"/>
                      <w:sz w:val="22"/>
                      <w:szCs w:val="22"/>
                      <w:lang w:val="en-US" w:eastAsia="zh-CN"/>
                    </w:rPr>
                  </w:pPr>
                  <w:r>
                    <w:rPr>
                      <w:rFonts w:hint="eastAsia"/>
                      <w:sz w:val="22"/>
                      <w:szCs w:val="22"/>
                      <w:lang w:val="en-US" w:eastAsia="zh-CN"/>
                    </w:rPr>
                    <w:t>损耗量</w:t>
                  </w:r>
                </w:p>
              </w:tc>
              <w:tc>
                <w:tcPr>
                  <w:tcW w:w="2306" w:type="dxa"/>
                  <w:gridSpan w:val="2"/>
                  <w:vAlign w:val="center"/>
                </w:tcPr>
                <w:p w14:paraId="6E7AFD7D">
                  <w:pPr>
                    <w:jc w:val="center"/>
                    <w:rPr>
                      <w:sz w:val="22"/>
                      <w:szCs w:val="22"/>
                    </w:rPr>
                  </w:pPr>
                  <w:r>
                    <w:rPr>
                      <w:rFonts w:hint="eastAsia"/>
                      <w:sz w:val="22"/>
                      <w:szCs w:val="22"/>
                      <w:lang w:val="en-US" w:eastAsia="zh-CN"/>
                    </w:rPr>
                    <w:t>二次</w:t>
                  </w:r>
                  <w:r>
                    <w:rPr>
                      <w:rFonts w:hint="eastAsia"/>
                      <w:sz w:val="22"/>
                      <w:szCs w:val="22"/>
                    </w:rPr>
                    <w:t>油气回收系统</w:t>
                  </w:r>
                </w:p>
              </w:tc>
              <w:tc>
                <w:tcPr>
                  <w:tcW w:w="1283" w:type="dxa"/>
                  <w:vMerge w:val="restart"/>
                  <w:vAlign w:val="center"/>
                </w:tcPr>
                <w:p w14:paraId="1A48B7C6">
                  <w:pPr>
                    <w:jc w:val="center"/>
                    <w:rPr>
                      <w:sz w:val="22"/>
                      <w:szCs w:val="22"/>
                    </w:rPr>
                  </w:pPr>
                  <w:r>
                    <w:rPr>
                      <w:rFonts w:hint="eastAsia"/>
                      <w:sz w:val="22"/>
                      <w:szCs w:val="22"/>
                    </w:rPr>
                    <w:t>油气无组织排放</w:t>
                  </w:r>
                </w:p>
              </w:tc>
            </w:tr>
            <w:tr w14:paraId="6B77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9" w:type="dxa"/>
                  <w:gridSpan w:val="2"/>
                  <w:vMerge w:val="continue"/>
                  <w:tcBorders>
                    <w:tl2br w:val="single" w:color="auto" w:sz="4" w:space="0"/>
                  </w:tcBorders>
                  <w:vAlign w:val="center"/>
                </w:tcPr>
                <w:p w14:paraId="1954C584">
                  <w:pPr>
                    <w:jc w:val="center"/>
                    <w:rPr>
                      <w:sz w:val="22"/>
                      <w:szCs w:val="22"/>
                    </w:rPr>
                  </w:pPr>
                </w:p>
              </w:tc>
              <w:tc>
                <w:tcPr>
                  <w:tcW w:w="1126" w:type="dxa"/>
                  <w:vMerge w:val="continue"/>
                  <w:vAlign w:val="center"/>
                </w:tcPr>
                <w:p w14:paraId="2BBEC9FF">
                  <w:pPr>
                    <w:jc w:val="center"/>
                    <w:rPr>
                      <w:sz w:val="22"/>
                      <w:szCs w:val="22"/>
                    </w:rPr>
                  </w:pPr>
                </w:p>
              </w:tc>
              <w:tc>
                <w:tcPr>
                  <w:tcW w:w="801" w:type="dxa"/>
                  <w:vMerge w:val="continue"/>
                  <w:vAlign w:val="center"/>
                </w:tcPr>
                <w:p w14:paraId="7CD2F679">
                  <w:pPr>
                    <w:jc w:val="center"/>
                    <w:rPr>
                      <w:sz w:val="22"/>
                      <w:szCs w:val="22"/>
                    </w:rPr>
                  </w:pPr>
                </w:p>
              </w:tc>
              <w:tc>
                <w:tcPr>
                  <w:tcW w:w="863" w:type="dxa"/>
                  <w:vMerge w:val="continue"/>
                  <w:vAlign w:val="center"/>
                </w:tcPr>
                <w:p w14:paraId="621729EF">
                  <w:pPr>
                    <w:jc w:val="center"/>
                    <w:rPr>
                      <w:sz w:val="22"/>
                      <w:szCs w:val="22"/>
                    </w:rPr>
                  </w:pPr>
                </w:p>
              </w:tc>
              <w:tc>
                <w:tcPr>
                  <w:tcW w:w="1237" w:type="dxa"/>
                  <w:vAlign w:val="center"/>
                </w:tcPr>
                <w:p w14:paraId="32D031E3">
                  <w:pPr>
                    <w:jc w:val="center"/>
                    <w:rPr>
                      <w:sz w:val="22"/>
                      <w:szCs w:val="22"/>
                    </w:rPr>
                  </w:pPr>
                  <w:r>
                    <w:rPr>
                      <w:rFonts w:hint="eastAsia"/>
                      <w:sz w:val="22"/>
                      <w:szCs w:val="22"/>
                    </w:rPr>
                    <w:t>回收率</w:t>
                  </w:r>
                </w:p>
              </w:tc>
              <w:tc>
                <w:tcPr>
                  <w:tcW w:w="1069" w:type="dxa"/>
                  <w:vAlign w:val="center"/>
                </w:tcPr>
                <w:p w14:paraId="57E413D5">
                  <w:pPr>
                    <w:jc w:val="center"/>
                    <w:rPr>
                      <w:sz w:val="22"/>
                      <w:szCs w:val="22"/>
                    </w:rPr>
                  </w:pPr>
                  <w:r>
                    <w:rPr>
                      <w:rFonts w:hint="eastAsia"/>
                      <w:sz w:val="22"/>
                      <w:szCs w:val="22"/>
                    </w:rPr>
                    <w:t>回收量</w:t>
                  </w:r>
                </w:p>
              </w:tc>
              <w:tc>
                <w:tcPr>
                  <w:tcW w:w="1283" w:type="dxa"/>
                  <w:vMerge w:val="continue"/>
                  <w:vAlign w:val="center"/>
                </w:tcPr>
                <w:p w14:paraId="73BD7366">
                  <w:pPr>
                    <w:jc w:val="center"/>
                    <w:rPr>
                      <w:sz w:val="22"/>
                      <w:szCs w:val="22"/>
                    </w:rPr>
                  </w:pPr>
                </w:p>
              </w:tc>
            </w:tr>
            <w:tr w14:paraId="000E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vAlign w:val="center"/>
                </w:tcPr>
                <w:p w14:paraId="61A1A63B">
                  <w:pPr>
                    <w:jc w:val="center"/>
                    <w:rPr>
                      <w:sz w:val="22"/>
                      <w:szCs w:val="22"/>
                    </w:rPr>
                  </w:pPr>
                  <w:r>
                    <w:rPr>
                      <w:rFonts w:hint="eastAsia"/>
                      <w:sz w:val="22"/>
                      <w:szCs w:val="22"/>
                    </w:rPr>
                    <w:t>卸油</w:t>
                  </w:r>
                </w:p>
              </w:tc>
              <w:tc>
                <w:tcPr>
                  <w:tcW w:w="660" w:type="dxa"/>
                  <w:vAlign w:val="center"/>
                </w:tcPr>
                <w:p w14:paraId="5B05E09A">
                  <w:pPr>
                    <w:jc w:val="center"/>
                    <w:rPr>
                      <w:rFonts w:hint="eastAsia" w:eastAsia="宋体"/>
                      <w:sz w:val="22"/>
                      <w:szCs w:val="22"/>
                      <w:lang w:val="en-US" w:eastAsia="zh-CN"/>
                    </w:rPr>
                  </w:pPr>
                  <w:r>
                    <w:rPr>
                      <w:rFonts w:hint="eastAsia"/>
                      <w:sz w:val="22"/>
                      <w:szCs w:val="22"/>
                      <w:lang w:val="en-US" w:eastAsia="zh-CN"/>
                    </w:rPr>
                    <w:t>汽油</w:t>
                  </w:r>
                </w:p>
              </w:tc>
              <w:tc>
                <w:tcPr>
                  <w:tcW w:w="1126" w:type="dxa"/>
                  <w:vAlign w:val="center"/>
                </w:tcPr>
                <w:p w14:paraId="33B8D63A">
                  <w:pPr>
                    <w:jc w:val="center"/>
                    <w:rPr>
                      <w:rFonts w:hint="default" w:eastAsia="宋体"/>
                      <w:sz w:val="22"/>
                      <w:szCs w:val="22"/>
                      <w:lang w:val="en-US" w:eastAsia="zh-CN"/>
                    </w:rPr>
                  </w:pPr>
                  <w:r>
                    <w:rPr>
                      <w:rFonts w:hint="eastAsia"/>
                      <w:sz w:val="22"/>
                      <w:szCs w:val="22"/>
                      <w:lang w:val="en-US" w:eastAsia="zh-CN"/>
                    </w:rPr>
                    <w:t>2.49kg/t</w:t>
                  </w:r>
                </w:p>
              </w:tc>
              <w:tc>
                <w:tcPr>
                  <w:tcW w:w="801" w:type="dxa"/>
                  <w:tcBorders>
                    <w:top w:val="single" w:color="auto" w:sz="4" w:space="0"/>
                    <w:left w:val="single" w:color="auto" w:sz="4" w:space="0"/>
                    <w:bottom w:val="single" w:color="auto" w:sz="4" w:space="0"/>
                    <w:right w:val="single" w:color="auto" w:sz="4" w:space="0"/>
                  </w:tcBorders>
                  <w:vAlign w:val="center"/>
                </w:tcPr>
                <w:p w14:paraId="0CDDE804">
                  <w:pPr>
                    <w:jc w:val="center"/>
                    <w:rPr>
                      <w:rFonts w:hint="default" w:eastAsia="宋体"/>
                      <w:sz w:val="22"/>
                      <w:szCs w:val="22"/>
                      <w:lang w:val="en-US" w:eastAsia="zh-CN"/>
                    </w:rPr>
                  </w:pPr>
                  <w:r>
                    <w:rPr>
                      <w:rFonts w:hint="eastAsia"/>
                      <w:sz w:val="22"/>
                      <w:szCs w:val="22"/>
                      <w:lang w:val="en-US" w:eastAsia="zh-CN"/>
                    </w:rPr>
                    <w:t>4150</w:t>
                  </w:r>
                </w:p>
              </w:tc>
              <w:tc>
                <w:tcPr>
                  <w:tcW w:w="863" w:type="dxa"/>
                  <w:tcBorders>
                    <w:top w:val="single" w:color="auto" w:sz="4" w:space="0"/>
                    <w:left w:val="single" w:color="auto" w:sz="4" w:space="0"/>
                    <w:bottom w:val="single" w:color="auto" w:sz="4" w:space="0"/>
                    <w:right w:val="single" w:color="auto" w:sz="4" w:space="0"/>
                  </w:tcBorders>
                  <w:vAlign w:val="center"/>
                </w:tcPr>
                <w:p w14:paraId="3186CD6A">
                  <w:pPr>
                    <w:jc w:val="center"/>
                    <w:rPr>
                      <w:rFonts w:hint="default" w:eastAsia="等线"/>
                      <w:sz w:val="22"/>
                      <w:szCs w:val="22"/>
                      <w:lang w:val="en-US" w:eastAsia="zh-CN"/>
                    </w:rPr>
                  </w:pPr>
                  <w:r>
                    <w:rPr>
                      <w:rFonts w:hint="eastAsia" w:eastAsia="等线"/>
                      <w:sz w:val="22"/>
                      <w:szCs w:val="22"/>
                      <w:lang w:val="en-US" w:eastAsia="zh-CN"/>
                    </w:rPr>
                    <w:t>10.334</w:t>
                  </w:r>
                </w:p>
              </w:tc>
              <w:tc>
                <w:tcPr>
                  <w:tcW w:w="1237" w:type="dxa"/>
                  <w:vAlign w:val="center"/>
                </w:tcPr>
                <w:p w14:paraId="54A895AD">
                  <w:pPr>
                    <w:jc w:val="center"/>
                    <w:rPr>
                      <w:sz w:val="22"/>
                      <w:szCs w:val="22"/>
                    </w:rPr>
                  </w:pPr>
                  <w:r>
                    <w:rPr>
                      <w:sz w:val="22"/>
                      <w:szCs w:val="22"/>
                    </w:rPr>
                    <w:t>9</w:t>
                  </w:r>
                  <w:r>
                    <w:rPr>
                      <w:rFonts w:hint="eastAsia"/>
                      <w:sz w:val="22"/>
                      <w:szCs w:val="22"/>
                      <w:lang w:val="en-US" w:eastAsia="zh-CN"/>
                    </w:rPr>
                    <w:t>0</w:t>
                  </w:r>
                  <w:r>
                    <w:rPr>
                      <w:rFonts w:hint="eastAsia"/>
                      <w:sz w:val="22"/>
                      <w:szCs w:val="22"/>
                    </w:rPr>
                    <w:t>%</w:t>
                  </w:r>
                </w:p>
              </w:tc>
              <w:tc>
                <w:tcPr>
                  <w:tcW w:w="1069" w:type="dxa"/>
                  <w:tcBorders>
                    <w:top w:val="single" w:color="auto" w:sz="4" w:space="0"/>
                    <w:left w:val="single" w:color="auto" w:sz="4" w:space="0"/>
                    <w:bottom w:val="single" w:color="auto" w:sz="4" w:space="0"/>
                    <w:right w:val="single" w:color="auto" w:sz="4" w:space="0"/>
                  </w:tcBorders>
                  <w:vAlign w:val="center"/>
                </w:tcPr>
                <w:p w14:paraId="6BAEB4FE">
                  <w:pPr>
                    <w:jc w:val="center"/>
                    <w:rPr>
                      <w:rFonts w:hint="default" w:eastAsia="宋体"/>
                      <w:sz w:val="22"/>
                      <w:szCs w:val="22"/>
                      <w:lang w:val="en-US" w:eastAsia="zh-CN"/>
                    </w:rPr>
                  </w:pPr>
                  <w:r>
                    <w:rPr>
                      <w:rFonts w:hint="eastAsia"/>
                      <w:sz w:val="22"/>
                      <w:szCs w:val="22"/>
                      <w:lang w:val="en-US" w:eastAsia="zh-CN"/>
                    </w:rPr>
                    <w:t>9.301</w:t>
                  </w:r>
                </w:p>
              </w:tc>
              <w:tc>
                <w:tcPr>
                  <w:tcW w:w="1283" w:type="dxa"/>
                  <w:tcBorders>
                    <w:top w:val="single" w:color="auto" w:sz="4" w:space="0"/>
                    <w:left w:val="nil"/>
                    <w:bottom w:val="single" w:color="auto" w:sz="4" w:space="0"/>
                    <w:right w:val="single" w:color="auto" w:sz="4" w:space="0"/>
                  </w:tcBorders>
                  <w:vAlign w:val="center"/>
                </w:tcPr>
                <w:p w14:paraId="21C9BA59">
                  <w:pPr>
                    <w:jc w:val="center"/>
                    <w:rPr>
                      <w:sz w:val="22"/>
                      <w:szCs w:val="22"/>
                    </w:rPr>
                  </w:pPr>
                  <w:r>
                    <w:rPr>
                      <w:rFonts w:hint="eastAsia"/>
                      <w:sz w:val="22"/>
                      <w:szCs w:val="22"/>
                      <w:lang w:val="en-US" w:eastAsia="zh-CN"/>
                    </w:rPr>
                    <w:t>1.033</w:t>
                  </w:r>
                </w:p>
              </w:tc>
            </w:tr>
            <w:tr w14:paraId="7993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vAlign w:val="center"/>
                </w:tcPr>
                <w:p w14:paraId="00CD7BAA">
                  <w:pPr>
                    <w:jc w:val="center"/>
                    <w:rPr>
                      <w:sz w:val="22"/>
                      <w:szCs w:val="22"/>
                    </w:rPr>
                  </w:pPr>
                </w:p>
              </w:tc>
              <w:tc>
                <w:tcPr>
                  <w:tcW w:w="660" w:type="dxa"/>
                  <w:vAlign w:val="center"/>
                </w:tcPr>
                <w:p w14:paraId="38B870C8">
                  <w:pPr>
                    <w:jc w:val="center"/>
                    <w:rPr>
                      <w:rFonts w:hint="eastAsia" w:eastAsia="宋体"/>
                      <w:sz w:val="22"/>
                      <w:szCs w:val="22"/>
                      <w:lang w:val="en-US" w:eastAsia="zh-CN"/>
                    </w:rPr>
                  </w:pPr>
                  <w:r>
                    <w:rPr>
                      <w:rFonts w:hint="eastAsia"/>
                      <w:sz w:val="22"/>
                      <w:szCs w:val="22"/>
                      <w:lang w:val="en-US" w:eastAsia="zh-CN"/>
                    </w:rPr>
                    <w:t>柴油</w:t>
                  </w:r>
                </w:p>
              </w:tc>
              <w:tc>
                <w:tcPr>
                  <w:tcW w:w="1126" w:type="dxa"/>
                  <w:vAlign w:val="center"/>
                </w:tcPr>
                <w:p w14:paraId="554D90E6">
                  <w:pPr>
                    <w:jc w:val="center"/>
                    <w:rPr>
                      <w:rFonts w:hint="default" w:eastAsia="宋体"/>
                      <w:sz w:val="22"/>
                      <w:szCs w:val="22"/>
                      <w:lang w:val="en-US" w:eastAsia="zh-CN"/>
                    </w:rPr>
                  </w:pPr>
                  <w:r>
                    <w:rPr>
                      <w:rFonts w:hint="eastAsia"/>
                      <w:sz w:val="22"/>
                      <w:szCs w:val="22"/>
                      <w:lang w:val="en-US" w:eastAsia="zh-CN"/>
                    </w:rPr>
                    <w:t>0.048kg/t</w:t>
                  </w:r>
                </w:p>
              </w:tc>
              <w:tc>
                <w:tcPr>
                  <w:tcW w:w="801" w:type="dxa"/>
                  <w:tcBorders>
                    <w:top w:val="nil"/>
                    <w:left w:val="single" w:color="auto" w:sz="4" w:space="0"/>
                    <w:bottom w:val="single" w:color="auto" w:sz="4" w:space="0"/>
                    <w:right w:val="single" w:color="auto" w:sz="4" w:space="0"/>
                  </w:tcBorders>
                  <w:vAlign w:val="center"/>
                </w:tcPr>
                <w:p w14:paraId="662395E3">
                  <w:pPr>
                    <w:jc w:val="center"/>
                    <w:rPr>
                      <w:rFonts w:hint="default" w:eastAsia="宋体"/>
                      <w:sz w:val="22"/>
                      <w:szCs w:val="22"/>
                      <w:lang w:val="en-US" w:eastAsia="zh-CN"/>
                    </w:rPr>
                  </w:pPr>
                  <w:r>
                    <w:rPr>
                      <w:rFonts w:hint="eastAsia"/>
                      <w:sz w:val="22"/>
                      <w:szCs w:val="22"/>
                      <w:lang w:val="en-US" w:eastAsia="zh-CN"/>
                    </w:rPr>
                    <w:t>520</w:t>
                  </w:r>
                </w:p>
              </w:tc>
              <w:tc>
                <w:tcPr>
                  <w:tcW w:w="863" w:type="dxa"/>
                  <w:tcBorders>
                    <w:top w:val="nil"/>
                    <w:left w:val="single" w:color="auto" w:sz="4" w:space="0"/>
                    <w:bottom w:val="single" w:color="auto" w:sz="4" w:space="0"/>
                    <w:right w:val="single" w:color="auto" w:sz="4" w:space="0"/>
                  </w:tcBorders>
                  <w:vAlign w:val="center"/>
                </w:tcPr>
                <w:p w14:paraId="3A88C692">
                  <w:pPr>
                    <w:jc w:val="center"/>
                    <w:rPr>
                      <w:rFonts w:hint="default" w:eastAsia="等线"/>
                      <w:sz w:val="22"/>
                      <w:szCs w:val="22"/>
                      <w:lang w:val="en-US" w:eastAsia="zh-CN"/>
                    </w:rPr>
                  </w:pPr>
                  <w:r>
                    <w:rPr>
                      <w:rFonts w:hint="eastAsia" w:eastAsia="等线"/>
                      <w:sz w:val="22"/>
                      <w:szCs w:val="22"/>
                      <w:lang w:val="en-US" w:eastAsia="zh-CN"/>
                    </w:rPr>
                    <w:t>0.025</w:t>
                  </w:r>
                </w:p>
              </w:tc>
              <w:tc>
                <w:tcPr>
                  <w:tcW w:w="1237" w:type="dxa"/>
                  <w:vAlign w:val="center"/>
                </w:tcPr>
                <w:p w14:paraId="0C8C3F78">
                  <w:pPr>
                    <w:jc w:val="center"/>
                    <w:rPr>
                      <w:rFonts w:hint="eastAsia" w:eastAsia="宋体"/>
                      <w:sz w:val="22"/>
                      <w:szCs w:val="22"/>
                      <w:lang w:eastAsia="zh-CN"/>
                    </w:rPr>
                  </w:pPr>
                  <w:r>
                    <w:rPr>
                      <w:rFonts w:hint="eastAsia"/>
                      <w:sz w:val="22"/>
                      <w:szCs w:val="22"/>
                      <w:lang w:val="en-US" w:eastAsia="zh-CN"/>
                    </w:rPr>
                    <w:t>0</w:t>
                  </w:r>
                </w:p>
              </w:tc>
              <w:tc>
                <w:tcPr>
                  <w:tcW w:w="1069" w:type="dxa"/>
                  <w:tcBorders>
                    <w:top w:val="nil"/>
                    <w:left w:val="single" w:color="auto" w:sz="4" w:space="0"/>
                    <w:bottom w:val="single" w:color="auto" w:sz="4" w:space="0"/>
                    <w:right w:val="single" w:color="auto" w:sz="4" w:space="0"/>
                  </w:tcBorders>
                  <w:vAlign w:val="center"/>
                </w:tcPr>
                <w:p w14:paraId="7767B8E6">
                  <w:pPr>
                    <w:jc w:val="center"/>
                    <w:rPr>
                      <w:rFonts w:hint="eastAsia" w:eastAsia="宋体"/>
                      <w:sz w:val="22"/>
                      <w:szCs w:val="22"/>
                      <w:lang w:eastAsia="zh-CN"/>
                    </w:rPr>
                  </w:pPr>
                  <w:r>
                    <w:rPr>
                      <w:rFonts w:hint="eastAsia" w:eastAsia="等线"/>
                      <w:sz w:val="22"/>
                      <w:szCs w:val="22"/>
                      <w:lang w:val="en-US" w:eastAsia="zh-CN"/>
                    </w:rPr>
                    <w:t>0</w:t>
                  </w:r>
                </w:p>
              </w:tc>
              <w:tc>
                <w:tcPr>
                  <w:tcW w:w="1283" w:type="dxa"/>
                  <w:tcBorders>
                    <w:top w:val="nil"/>
                    <w:left w:val="nil"/>
                    <w:bottom w:val="single" w:color="auto" w:sz="4" w:space="0"/>
                    <w:right w:val="single" w:color="auto" w:sz="4" w:space="0"/>
                  </w:tcBorders>
                  <w:vAlign w:val="center"/>
                </w:tcPr>
                <w:p w14:paraId="0F986E1C">
                  <w:pPr>
                    <w:jc w:val="center"/>
                    <w:rPr>
                      <w:rFonts w:hint="default" w:eastAsia="宋体"/>
                      <w:sz w:val="22"/>
                      <w:szCs w:val="22"/>
                      <w:lang w:val="en-US" w:eastAsia="zh-CN"/>
                    </w:rPr>
                  </w:pPr>
                  <w:r>
                    <w:rPr>
                      <w:rFonts w:hint="eastAsia"/>
                      <w:sz w:val="22"/>
                      <w:szCs w:val="22"/>
                      <w:lang w:val="en-US" w:eastAsia="zh-CN"/>
                    </w:rPr>
                    <w:t>0.025</w:t>
                  </w:r>
                </w:p>
              </w:tc>
            </w:tr>
            <w:tr w14:paraId="2CAC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5" w:type="dxa"/>
                  <w:gridSpan w:val="3"/>
                  <w:vAlign w:val="center"/>
                </w:tcPr>
                <w:p w14:paraId="53A4F723">
                  <w:pPr>
                    <w:jc w:val="center"/>
                    <w:rPr>
                      <w:sz w:val="22"/>
                      <w:szCs w:val="22"/>
                    </w:rPr>
                  </w:pPr>
                  <w:r>
                    <w:rPr>
                      <w:rFonts w:hint="eastAsia"/>
                      <w:sz w:val="22"/>
                      <w:szCs w:val="22"/>
                    </w:rPr>
                    <w:t>合计</w:t>
                  </w:r>
                </w:p>
              </w:tc>
              <w:tc>
                <w:tcPr>
                  <w:tcW w:w="801" w:type="dxa"/>
                  <w:vAlign w:val="center"/>
                </w:tcPr>
                <w:p w14:paraId="3F7C1D09">
                  <w:pPr>
                    <w:jc w:val="center"/>
                    <w:rPr>
                      <w:rFonts w:hint="default" w:eastAsia="宋体"/>
                      <w:sz w:val="22"/>
                      <w:szCs w:val="22"/>
                      <w:lang w:val="en-US" w:eastAsia="zh-CN"/>
                    </w:rPr>
                  </w:pPr>
                  <w:r>
                    <w:rPr>
                      <w:rFonts w:hint="eastAsia"/>
                      <w:sz w:val="22"/>
                      <w:szCs w:val="22"/>
                      <w:lang w:val="en-US" w:eastAsia="zh-CN"/>
                    </w:rPr>
                    <w:t>4670</w:t>
                  </w:r>
                </w:p>
              </w:tc>
              <w:tc>
                <w:tcPr>
                  <w:tcW w:w="863" w:type="dxa"/>
                  <w:vAlign w:val="center"/>
                </w:tcPr>
                <w:p w14:paraId="097860E5">
                  <w:pPr>
                    <w:jc w:val="center"/>
                    <w:rPr>
                      <w:rFonts w:hint="default" w:eastAsia="宋体"/>
                      <w:sz w:val="22"/>
                      <w:szCs w:val="22"/>
                      <w:lang w:val="en-US" w:eastAsia="zh-CN"/>
                    </w:rPr>
                  </w:pPr>
                  <w:r>
                    <w:rPr>
                      <w:rFonts w:hint="eastAsia"/>
                      <w:sz w:val="22"/>
                      <w:szCs w:val="22"/>
                      <w:lang w:val="en-US" w:eastAsia="zh-CN"/>
                    </w:rPr>
                    <w:t>10.359</w:t>
                  </w:r>
                </w:p>
              </w:tc>
              <w:tc>
                <w:tcPr>
                  <w:tcW w:w="1237" w:type="dxa"/>
                  <w:tcBorders>
                    <w:top w:val="nil"/>
                    <w:left w:val="single" w:color="auto" w:sz="4" w:space="0"/>
                    <w:bottom w:val="single" w:color="auto" w:sz="4" w:space="0"/>
                    <w:right w:val="single" w:color="auto" w:sz="4" w:space="0"/>
                  </w:tcBorders>
                  <w:vAlign w:val="center"/>
                </w:tcPr>
                <w:p w14:paraId="48D5CFFE">
                  <w:pPr>
                    <w:jc w:val="center"/>
                    <w:rPr>
                      <w:sz w:val="22"/>
                      <w:szCs w:val="22"/>
                    </w:rPr>
                  </w:pPr>
                  <w:r>
                    <w:rPr>
                      <w:rFonts w:eastAsia="等线"/>
                      <w:sz w:val="22"/>
                      <w:szCs w:val="22"/>
                    </w:rPr>
                    <w:t>/</w:t>
                  </w:r>
                </w:p>
              </w:tc>
              <w:tc>
                <w:tcPr>
                  <w:tcW w:w="1069" w:type="dxa"/>
                  <w:vAlign w:val="center"/>
                </w:tcPr>
                <w:p w14:paraId="03936869">
                  <w:pPr>
                    <w:jc w:val="center"/>
                    <w:rPr>
                      <w:rFonts w:hint="default" w:eastAsia="宋体"/>
                      <w:sz w:val="22"/>
                      <w:szCs w:val="22"/>
                      <w:lang w:val="en-US" w:eastAsia="zh-CN"/>
                    </w:rPr>
                  </w:pPr>
                  <w:r>
                    <w:rPr>
                      <w:rFonts w:hint="eastAsia"/>
                      <w:sz w:val="22"/>
                      <w:szCs w:val="22"/>
                      <w:lang w:val="en-US" w:eastAsia="zh-CN"/>
                    </w:rPr>
                    <w:t>9.301</w:t>
                  </w:r>
                </w:p>
              </w:tc>
              <w:tc>
                <w:tcPr>
                  <w:tcW w:w="1283" w:type="dxa"/>
                  <w:vAlign w:val="center"/>
                </w:tcPr>
                <w:p w14:paraId="5F3CF583">
                  <w:pPr>
                    <w:jc w:val="center"/>
                    <w:rPr>
                      <w:rFonts w:hint="default" w:eastAsia="宋体"/>
                      <w:sz w:val="22"/>
                      <w:szCs w:val="22"/>
                      <w:lang w:val="en-US" w:eastAsia="zh-CN"/>
                    </w:rPr>
                  </w:pPr>
                  <w:r>
                    <w:rPr>
                      <w:rFonts w:hint="eastAsia"/>
                      <w:sz w:val="22"/>
                      <w:szCs w:val="22"/>
                      <w:lang w:val="en-US" w:eastAsia="zh-CN"/>
                    </w:rPr>
                    <w:t>1.058</w:t>
                  </w:r>
                </w:p>
              </w:tc>
            </w:tr>
          </w:tbl>
          <w:p w14:paraId="298E42E8">
            <w:pPr>
              <w:pStyle w:val="5"/>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bCs/>
                <w:color w:val="auto"/>
                <w:sz w:val="26"/>
                <w:szCs w:val="26"/>
              </w:rPr>
            </w:pPr>
            <w:r>
              <w:rPr>
                <w:rFonts w:hint="eastAsia"/>
                <w:bCs/>
                <w:color w:val="auto"/>
                <w:sz w:val="26"/>
                <w:szCs w:val="26"/>
              </w:rPr>
              <w:t>由上表4</w:t>
            </w:r>
            <w:r>
              <w:rPr>
                <w:bCs/>
                <w:color w:val="auto"/>
                <w:sz w:val="26"/>
                <w:szCs w:val="26"/>
              </w:rPr>
              <w:t>.2</w:t>
            </w:r>
            <w:r>
              <w:rPr>
                <w:rFonts w:hint="eastAsia"/>
                <w:bCs/>
                <w:color w:val="auto"/>
                <w:sz w:val="26"/>
                <w:szCs w:val="26"/>
                <w:lang w:val="en-US" w:eastAsia="zh-CN"/>
              </w:rPr>
              <w:t>-3</w:t>
            </w:r>
            <w:r>
              <w:rPr>
                <w:rFonts w:hint="eastAsia"/>
                <w:bCs/>
                <w:color w:val="auto"/>
                <w:sz w:val="26"/>
                <w:szCs w:val="26"/>
              </w:rPr>
              <w:t>可知，本项目汽油</w:t>
            </w:r>
            <w:r>
              <w:rPr>
                <w:rFonts w:hint="eastAsia"/>
                <w:bCs/>
                <w:color w:val="auto"/>
                <w:sz w:val="26"/>
                <w:szCs w:val="26"/>
                <w:lang w:val="en-US" w:eastAsia="zh-CN"/>
              </w:rPr>
              <w:t>加油过程</w:t>
            </w:r>
            <w:r>
              <w:rPr>
                <w:rFonts w:hint="eastAsia"/>
                <w:bCs/>
                <w:color w:val="auto"/>
                <w:sz w:val="26"/>
                <w:szCs w:val="26"/>
              </w:rPr>
              <w:t>产生油气量为</w:t>
            </w:r>
            <w:r>
              <w:rPr>
                <w:rFonts w:hint="eastAsia"/>
                <w:bCs/>
                <w:color w:val="auto"/>
                <w:sz w:val="26"/>
                <w:szCs w:val="26"/>
                <w:lang w:val="en-US" w:eastAsia="zh-CN"/>
              </w:rPr>
              <w:t>10.334</w:t>
            </w:r>
            <w:r>
              <w:rPr>
                <w:rFonts w:hint="eastAsia"/>
                <w:bCs/>
                <w:color w:val="auto"/>
                <w:sz w:val="26"/>
                <w:szCs w:val="26"/>
              </w:rPr>
              <w:t>t/a。</w:t>
            </w:r>
            <w:r>
              <w:rPr>
                <w:rFonts w:hint="eastAsia"/>
                <w:bCs/>
                <w:color w:val="auto"/>
                <w:sz w:val="26"/>
                <w:szCs w:val="26"/>
                <w:lang w:val="en-US" w:eastAsia="zh-CN"/>
              </w:rPr>
              <w:t>车辆加注汽油产生的汽油</w:t>
            </w:r>
            <w:r>
              <w:rPr>
                <w:rFonts w:hint="eastAsia"/>
                <w:bCs/>
                <w:color w:val="auto"/>
                <w:sz w:val="26"/>
                <w:szCs w:val="26"/>
              </w:rPr>
              <w:t>油气通过</w:t>
            </w:r>
            <w:r>
              <w:rPr>
                <w:rFonts w:hint="eastAsia"/>
                <w:bCs/>
                <w:color w:val="auto"/>
                <w:sz w:val="26"/>
                <w:szCs w:val="26"/>
                <w:lang w:val="en-US" w:eastAsia="zh-CN"/>
              </w:rPr>
              <w:t>二次</w:t>
            </w:r>
            <w:r>
              <w:rPr>
                <w:rFonts w:hint="eastAsia"/>
                <w:bCs/>
                <w:color w:val="auto"/>
                <w:sz w:val="26"/>
                <w:szCs w:val="26"/>
              </w:rPr>
              <w:t>油气回收管回收至</w:t>
            </w:r>
            <w:r>
              <w:rPr>
                <w:rFonts w:hint="eastAsia"/>
                <w:bCs/>
                <w:color w:val="auto"/>
                <w:sz w:val="26"/>
                <w:szCs w:val="26"/>
                <w:lang w:val="en-US" w:eastAsia="zh-CN"/>
              </w:rPr>
              <w:t>相应油品</w:t>
            </w:r>
            <w:r>
              <w:rPr>
                <w:rFonts w:hint="eastAsia"/>
                <w:bCs/>
                <w:color w:val="auto"/>
                <w:sz w:val="26"/>
                <w:szCs w:val="26"/>
              </w:rPr>
              <w:t>油罐内</w:t>
            </w:r>
            <w:r>
              <w:rPr>
                <w:rFonts w:hint="eastAsia"/>
                <w:bCs/>
                <w:color w:val="auto"/>
                <w:sz w:val="26"/>
                <w:szCs w:val="26"/>
                <w:lang w:eastAsia="zh-CN"/>
              </w:rPr>
              <w:t>（</w:t>
            </w:r>
            <w:r>
              <w:rPr>
                <w:rFonts w:hint="eastAsia"/>
                <w:bCs/>
                <w:color w:val="auto"/>
                <w:sz w:val="26"/>
                <w:szCs w:val="26"/>
                <w:lang w:val="en-US" w:eastAsia="zh-CN"/>
              </w:rPr>
              <w:t>二次油气回收系统回收效率取90%</w:t>
            </w:r>
            <w:r>
              <w:rPr>
                <w:rFonts w:hint="eastAsia"/>
                <w:bCs/>
                <w:color w:val="auto"/>
                <w:sz w:val="26"/>
                <w:szCs w:val="26"/>
                <w:lang w:eastAsia="zh-CN"/>
              </w:rPr>
              <w:t>）</w:t>
            </w:r>
            <w:r>
              <w:rPr>
                <w:rFonts w:hint="eastAsia"/>
                <w:bCs/>
                <w:color w:val="auto"/>
                <w:sz w:val="26"/>
                <w:szCs w:val="26"/>
              </w:rPr>
              <w:t>；</w:t>
            </w:r>
            <w:r>
              <w:rPr>
                <w:rFonts w:hint="eastAsia"/>
                <w:bCs/>
                <w:color w:val="auto"/>
                <w:sz w:val="26"/>
                <w:szCs w:val="26"/>
                <w:lang w:val="en-US" w:eastAsia="zh-CN"/>
              </w:rPr>
              <w:t>车辆加注柴油产生的柴油油气产生量为0.025t/a，柴油油气逸出后散排进入外环境。</w:t>
            </w:r>
          </w:p>
          <w:p w14:paraId="478BAF8E">
            <w:pPr>
              <w:adjustRightInd w:val="0"/>
              <w:snapToGrid w:val="0"/>
              <w:spacing w:line="460" w:lineRule="exact"/>
              <w:ind w:firstLine="520" w:firstLineChars="200"/>
              <w:rPr>
                <w:bCs/>
                <w:color w:val="auto"/>
                <w:sz w:val="26"/>
                <w:szCs w:val="26"/>
              </w:rPr>
            </w:pPr>
            <w:r>
              <w:rPr>
                <w:rFonts w:hint="eastAsia"/>
                <w:bCs/>
                <w:color w:val="auto"/>
                <w:sz w:val="26"/>
                <w:szCs w:val="26"/>
                <w:lang w:val="en-US" w:eastAsia="zh-CN"/>
              </w:rPr>
              <w:t>综上所述</w:t>
            </w:r>
            <w:r>
              <w:rPr>
                <w:rFonts w:hint="eastAsia"/>
                <w:bCs/>
                <w:color w:val="auto"/>
                <w:sz w:val="26"/>
                <w:szCs w:val="26"/>
              </w:rPr>
              <w:t>，加油站汽</w:t>
            </w:r>
            <w:r>
              <w:rPr>
                <w:rFonts w:hint="eastAsia"/>
                <w:bCs/>
                <w:color w:val="auto"/>
                <w:sz w:val="26"/>
                <w:szCs w:val="26"/>
                <w:lang w:eastAsia="zh-CN"/>
              </w:rPr>
              <w:t>、</w:t>
            </w:r>
            <w:r>
              <w:rPr>
                <w:rFonts w:hint="eastAsia"/>
                <w:bCs/>
                <w:color w:val="auto"/>
                <w:sz w:val="26"/>
                <w:szCs w:val="26"/>
              </w:rPr>
              <w:t>柴油油气损耗总产生油气量为</w:t>
            </w:r>
            <w:r>
              <w:rPr>
                <w:rFonts w:hint="eastAsia"/>
                <w:bCs/>
                <w:color w:val="auto"/>
                <w:sz w:val="26"/>
                <w:szCs w:val="26"/>
                <w:lang w:val="en-US" w:eastAsia="zh-CN"/>
              </w:rPr>
              <w:t>20.582</w:t>
            </w:r>
            <w:r>
              <w:rPr>
                <w:rFonts w:hint="eastAsia"/>
                <w:bCs/>
                <w:color w:val="auto"/>
                <w:sz w:val="26"/>
                <w:szCs w:val="26"/>
              </w:rPr>
              <w:t>t/a。损耗的汽油经</w:t>
            </w:r>
            <w:r>
              <w:rPr>
                <w:rFonts w:hint="eastAsia"/>
                <w:bCs/>
                <w:color w:val="auto"/>
                <w:sz w:val="26"/>
                <w:szCs w:val="26"/>
                <w:lang w:val="en-US" w:eastAsia="zh-CN"/>
              </w:rPr>
              <w:t>一次</w:t>
            </w:r>
            <w:r>
              <w:rPr>
                <w:rFonts w:hint="eastAsia"/>
                <w:bCs/>
                <w:color w:val="auto"/>
                <w:sz w:val="26"/>
                <w:szCs w:val="26"/>
              </w:rPr>
              <w:t>油气回收系统</w:t>
            </w:r>
            <w:r>
              <w:rPr>
                <w:rFonts w:hint="eastAsia"/>
                <w:bCs/>
                <w:color w:val="auto"/>
                <w:sz w:val="26"/>
                <w:szCs w:val="26"/>
                <w:lang w:eastAsia="zh-CN"/>
              </w:rPr>
              <w:t>、</w:t>
            </w:r>
            <w:r>
              <w:rPr>
                <w:rFonts w:hint="eastAsia"/>
                <w:bCs/>
                <w:color w:val="auto"/>
                <w:sz w:val="26"/>
                <w:szCs w:val="26"/>
                <w:lang w:val="en-US" w:eastAsia="zh-CN"/>
              </w:rPr>
              <w:t>二次</w:t>
            </w:r>
            <w:r>
              <w:rPr>
                <w:rFonts w:hint="eastAsia"/>
                <w:bCs/>
                <w:color w:val="auto"/>
                <w:sz w:val="26"/>
                <w:szCs w:val="26"/>
              </w:rPr>
              <w:t>油气回收系统</w:t>
            </w:r>
            <w:r>
              <w:rPr>
                <w:rFonts w:hint="eastAsia"/>
                <w:bCs/>
                <w:color w:val="auto"/>
                <w:sz w:val="26"/>
                <w:szCs w:val="26"/>
                <w:lang w:val="en-US" w:eastAsia="zh-CN"/>
              </w:rPr>
              <w:t>和三次油气回收系统</w:t>
            </w:r>
            <w:r>
              <w:rPr>
                <w:rFonts w:hint="eastAsia"/>
                <w:bCs/>
                <w:color w:val="auto"/>
                <w:sz w:val="26"/>
                <w:szCs w:val="26"/>
              </w:rPr>
              <w:t>回收后，加油站油气排放总量约</w:t>
            </w:r>
            <w:r>
              <w:rPr>
                <w:rFonts w:hint="eastAsia"/>
                <w:bCs/>
                <w:color w:val="auto"/>
                <w:sz w:val="26"/>
                <w:szCs w:val="26"/>
                <w:lang w:val="en-US" w:eastAsia="zh-CN"/>
              </w:rPr>
              <w:t>1.582</w:t>
            </w:r>
            <w:r>
              <w:rPr>
                <w:rFonts w:hint="eastAsia"/>
                <w:bCs/>
                <w:color w:val="auto"/>
                <w:sz w:val="26"/>
                <w:szCs w:val="26"/>
              </w:rPr>
              <w:t>t/a。</w:t>
            </w:r>
          </w:p>
          <w:p w14:paraId="54DAB6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6"/>
                <w:szCs w:val="26"/>
              </w:rPr>
            </w:pPr>
            <w:r>
              <w:rPr>
                <w:sz w:val="22"/>
                <w:szCs w:val="22"/>
              </w:rPr>
              <w:t>表4.2</w:t>
            </w:r>
            <w:r>
              <w:rPr>
                <w:rFonts w:hint="eastAsia"/>
                <w:sz w:val="22"/>
                <w:szCs w:val="22"/>
                <w:lang w:val="en-US" w:eastAsia="zh-CN"/>
              </w:rPr>
              <w:t>-4  加油站</w:t>
            </w:r>
            <w:r>
              <w:rPr>
                <w:rFonts w:hint="eastAsia"/>
                <w:sz w:val="22"/>
                <w:szCs w:val="22"/>
              </w:rPr>
              <w:t>非甲烷总烃产生、削减及排放情况一览表</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99"/>
              <w:gridCol w:w="1100"/>
              <w:gridCol w:w="1100"/>
              <w:gridCol w:w="1100"/>
              <w:gridCol w:w="1100"/>
              <w:gridCol w:w="1100"/>
            </w:tblGrid>
            <w:tr w14:paraId="4A45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Align w:val="center"/>
                </w:tcPr>
                <w:p w14:paraId="6587C86C">
                  <w:pPr>
                    <w:adjustRightInd w:val="0"/>
                    <w:snapToGrid w:val="0"/>
                    <w:jc w:val="center"/>
                    <w:rPr>
                      <w:bCs/>
                      <w:sz w:val="22"/>
                      <w:szCs w:val="22"/>
                    </w:rPr>
                  </w:pPr>
                  <w:r>
                    <w:rPr>
                      <w:rFonts w:hint="eastAsia"/>
                      <w:bCs/>
                      <w:sz w:val="22"/>
                      <w:szCs w:val="22"/>
                    </w:rPr>
                    <w:t>产生源</w:t>
                  </w:r>
                </w:p>
              </w:tc>
              <w:tc>
                <w:tcPr>
                  <w:tcW w:w="1099" w:type="dxa"/>
                  <w:vAlign w:val="center"/>
                </w:tcPr>
                <w:p w14:paraId="2520C90D">
                  <w:pPr>
                    <w:adjustRightInd w:val="0"/>
                    <w:snapToGrid w:val="0"/>
                    <w:jc w:val="center"/>
                    <w:rPr>
                      <w:bCs/>
                      <w:sz w:val="22"/>
                      <w:szCs w:val="22"/>
                    </w:rPr>
                  </w:pPr>
                  <w:r>
                    <w:rPr>
                      <w:rFonts w:hint="eastAsia"/>
                      <w:bCs/>
                      <w:sz w:val="22"/>
                      <w:szCs w:val="22"/>
                    </w:rPr>
                    <w:t>产生源</w:t>
                  </w:r>
                </w:p>
              </w:tc>
              <w:tc>
                <w:tcPr>
                  <w:tcW w:w="1100" w:type="dxa"/>
                  <w:vAlign w:val="center"/>
                </w:tcPr>
                <w:p w14:paraId="75CDCE30">
                  <w:pPr>
                    <w:adjustRightInd w:val="0"/>
                    <w:snapToGrid w:val="0"/>
                    <w:jc w:val="center"/>
                    <w:rPr>
                      <w:bCs/>
                      <w:sz w:val="22"/>
                      <w:szCs w:val="22"/>
                    </w:rPr>
                  </w:pPr>
                  <w:r>
                    <w:rPr>
                      <w:rFonts w:hint="eastAsia"/>
                      <w:bCs/>
                      <w:sz w:val="22"/>
                      <w:szCs w:val="22"/>
                    </w:rPr>
                    <w:t>产生量（t</w:t>
                  </w:r>
                  <w:r>
                    <w:rPr>
                      <w:bCs/>
                      <w:sz w:val="22"/>
                      <w:szCs w:val="22"/>
                    </w:rPr>
                    <w:t>/a</w:t>
                  </w:r>
                  <w:r>
                    <w:rPr>
                      <w:rFonts w:hint="eastAsia"/>
                      <w:bCs/>
                      <w:sz w:val="22"/>
                      <w:szCs w:val="22"/>
                    </w:rPr>
                    <w:t>）</w:t>
                  </w:r>
                </w:p>
              </w:tc>
              <w:tc>
                <w:tcPr>
                  <w:tcW w:w="1100" w:type="dxa"/>
                  <w:vAlign w:val="center"/>
                </w:tcPr>
                <w:p w14:paraId="736BF8CD">
                  <w:pPr>
                    <w:adjustRightInd w:val="0"/>
                    <w:snapToGrid w:val="0"/>
                    <w:jc w:val="center"/>
                    <w:rPr>
                      <w:bCs/>
                      <w:sz w:val="22"/>
                      <w:szCs w:val="22"/>
                    </w:rPr>
                  </w:pPr>
                  <w:r>
                    <w:rPr>
                      <w:rFonts w:hint="eastAsia"/>
                      <w:bCs/>
                      <w:sz w:val="22"/>
                      <w:szCs w:val="22"/>
                    </w:rPr>
                    <w:t>回收方式回收率</w:t>
                  </w:r>
                </w:p>
              </w:tc>
              <w:tc>
                <w:tcPr>
                  <w:tcW w:w="1100" w:type="dxa"/>
                  <w:vAlign w:val="center"/>
                </w:tcPr>
                <w:p w14:paraId="1034C9EF">
                  <w:pPr>
                    <w:adjustRightInd w:val="0"/>
                    <w:snapToGrid w:val="0"/>
                    <w:jc w:val="center"/>
                    <w:rPr>
                      <w:bCs/>
                      <w:sz w:val="22"/>
                      <w:szCs w:val="22"/>
                    </w:rPr>
                  </w:pPr>
                  <w:r>
                    <w:rPr>
                      <w:rFonts w:hint="eastAsia"/>
                      <w:bCs/>
                      <w:sz w:val="22"/>
                      <w:szCs w:val="22"/>
                    </w:rPr>
                    <w:t>回收后油品去向</w:t>
                  </w:r>
                </w:p>
              </w:tc>
              <w:tc>
                <w:tcPr>
                  <w:tcW w:w="1100" w:type="dxa"/>
                  <w:vAlign w:val="center"/>
                </w:tcPr>
                <w:p w14:paraId="54339A3C">
                  <w:pPr>
                    <w:adjustRightInd w:val="0"/>
                    <w:snapToGrid w:val="0"/>
                    <w:jc w:val="center"/>
                    <w:rPr>
                      <w:bCs/>
                      <w:sz w:val="22"/>
                      <w:szCs w:val="22"/>
                    </w:rPr>
                  </w:pPr>
                  <w:r>
                    <w:rPr>
                      <w:rFonts w:hint="eastAsia"/>
                      <w:bCs/>
                      <w:sz w:val="22"/>
                      <w:szCs w:val="22"/>
                    </w:rPr>
                    <w:t>回收量（t</w:t>
                  </w:r>
                  <w:r>
                    <w:rPr>
                      <w:bCs/>
                      <w:sz w:val="22"/>
                      <w:szCs w:val="22"/>
                    </w:rPr>
                    <w:t>/a</w:t>
                  </w:r>
                  <w:r>
                    <w:rPr>
                      <w:rFonts w:hint="eastAsia"/>
                      <w:bCs/>
                      <w:sz w:val="22"/>
                      <w:szCs w:val="22"/>
                    </w:rPr>
                    <w:t>）</w:t>
                  </w:r>
                </w:p>
              </w:tc>
              <w:tc>
                <w:tcPr>
                  <w:tcW w:w="1100" w:type="dxa"/>
                  <w:vAlign w:val="center"/>
                </w:tcPr>
                <w:p w14:paraId="5AB0C36A">
                  <w:pPr>
                    <w:adjustRightInd w:val="0"/>
                    <w:snapToGrid w:val="0"/>
                    <w:jc w:val="center"/>
                    <w:rPr>
                      <w:bCs/>
                      <w:sz w:val="22"/>
                      <w:szCs w:val="22"/>
                    </w:rPr>
                  </w:pPr>
                  <w:r>
                    <w:rPr>
                      <w:rFonts w:hint="eastAsia"/>
                      <w:bCs/>
                      <w:sz w:val="22"/>
                      <w:szCs w:val="22"/>
                    </w:rPr>
                    <w:t>排放量（t</w:t>
                  </w:r>
                  <w:r>
                    <w:rPr>
                      <w:bCs/>
                      <w:sz w:val="22"/>
                      <w:szCs w:val="22"/>
                    </w:rPr>
                    <w:t>/a</w:t>
                  </w:r>
                  <w:r>
                    <w:rPr>
                      <w:rFonts w:hint="eastAsia"/>
                      <w:bCs/>
                      <w:sz w:val="22"/>
                      <w:szCs w:val="22"/>
                    </w:rPr>
                    <w:t>）</w:t>
                  </w:r>
                </w:p>
              </w:tc>
            </w:tr>
            <w:tr w14:paraId="4F7A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Merge w:val="restart"/>
                  <w:vAlign w:val="center"/>
                </w:tcPr>
                <w:p w14:paraId="6E48DFED">
                  <w:pPr>
                    <w:adjustRightInd w:val="0"/>
                    <w:snapToGrid w:val="0"/>
                    <w:jc w:val="center"/>
                    <w:rPr>
                      <w:bCs/>
                      <w:sz w:val="22"/>
                      <w:szCs w:val="22"/>
                    </w:rPr>
                  </w:pPr>
                  <w:r>
                    <w:rPr>
                      <w:rFonts w:hint="eastAsia"/>
                      <w:bCs/>
                      <w:sz w:val="22"/>
                      <w:szCs w:val="22"/>
                    </w:rPr>
                    <w:t>卸油作业</w:t>
                  </w:r>
                </w:p>
              </w:tc>
              <w:tc>
                <w:tcPr>
                  <w:tcW w:w="1099" w:type="dxa"/>
                  <w:vAlign w:val="center"/>
                </w:tcPr>
                <w:p w14:paraId="7CC382F3">
                  <w:pPr>
                    <w:adjustRightInd w:val="0"/>
                    <w:snapToGrid w:val="0"/>
                    <w:jc w:val="center"/>
                    <w:rPr>
                      <w:bCs/>
                      <w:sz w:val="22"/>
                      <w:szCs w:val="22"/>
                    </w:rPr>
                  </w:pPr>
                  <w:r>
                    <w:rPr>
                      <w:rFonts w:hint="eastAsia"/>
                      <w:bCs/>
                      <w:sz w:val="22"/>
                      <w:szCs w:val="22"/>
                    </w:rPr>
                    <w:t>柴油</w:t>
                  </w:r>
                </w:p>
              </w:tc>
              <w:tc>
                <w:tcPr>
                  <w:tcW w:w="1100" w:type="dxa"/>
                  <w:tcBorders>
                    <w:top w:val="single" w:color="auto" w:sz="4" w:space="0"/>
                    <w:left w:val="single" w:color="auto" w:sz="4" w:space="0"/>
                    <w:bottom w:val="single" w:color="auto" w:sz="4" w:space="0"/>
                    <w:right w:val="single" w:color="auto" w:sz="4" w:space="0"/>
                  </w:tcBorders>
                  <w:vAlign w:val="center"/>
                </w:tcPr>
                <w:p w14:paraId="7383AE38">
                  <w:pPr>
                    <w:adjustRightInd w:val="0"/>
                    <w:snapToGrid w:val="0"/>
                    <w:jc w:val="center"/>
                    <w:rPr>
                      <w:rFonts w:hint="default" w:eastAsia="宋体"/>
                      <w:bCs/>
                      <w:sz w:val="22"/>
                      <w:szCs w:val="22"/>
                      <w:lang w:val="en-US" w:eastAsia="zh-CN"/>
                    </w:rPr>
                  </w:pPr>
                  <w:r>
                    <w:rPr>
                      <w:rFonts w:hint="eastAsia"/>
                      <w:bCs/>
                      <w:sz w:val="22"/>
                      <w:szCs w:val="22"/>
                      <w:lang w:val="en-US" w:eastAsia="zh-CN"/>
                    </w:rPr>
                    <w:t>0.014</w:t>
                  </w:r>
                </w:p>
              </w:tc>
              <w:tc>
                <w:tcPr>
                  <w:tcW w:w="1100" w:type="dxa"/>
                  <w:vAlign w:val="center"/>
                </w:tcPr>
                <w:p w14:paraId="1DBF839F">
                  <w:pPr>
                    <w:adjustRightInd w:val="0"/>
                    <w:snapToGrid w:val="0"/>
                    <w:jc w:val="center"/>
                    <w:rPr>
                      <w:bCs/>
                      <w:sz w:val="22"/>
                      <w:szCs w:val="22"/>
                    </w:rPr>
                  </w:pPr>
                  <w:r>
                    <w:rPr>
                      <w:rFonts w:hint="eastAsia"/>
                      <w:bCs/>
                      <w:sz w:val="22"/>
                      <w:szCs w:val="22"/>
                    </w:rPr>
                    <w:t>/</w:t>
                  </w:r>
                </w:p>
              </w:tc>
              <w:tc>
                <w:tcPr>
                  <w:tcW w:w="1100" w:type="dxa"/>
                  <w:vAlign w:val="center"/>
                </w:tcPr>
                <w:p w14:paraId="5729262E">
                  <w:pPr>
                    <w:adjustRightInd w:val="0"/>
                    <w:snapToGrid w:val="0"/>
                    <w:jc w:val="center"/>
                    <w:rPr>
                      <w:bCs/>
                      <w:sz w:val="22"/>
                      <w:szCs w:val="22"/>
                    </w:rPr>
                  </w:pPr>
                  <w:r>
                    <w:rPr>
                      <w:rFonts w:hint="eastAsia"/>
                      <w:bCs/>
                      <w:sz w:val="22"/>
                      <w:szCs w:val="22"/>
                    </w:rPr>
                    <w:t>/</w:t>
                  </w:r>
                </w:p>
              </w:tc>
              <w:tc>
                <w:tcPr>
                  <w:tcW w:w="1100" w:type="dxa"/>
                  <w:vAlign w:val="center"/>
                </w:tcPr>
                <w:p w14:paraId="60AA8E1F">
                  <w:pPr>
                    <w:adjustRightInd w:val="0"/>
                    <w:snapToGrid w:val="0"/>
                    <w:jc w:val="center"/>
                    <w:rPr>
                      <w:bCs/>
                      <w:sz w:val="22"/>
                      <w:szCs w:val="22"/>
                    </w:rPr>
                  </w:pPr>
                  <w:r>
                    <w:rPr>
                      <w:rFonts w:hint="eastAsia"/>
                      <w:bCs/>
                      <w:sz w:val="22"/>
                      <w:szCs w:val="22"/>
                    </w:rPr>
                    <w:t>/</w:t>
                  </w:r>
                </w:p>
              </w:tc>
              <w:tc>
                <w:tcPr>
                  <w:tcW w:w="1100" w:type="dxa"/>
                  <w:tcBorders>
                    <w:top w:val="single" w:color="auto" w:sz="4" w:space="0"/>
                    <w:left w:val="single" w:color="auto" w:sz="4" w:space="0"/>
                    <w:bottom w:val="single" w:color="auto" w:sz="4" w:space="0"/>
                    <w:right w:val="single" w:color="auto" w:sz="4" w:space="0"/>
                  </w:tcBorders>
                  <w:vAlign w:val="center"/>
                </w:tcPr>
                <w:p w14:paraId="0A1B2C2F">
                  <w:pPr>
                    <w:adjustRightInd w:val="0"/>
                    <w:snapToGrid w:val="0"/>
                    <w:jc w:val="center"/>
                    <w:rPr>
                      <w:rFonts w:hint="default" w:eastAsia="等线"/>
                      <w:bCs/>
                      <w:sz w:val="22"/>
                      <w:szCs w:val="22"/>
                      <w:lang w:val="en-US" w:eastAsia="zh-CN"/>
                    </w:rPr>
                  </w:pPr>
                  <w:r>
                    <w:rPr>
                      <w:rFonts w:hint="eastAsia" w:eastAsia="等线"/>
                      <w:sz w:val="22"/>
                      <w:szCs w:val="22"/>
                    </w:rPr>
                    <w:t>0.</w:t>
                  </w:r>
                  <w:r>
                    <w:rPr>
                      <w:rFonts w:hint="eastAsia" w:eastAsia="等线"/>
                      <w:sz w:val="22"/>
                      <w:szCs w:val="22"/>
                      <w:lang w:val="en-US" w:eastAsia="zh-CN"/>
                    </w:rPr>
                    <w:t>014</w:t>
                  </w:r>
                </w:p>
              </w:tc>
            </w:tr>
            <w:tr w14:paraId="5BEF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Merge w:val="continue"/>
                  <w:vAlign w:val="center"/>
                </w:tcPr>
                <w:p w14:paraId="30C9B69D">
                  <w:pPr>
                    <w:adjustRightInd w:val="0"/>
                    <w:snapToGrid w:val="0"/>
                    <w:jc w:val="center"/>
                    <w:rPr>
                      <w:bCs/>
                      <w:sz w:val="22"/>
                      <w:szCs w:val="22"/>
                    </w:rPr>
                  </w:pPr>
                </w:p>
              </w:tc>
              <w:tc>
                <w:tcPr>
                  <w:tcW w:w="1099" w:type="dxa"/>
                  <w:vAlign w:val="center"/>
                </w:tcPr>
                <w:p w14:paraId="456F738F">
                  <w:pPr>
                    <w:adjustRightInd w:val="0"/>
                    <w:snapToGrid w:val="0"/>
                    <w:jc w:val="center"/>
                    <w:rPr>
                      <w:bCs/>
                      <w:sz w:val="22"/>
                      <w:szCs w:val="22"/>
                    </w:rPr>
                  </w:pPr>
                  <w:r>
                    <w:rPr>
                      <w:rFonts w:hint="eastAsia"/>
                      <w:bCs/>
                      <w:sz w:val="22"/>
                      <w:szCs w:val="22"/>
                    </w:rPr>
                    <w:t>汽油</w:t>
                  </w:r>
                </w:p>
              </w:tc>
              <w:tc>
                <w:tcPr>
                  <w:tcW w:w="1100" w:type="dxa"/>
                  <w:tcBorders>
                    <w:top w:val="nil"/>
                    <w:left w:val="single" w:color="auto" w:sz="4" w:space="0"/>
                    <w:bottom w:val="single" w:color="auto" w:sz="4" w:space="0"/>
                    <w:right w:val="single" w:color="auto" w:sz="4" w:space="0"/>
                  </w:tcBorders>
                  <w:vAlign w:val="center"/>
                </w:tcPr>
                <w:p w14:paraId="5FB11C93">
                  <w:pPr>
                    <w:adjustRightInd w:val="0"/>
                    <w:snapToGrid w:val="0"/>
                    <w:jc w:val="center"/>
                    <w:rPr>
                      <w:rFonts w:hint="default" w:eastAsia="宋体"/>
                      <w:bCs/>
                      <w:sz w:val="22"/>
                      <w:szCs w:val="22"/>
                      <w:lang w:val="en-US" w:eastAsia="zh-CN"/>
                    </w:rPr>
                  </w:pPr>
                  <w:r>
                    <w:rPr>
                      <w:rFonts w:hint="eastAsia"/>
                      <w:bCs/>
                      <w:sz w:val="22"/>
                      <w:szCs w:val="22"/>
                      <w:lang w:val="en-US" w:eastAsia="zh-CN"/>
                    </w:rPr>
                    <w:t>9.545</w:t>
                  </w:r>
                </w:p>
              </w:tc>
              <w:tc>
                <w:tcPr>
                  <w:tcW w:w="1100" w:type="dxa"/>
                  <w:vAlign w:val="center"/>
                </w:tcPr>
                <w:p w14:paraId="28A21543">
                  <w:pPr>
                    <w:adjustRightInd w:val="0"/>
                    <w:snapToGrid w:val="0"/>
                    <w:jc w:val="center"/>
                    <w:rPr>
                      <w:bCs/>
                      <w:sz w:val="22"/>
                      <w:szCs w:val="22"/>
                    </w:rPr>
                  </w:pPr>
                  <w:r>
                    <w:rPr>
                      <w:rFonts w:hint="eastAsia"/>
                      <w:bCs/>
                      <w:sz w:val="22"/>
                      <w:szCs w:val="22"/>
                      <w:lang w:val="en-US" w:eastAsia="zh-CN"/>
                    </w:rPr>
                    <w:t>一次</w:t>
                  </w:r>
                  <w:r>
                    <w:rPr>
                      <w:rFonts w:hint="eastAsia"/>
                      <w:bCs/>
                      <w:sz w:val="22"/>
                      <w:szCs w:val="22"/>
                    </w:rPr>
                    <w:t>回收系统回收</w:t>
                  </w:r>
                  <w:r>
                    <w:rPr>
                      <w:rFonts w:hint="eastAsia"/>
                      <w:bCs/>
                      <w:sz w:val="22"/>
                      <w:szCs w:val="22"/>
                      <w:lang w:eastAsia="zh-CN"/>
                    </w:rPr>
                    <w:t>（</w:t>
                  </w:r>
                  <w:r>
                    <w:rPr>
                      <w:rFonts w:hint="eastAsia"/>
                      <w:bCs/>
                      <w:sz w:val="22"/>
                      <w:szCs w:val="22"/>
                    </w:rPr>
                    <w:t>9</w:t>
                  </w:r>
                  <w:r>
                    <w:rPr>
                      <w:bCs/>
                      <w:sz w:val="22"/>
                      <w:szCs w:val="22"/>
                    </w:rPr>
                    <w:t>5</w:t>
                  </w:r>
                  <w:r>
                    <w:rPr>
                      <w:rFonts w:hint="eastAsia"/>
                      <w:bCs/>
                      <w:sz w:val="22"/>
                      <w:szCs w:val="22"/>
                    </w:rPr>
                    <w:t>%</w:t>
                  </w:r>
                  <w:r>
                    <w:rPr>
                      <w:rFonts w:hint="eastAsia"/>
                      <w:bCs/>
                      <w:sz w:val="22"/>
                      <w:szCs w:val="22"/>
                      <w:lang w:eastAsia="zh-CN"/>
                    </w:rPr>
                    <w:t>）</w:t>
                  </w:r>
                </w:p>
              </w:tc>
              <w:tc>
                <w:tcPr>
                  <w:tcW w:w="1100" w:type="dxa"/>
                  <w:vAlign w:val="center"/>
                </w:tcPr>
                <w:p w14:paraId="6D16675B">
                  <w:pPr>
                    <w:adjustRightInd w:val="0"/>
                    <w:snapToGrid w:val="0"/>
                    <w:jc w:val="center"/>
                    <w:rPr>
                      <w:bCs/>
                      <w:sz w:val="22"/>
                      <w:szCs w:val="22"/>
                    </w:rPr>
                  </w:pPr>
                  <w:r>
                    <w:rPr>
                      <w:rFonts w:hint="eastAsia"/>
                      <w:bCs/>
                      <w:sz w:val="22"/>
                      <w:szCs w:val="22"/>
                    </w:rPr>
                    <w:t>回收至油罐</w:t>
                  </w:r>
                  <w:r>
                    <w:rPr>
                      <w:rFonts w:hint="eastAsia"/>
                      <w:bCs/>
                      <w:sz w:val="22"/>
                      <w:szCs w:val="22"/>
                      <w:lang w:val="en-US" w:eastAsia="zh-CN"/>
                    </w:rPr>
                    <w:t>车</w:t>
                  </w:r>
                  <w:r>
                    <w:rPr>
                      <w:rFonts w:hint="eastAsia"/>
                      <w:bCs/>
                      <w:sz w:val="22"/>
                      <w:szCs w:val="22"/>
                    </w:rPr>
                    <w:t>内</w:t>
                  </w:r>
                </w:p>
              </w:tc>
              <w:tc>
                <w:tcPr>
                  <w:tcW w:w="1100" w:type="dxa"/>
                  <w:vAlign w:val="center"/>
                </w:tcPr>
                <w:p w14:paraId="0F87FADC">
                  <w:pPr>
                    <w:adjustRightInd w:val="0"/>
                    <w:snapToGrid w:val="0"/>
                    <w:jc w:val="center"/>
                    <w:rPr>
                      <w:rFonts w:hint="default" w:eastAsia="宋体"/>
                      <w:bCs/>
                      <w:sz w:val="22"/>
                      <w:szCs w:val="22"/>
                      <w:lang w:val="en-US" w:eastAsia="zh-CN"/>
                    </w:rPr>
                  </w:pPr>
                  <w:r>
                    <w:rPr>
                      <w:rFonts w:hint="eastAsia"/>
                      <w:bCs/>
                      <w:sz w:val="22"/>
                      <w:szCs w:val="22"/>
                      <w:lang w:val="en-US" w:eastAsia="zh-CN"/>
                    </w:rPr>
                    <w:t>9.068</w:t>
                  </w:r>
                </w:p>
              </w:tc>
              <w:tc>
                <w:tcPr>
                  <w:tcW w:w="1100" w:type="dxa"/>
                  <w:tcBorders>
                    <w:top w:val="nil"/>
                    <w:left w:val="single" w:color="auto" w:sz="4" w:space="0"/>
                    <w:bottom w:val="single" w:color="auto" w:sz="4" w:space="0"/>
                    <w:right w:val="single" w:color="auto" w:sz="4" w:space="0"/>
                  </w:tcBorders>
                  <w:vAlign w:val="center"/>
                </w:tcPr>
                <w:p w14:paraId="6EAF7381">
                  <w:pPr>
                    <w:adjustRightInd w:val="0"/>
                    <w:snapToGrid w:val="0"/>
                    <w:jc w:val="center"/>
                    <w:rPr>
                      <w:rFonts w:hint="default" w:eastAsia="宋体"/>
                      <w:bCs/>
                      <w:sz w:val="22"/>
                      <w:szCs w:val="22"/>
                      <w:lang w:val="en-US" w:eastAsia="zh-CN"/>
                    </w:rPr>
                  </w:pPr>
                  <w:r>
                    <w:rPr>
                      <w:rFonts w:hint="eastAsia" w:eastAsia="等线"/>
                      <w:sz w:val="22"/>
                      <w:szCs w:val="22"/>
                      <w:lang w:val="en-US" w:eastAsia="zh-CN"/>
                    </w:rPr>
                    <w:t>0.477</w:t>
                  </w:r>
                </w:p>
              </w:tc>
            </w:tr>
            <w:tr w14:paraId="4259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Merge w:val="restart"/>
                  <w:vAlign w:val="center"/>
                </w:tcPr>
                <w:p w14:paraId="7DFDB68A">
                  <w:pPr>
                    <w:adjustRightInd w:val="0"/>
                    <w:snapToGrid w:val="0"/>
                    <w:jc w:val="center"/>
                    <w:rPr>
                      <w:bCs/>
                      <w:sz w:val="22"/>
                      <w:szCs w:val="22"/>
                    </w:rPr>
                  </w:pPr>
                  <w:r>
                    <w:rPr>
                      <w:rFonts w:hint="eastAsia"/>
                      <w:bCs/>
                      <w:sz w:val="22"/>
                      <w:szCs w:val="22"/>
                    </w:rPr>
                    <w:t>加油作业</w:t>
                  </w:r>
                </w:p>
              </w:tc>
              <w:tc>
                <w:tcPr>
                  <w:tcW w:w="1099" w:type="dxa"/>
                  <w:vAlign w:val="center"/>
                </w:tcPr>
                <w:p w14:paraId="0950C392">
                  <w:pPr>
                    <w:adjustRightInd w:val="0"/>
                    <w:snapToGrid w:val="0"/>
                    <w:jc w:val="center"/>
                    <w:rPr>
                      <w:bCs/>
                      <w:sz w:val="22"/>
                      <w:szCs w:val="22"/>
                    </w:rPr>
                  </w:pPr>
                  <w:r>
                    <w:rPr>
                      <w:rFonts w:hint="eastAsia"/>
                      <w:bCs/>
                      <w:sz w:val="22"/>
                      <w:szCs w:val="22"/>
                    </w:rPr>
                    <w:t>柴油</w:t>
                  </w:r>
                </w:p>
              </w:tc>
              <w:tc>
                <w:tcPr>
                  <w:tcW w:w="1100" w:type="dxa"/>
                  <w:tcBorders>
                    <w:top w:val="nil"/>
                    <w:left w:val="single" w:color="auto" w:sz="4" w:space="0"/>
                    <w:bottom w:val="single" w:color="auto" w:sz="4" w:space="0"/>
                    <w:right w:val="single" w:color="auto" w:sz="4" w:space="0"/>
                  </w:tcBorders>
                  <w:vAlign w:val="center"/>
                </w:tcPr>
                <w:p w14:paraId="7A6B8031">
                  <w:pPr>
                    <w:adjustRightInd w:val="0"/>
                    <w:snapToGrid w:val="0"/>
                    <w:jc w:val="center"/>
                    <w:rPr>
                      <w:rFonts w:hint="default" w:eastAsia="宋体"/>
                      <w:bCs/>
                      <w:sz w:val="22"/>
                      <w:szCs w:val="22"/>
                      <w:lang w:val="en-US" w:eastAsia="zh-CN"/>
                    </w:rPr>
                  </w:pPr>
                  <w:r>
                    <w:rPr>
                      <w:rFonts w:hint="eastAsia"/>
                      <w:bCs/>
                      <w:sz w:val="22"/>
                      <w:szCs w:val="22"/>
                      <w:lang w:val="en-US" w:eastAsia="zh-CN"/>
                    </w:rPr>
                    <w:t>0.025</w:t>
                  </w:r>
                </w:p>
              </w:tc>
              <w:tc>
                <w:tcPr>
                  <w:tcW w:w="1100" w:type="dxa"/>
                  <w:vAlign w:val="center"/>
                </w:tcPr>
                <w:p w14:paraId="0921D4EF">
                  <w:pPr>
                    <w:adjustRightInd w:val="0"/>
                    <w:snapToGrid w:val="0"/>
                    <w:jc w:val="center"/>
                    <w:rPr>
                      <w:bCs/>
                      <w:sz w:val="22"/>
                      <w:szCs w:val="22"/>
                    </w:rPr>
                  </w:pPr>
                  <w:r>
                    <w:rPr>
                      <w:rFonts w:hint="eastAsia"/>
                      <w:bCs/>
                      <w:sz w:val="22"/>
                      <w:szCs w:val="22"/>
                    </w:rPr>
                    <w:t>/</w:t>
                  </w:r>
                </w:p>
              </w:tc>
              <w:tc>
                <w:tcPr>
                  <w:tcW w:w="1100" w:type="dxa"/>
                  <w:vAlign w:val="center"/>
                </w:tcPr>
                <w:p w14:paraId="71F2957C">
                  <w:pPr>
                    <w:adjustRightInd w:val="0"/>
                    <w:snapToGrid w:val="0"/>
                    <w:jc w:val="center"/>
                    <w:rPr>
                      <w:bCs/>
                      <w:sz w:val="22"/>
                      <w:szCs w:val="22"/>
                    </w:rPr>
                  </w:pPr>
                  <w:r>
                    <w:rPr>
                      <w:rFonts w:hint="eastAsia"/>
                      <w:bCs/>
                      <w:sz w:val="22"/>
                      <w:szCs w:val="22"/>
                    </w:rPr>
                    <w:t>/</w:t>
                  </w:r>
                </w:p>
              </w:tc>
              <w:tc>
                <w:tcPr>
                  <w:tcW w:w="1100" w:type="dxa"/>
                  <w:vAlign w:val="center"/>
                </w:tcPr>
                <w:p w14:paraId="025DACE3">
                  <w:pPr>
                    <w:adjustRightInd w:val="0"/>
                    <w:snapToGrid w:val="0"/>
                    <w:jc w:val="center"/>
                    <w:rPr>
                      <w:bCs/>
                      <w:sz w:val="22"/>
                      <w:szCs w:val="22"/>
                    </w:rPr>
                  </w:pPr>
                  <w:r>
                    <w:rPr>
                      <w:rFonts w:hint="eastAsia"/>
                      <w:bCs/>
                      <w:sz w:val="22"/>
                      <w:szCs w:val="22"/>
                    </w:rPr>
                    <w:t>/</w:t>
                  </w:r>
                </w:p>
              </w:tc>
              <w:tc>
                <w:tcPr>
                  <w:tcW w:w="1100" w:type="dxa"/>
                  <w:tcBorders>
                    <w:top w:val="nil"/>
                    <w:left w:val="single" w:color="auto" w:sz="4" w:space="0"/>
                    <w:bottom w:val="single" w:color="auto" w:sz="4" w:space="0"/>
                    <w:right w:val="single" w:color="auto" w:sz="4" w:space="0"/>
                  </w:tcBorders>
                  <w:vAlign w:val="center"/>
                </w:tcPr>
                <w:p w14:paraId="5EBE373C">
                  <w:pPr>
                    <w:adjustRightInd w:val="0"/>
                    <w:snapToGrid w:val="0"/>
                    <w:jc w:val="center"/>
                    <w:rPr>
                      <w:rFonts w:hint="default" w:eastAsia="宋体"/>
                      <w:bCs/>
                      <w:sz w:val="22"/>
                      <w:szCs w:val="22"/>
                      <w:lang w:val="en-US" w:eastAsia="zh-CN"/>
                    </w:rPr>
                  </w:pPr>
                  <w:r>
                    <w:rPr>
                      <w:rFonts w:hint="eastAsia" w:eastAsia="等线"/>
                      <w:sz w:val="22"/>
                      <w:szCs w:val="22"/>
                      <w:lang w:val="en-US" w:eastAsia="zh-CN"/>
                    </w:rPr>
                    <w:t>0.025</w:t>
                  </w:r>
                </w:p>
              </w:tc>
            </w:tr>
            <w:tr w14:paraId="32AA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Merge w:val="continue"/>
                  <w:vAlign w:val="center"/>
                </w:tcPr>
                <w:p w14:paraId="0F6D8C4B">
                  <w:pPr>
                    <w:adjustRightInd w:val="0"/>
                    <w:snapToGrid w:val="0"/>
                    <w:jc w:val="center"/>
                    <w:rPr>
                      <w:bCs/>
                      <w:sz w:val="22"/>
                      <w:szCs w:val="22"/>
                    </w:rPr>
                  </w:pPr>
                </w:p>
              </w:tc>
              <w:tc>
                <w:tcPr>
                  <w:tcW w:w="1099" w:type="dxa"/>
                  <w:vAlign w:val="center"/>
                </w:tcPr>
                <w:p w14:paraId="78ABC886">
                  <w:pPr>
                    <w:adjustRightInd w:val="0"/>
                    <w:snapToGrid w:val="0"/>
                    <w:jc w:val="center"/>
                    <w:rPr>
                      <w:bCs/>
                      <w:sz w:val="22"/>
                      <w:szCs w:val="22"/>
                    </w:rPr>
                  </w:pPr>
                  <w:r>
                    <w:rPr>
                      <w:rFonts w:hint="eastAsia"/>
                      <w:bCs/>
                      <w:sz w:val="22"/>
                      <w:szCs w:val="22"/>
                    </w:rPr>
                    <w:t>汽油</w:t>
                  </w:r>
                </w:p>
              </w:tc>
              <w:tc>
                <w:tcPr>
                  <w:tcW w:w="1100" w:type="dxa"/>
                  <w:tcBorders>
                    <w:top w:val="nil"/>
                    <w:left w:val="single" w:color="auto" w:sz="4" w:space="0"/>
                    <w:bottom w:val="single" w:color="auto" w:sz="4" w:space="0"/>
                    <w:right w:val="single" w:color="auto" w:sz="4" w:space="0"/>
                  </w:tcBorders>
                  <w:vAlign w:val="center"/>
                </w:tcPr>
                <w:p w14:paraId="7138AE1E">
                  <w:pPr>
                    <w:adjustRightInd w:val="0"/>
                    <w:snapToGrid w:val="0"/>
                    <w:jc w:val="center"/>
                    <w:rPr>
                      <w:rFonts w:hint="default" w:eastAsia="宋体"/>
                      <w:bCs/>
                      <w:sz w:val="22"/>
                      <w:szCs w:val="22"/>
                      <w:lang w:val="en-US" w:eastAsia="zh-CN"/>
                    </w:rPr>
                  </w:pPr>
                  <w:r>
                    <w:rPr>
                      <w:rFonts w:hint="eastAsia"/>
                      <w:bCs/>
                      <w:sz w:val="22"/>
                      <w:szCs w:val="22"/>
                      <w:lang w:val="en-US" w:eastAsia="zh-CN"/>
                    </w:rPr>
                    <w:t>10.334</w:t>
                  </w:r>
                </w:p>
              </w:tc>
              <w:tc>
                <w:tcPr>
                  <w:tcW w:w="1100" w:type="dxa"/>
                  <w:vAlign w:val="center"/>
                </w:tcPr>
                <w:p w14:paraId="1947F7AD">
                  <w:pPr>
                    <w:adjustRightInd w:val="0"/>
                    <w:snapToGrid w:val="0"/>
                    <w:jc w:val="center"/>
                    <w:rPr>
                      <w:bCs/>
                      <w:sz w:val="22"/>
                      <w:szCs w:val="22"/>
                    </w:rPr>
                  </w:pPr>
                  <w:r>
                    <w:rPr>
                      <w:rFonts w:hint="eastAsia"/>
                      <w:bCs/>
                      <w:sz w:val="22"/>
                      <w:szCs w:val="22"/>
                      <w:lang w:val="en-US" w:eastAsia="zh-CN"/>
                    </w:rPr>
                    <w:t>二次</w:t>
                  </w:r>
                  <w:r>
                    <w:rPr>
                      <w:rFonts w:hint="eastAsia"/>
                      <w:bCs/>
                      <w:sz w:val="22"/>
                      <w:szCs w:val="22"/>
                    </w:rPr>
                    <w:t>油气回收</w:t>
                  </w:r>
                  <w:r>
                    <w:rPr>
                      <w:rFonts w:hint="eastAsia"/>
                      <w:bCs/>
                      <w:sz w:val="22"/>
                      <w:szCs w:val="22"/>
                      <w:lang w:val="en-US" w:eastAsia="zh-CN"/>
                    </w:rPr>
                    <w:t>系统（</w:t>
                  </w:r>
                  <w:r>
                    <w:rPr>
                      <w:rFonts w:hint="eastAsia"/>
                      <w:bCs/>
                      <w:sz w:val="22"/>
                      <w:szCs w:val="22"/>
                    </w:rPr>
                    <w:t>90%</w:t>
                  </w:r>
                  <w:r>
                    <w:rPr>
                      <w:rFonts w:hint="eastAsia"/>
                      <w:bCs/>
                      <w:sz w:val="22"/>
                      <w:szCs w:val="22"/>
                      <w:lang w:val="en-US" w:eastAsia="zh-CN"/>
                    </w:rPr>
                    <w:t>）</w:t>
                  </w:r>
                </w:p>
              </w:tc>
              <w:tc>
                <w:tcPr>
                  <w:tcW w:w="1100" w:type="dxa"/>
                  <w:vAlign w:val="center"/>
                </w:tcPr>
                <w:p w14:paraId="7BFEBFCE">
                  <w:pPr>
                    <w:adjustRightInd w:val="0"/>
                    <w:snapToGrid w:val="0"/>
                    <w:jc w:val="center"/>
                    <w:rPr>
                      <w:bCs/>
                      <w:sz w:val="22"/>
                      <w:szCs w:val="22"/>
                    </w:rPr>
                  </w:pPr>
                  <w:r>
                    <w:rPr>
                      <w:rFonts w:hint="eastAsia"/>
                      <w:bCs/>
                      <w:sz w:val="22"/>
                      <w:szCs w:val="22"/>
                    </w:rPr>
                    <w:t>回收至油罐内</w:t>
                  </w:r>
                </w:p>
              </w:tc>
              <w:tc>
                <w:tcPr>
                  <w:tcW w:w="1100" w:type="dxa"/>
                  <w:vAlign w:val="center"/>
                </w:tcPr>
                <w:p w14:paraId="77114CAD">
                  <w:pPr>
                    <w:adjustRightInd w:val="0"/>
                    <w:snapToGrid w:val="0"/>
                    <w:jc w:val="center"/>
                    <w:rPr>
                      <w:rFonts w:hint="default" w:eastAsia="宋体"/>
                      <w:bCs/>
                      <w:sz w:val="22"/>
                      <w:szCs w:val="22"/>
                      <w:lang w:val="en-US" w:eastAsia="zh-CN"/>
                    </w:rPr>
                  </w:pPr>
                  <w:r>
                    <w:rPr>
                      <w:rFonts w:hint="eastAsia"/>
                      <w:bCs/>
                      <w:sz w:val="22"/>
                      <w:szCs w:val="22"/>
                      <w:lang w:val="en-US" w:eastAsia="zh-CN"/>
                    </w:rPr>
                    <w:t>9.301</w:t>
                  </w:r>
                </w:p>
              </w:tc>
              <w:tc>
                <w:tcPr>
                  <w:tcW w:w="1100" w:type="dxa"/>
                  <w:tcBorders>
                    <w:top w:val="nil"/>
                    <w:left w:val="single" w:color="auto" w:sz="4" w:space="0"/>
                    <w:bottom w:val="single" w:color="auto" w:sz="4" w:space="0"/>
                    <w:right w:val="single" w:color="auto" w:sz="4" w:space="0"/>
                  </w:tcBorders>
                  <w:vAlign w:val="center"/>
                </w:tcPr>
                <w:p w14:paraId="6DB77903">
                  <w:pPr>
                    <w:adjustRightInd w:val="0"/>
                    <w:snapToGrid w:val="0"/>
                    <w:jc w:val="center"/>
                    <w:rPr>
                      <w:rFonts w:hint="default" w:eastAsia="宋体"/>
                      <w:bCs/>
                      <w:sz w:val="22"/>
                      <w:szCs w:val="22"/>
                      <w:lang w:val="en-US" w:eastAsia="zh-CN"/>
                    </w:rPr>
                  </w:pPr>
                  <w:r>
                    <w:rPr>
                      <w:rFonts w:hint="eastAsia" w:eastAsia="等线"/>
                      <w:sz w:val="22"/>
                      <w:szCs w:val="22"/>
                      <w:lang w:val="en-US" w:eastAsia="zh-CN"/>
                    </w:rPr>
                    <w:t>1.033</w:t>
                  </w:r>
                </w:p>
              </w:tc>
            </w:tr>
            <w:tr w14:paraId="2571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vAlign w:val="center"/>
                </w:tcPr>
                <w:p w14:paraId="15688FF8">
                  <w:pPr>
                    <w:adjustRightInd w:val="0"/>
                    <w:snapToGrid w:val="0"/>
                    <w:jc w:val="center"/>
                    <w:rPr>
                      <w:rFonts w:hint="eastAsia" w:eastAsia="宋体"/>
                      <w:bCs/>
                      <w:sz w:val="22"/>
                      <w:szCs w:val="22"/>
                      <w:lang w:val="en-US" w:eastAsia="zh-CN"/>
                    </w:rPr>
                  </w:pPr>
                  <w:r>
                    <w:rPr>
                      <w:rFonts w:hint="eastAsia"/>
                      <w:bCs/>
                      <w:sz w:val="22"/>
                      <w:szCs w:val="22"/>
                      <w:lang w:val="en-US" w:eastAsia="zh-CN"/>
                    </w:rPr>
                    <w:t>储油过程</w:t>
                  </w:r>
                </w:p>
              </w:tc>
              <w:tc>
                <w:tcPr>
                  <w:tcW w:w="1099" w:type="dxa"/>
                  <w:vAlign w:val="center"/>
                </w:tcPr>
                <w:p w14:paraId="587B5E94">
                  <w:pPr>
                    <w:adjustRightInd w:val="0"/>
                    <w:snapToGrid w:val="0"/>
                    <w:jc w:val="center"/>
                    <w:rPr>
                      <w:rFonts w:hint="eastAsia" w:eastAsia="宋体"/>
                      <w:bCs/>
                      <w:sz w:val="22"/>
                      <w:szCs w:val="22"/>
                      <w:lang w:val="en-US" w:eastAsia="zh-CN"/>
                    </w:rPr>
                  </w:pPr>
                  <w:r>
                    <w:rPr>
                      <w:rFonts w:hint="eastAsia"/>
                      <w:bCs/>
                      <w:sz w:val="22"/>
                      <w:szCs w:val="22"/>
                      <w:lang w:val="en-US" w:eastAsia="zh-CN"/>
                    </w:rPr>
                    <w:t>汽油</w:t>
                  </w:r>
                </w:p>
              </w:tc>
              <w:tc>
                <w:tcPr>
                  <w:tcW w:w="1100" w:type="dxa"/>
                  <w:tcBorders>
                    <w:top w:val="nil"/>
                    <w:left w:val="single" w:color="auto" w:sz="4" w:space="0"/>
                    <w:bottom w:val="single" w:color="auto" w:sz="4" w:space="0"/>
                    <w:right w:val="single" w:color="auto" w:sz="4" w:space="0"/>
                  </w:tcBorders>
                  <w:vAlign w:val="center"/>
                </w:tcPr>
                <w:p w14:paraId="56E4B8A2">
                  <w:pPr>
                    <w:adjustRightInd w:val="0"/>
                    <w:snapToGrid w:val="0"/>
                    <w:jc w:val="center"/>
                    <w:rPr>
                      <w:rFonts w:hint="default" w:eastAsia="等线"/>
                      <w:sz w:val="22"/>
                      <w:szCs w:val="22"/>
                      <w:lang w:val="en-US" w:eastAsia="zh-CN"/>
                    </w:rPr>
                  </w:pPr>
                  <w:r>
                    <w:rPr>
                      <w:rFonts w:hint="eastAsia" w:eastAsia="等线"/>
                      <w:sz w:val="22"/>
                      <w:szCs w:val="22"/>
                      <w:lang w:val="en-US" w:eastAsia="zh-CN"/>
                    </w:rPr>
                    <w:t>0.664</w:t>
                  </w:r>
                </w:p>
              </w:tc>
              <w:tc>
                <w:tcPr>
                  <w:tcW w:w="1100" w:type="dxa"/>
                  <w:vAlign w:val="center"/>
                </w:tcPr>
                <w:p w14:paraId="2D48BDB9">
                  <w:pPr>
                    <w:adjustRightInd w:val="0"/>
                    <w:snapToGrid w:val="0"/>
                    <w:jc w:val="center"/>
                    <w:rPr>
                      <w:rFonts w:hint="eastAsia"/>
                      <w:bCs/>
                      <w:sz w:val="22"/>
                      <w:szCs w:val="22"/>
                    </w:rPr>
                  </w:pPr>
                  <w:r>
                    <w:rPr>
                      <w:rFonts w:hint="eastAsia"/>
                      <w:bCs/>
                      <w:sz w:val="22"/>
                      <w:szCs w:val="22"/>
                      <w:lang w:val="en-US" w:eastAsia="zh-CN"/>
                    </w:rPr>
                    <w:t>三次</w:t>
                  </w:r>
                  <w:r>
                    <w:rPr>
                      <w:rFonts w:hint="eastAsia"/>
                      <w:bCs/>
                      <w:sz w:val="22"/>
                      <w:szCs w:val="22"/>
                    </w:rPr>
                    <w:t>油气回收</w:t>
                  </w:r>
                  <w:r>
                    <w:rPr>
                      <w:rFonts w:hint="eastAsia"/>
                      <w:bCs/>
                      <w:sz w:val="22"/>
                      <w:szCs w:val="22"/>
                      <w:lang w:val="en-US" w:eastAsia="zh-CN"/>
                    </w:rPr>
                    <w:t>系统（</w:t>
                  </w:r>
                  <w:r>
                    <w:rPr>
                      <w:rFonts w:hint="eastAsia"/>
                      <w:bCs/>
                      <w:sz w:val="22"/>
                      <w:szCs w:val="22"/>
                    </w:rPr>
                    <w:t>9</w:t>
                  </w:r>
                  <w:r>
                    <w:rPr>
                      <w:rFonts w:hint="eastAsia"/>
                      <w:bCs/>
                      <w:sz w:val="22"/>
                      <w:szCs w:val="22"/>
                      <w:lang w:val="en-US" w:eastAsia="zh-CN"/>
                    </w:rPr>
                    <w:t>5</w:t>
                  </w:r>
                  <w:r>
                    <w:rPr>
                      <w:rFonts w:hint="eastAsia"/>
                      <w:bCs/>
                      <w:sz w:val="22"/>
                      <w:szCs w:val="22"/>
                    </w:rPr>
                    <w:t>%</w:t>
                  </w:r>
                  <w:r>
                    <w:rPr>
                      <w:rFonts w:hint="eastAsia"/>
                      <w:bCs/>
                      <w:sz w:val="22"/>
                      <w:szCs w:val="22"/>
                      <w:lang w:val="en-US" w:eastAsia="zh-CN"/>
                    </w:rPr>
                    <w:t>）</w:t>
                  </w:r>
                </w:p>
              </w:tc>
              <w:tc>
                <w:tcPr>
                  <w:tcW w:w="1100" w:type="dxa"/>
                  <w:vAlign w:val="center"/>
                </w:tcPr>
                <w:p w14:paraId="77205D43">
                  <w:pPr>
                    <w:adjustRightInd w:val="0"/>
                    <w:snapToGrid w:val="0"/>
                    <w:jc w:val="center"/>
                    <w:rPr>
                      <w:rFonts w:hint="eastAsia"/>
                      <w:bCs/>
                      <w:sz w:val="22"/>
                      <w:szCs w:val="22"/>
                    </w:rPr>
                  </w:pPr>
                  <w:r>
                    <w:rPr>
                      <w:rFonts w:hint="eastAsia"/>
                      <w:bCs/>
                      <w:sz w:val="22"/>
                      <w:szCs w:val="22"/>
                    </w:rPr>
                    <w:t>回收至油罐内</w:t>
                  </w:r>
                </w:p>
              </w:tc>
              <w:tc>
                <w:tcPr>
                  <w:tcW w:w="1100" w:type="dxa"/>
                  <w:vAlign w:val="center"/>
                </w:tcPr>
                <w:p w14:paraId="077E7AA4">
                  <w:pPr>
                    <w:adjustRightInd w:val="0"/>
                    <w:snapToGrid w:val="0"/>
                    <w:jc w:val="center"/>
                    <w:rPr>
                      <w:rFonts w:hint="default" w:eastAsia="宋体"/>
                      <w:bCs/>
                      <w:sz w:val="22"/>
                      <w:szCs w:val="22"/>
                      <w:lang w:val="en-US" w:eastAsia="zh-CN"/>
                    </w:rPr>
                  </w:pPr>
                  <w:r>
                    <w:rPr>
                      <w:rFonts w:hint="eastAsia"/>
                      <w:bCs/>
                      <w:sz w:val="22"/>
                      <w:szCs w:val="22"/>
                      <w:lang w:val="en-US" w:eastAsia="zh-CN"/>
                    </w:rPr>
                    <w:t>0.631</w:t>
                  </w:r>
                </w:p>
              </w:tc>
              <w:tc>
                <w:tcPr>
                  <w:tcW w:w="1100" w:type="dxa"/>
                  <w:tcBorders>
                    <w:top w:val="nil"/>
                    <w:left w:val="single" w:color="auto" w:sz="4" w:space="0"/>
                    <w:bottom w:val="single" w:color="auto" w:sz="4" w:space="0"/>
                    <w:right w:val="single" w:color="auto" w:sz="4" w:space="0"/>
                  </w:tcBorders>
                  <w:vAlign w:val="center"/>
                </w:tcPr>
                <w:p w14:paraId="45E3EE4D">
                  <w:pPr>
                    <w:adjustRightInd w:val="0"/>
                    <w:snapToGrid w:val="0"/>
                    <w:jc w:val="center"/>
                    <w:rPr>
                      <w:rFonts w:hint="default" w:eastAsia="等线"/>
                      <w:sz w:val="22"/>
                      <w:szCs w:val="22"/>
                      <w:lang w:val="en-US" w:eastAsia="zh-CN"/>
                    </w:rPr>
                  </w:pPr>
                  <w:r>
                    <w:rPr>
                      <w:rFonts w:hint="eastAsia" w:eastAsia="等线"/>
                      <w:sz w:val="22"/>
                      <w:szCs w:val="22"/>
                      <w:lang w:val="en-US" w:eastAsia="zh-CN"/>
                    </w:rPr>
                    <w:t>0.033</w:t>
                  </w:r>
                </w:p>
              </w:tc>
            </w:tr>
            <w:tr w14:paraId="6B1C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8" w:type="dxa"/>
                  <w:gridSpan w:val="2"/>
                  <w:vAlign w:val="center"/>
                </w:tcPr>
                <w:p w14:paraId="1C0A4F3A">
                  <w:pPr>
                    <w:adjustRightInd w:val="0"/>
                    <w:snapToGrid w:val="0"/>
                    <w:jc w:val="center"/>
                    <w:rPr>
                      <w:bCs/>
                      <w:sz w:val="22"/>
                      <w:szCs w:val="22"/>
                    </w:rPr>
                  </w:pPr>
                  <w:r>
                    <w:rPr>
                      <w:rFonts w:hint="eastAsia"/>
                      <w:bCs/>
                      <w:sz w:val="22"/>
                      <w:szCs w:val="22"/>
                    </w:rPr>
                    <w:t>合计</w:t>
                  </w:r>
                </w:p>
              </w:tc>
              <w:tc>
                <w:tcPr>
                  <w:tcW w:w="1100" w:type="dxa"/>
                  <w:tcBorders>
                    <w:top w:val="nil"/>
                    <w:left w:val="single" w:color="auto" w:sz="4" w:space="0"/>
                    <w:bottom w:val="single" w:color="auto" w:sz="4" w:space="0"/>
                    <w:right w:val="single" w:color="auto" w:sz="4" w:space="0"/>
                  </w:tcBorders>
                  <w:vAlign w:val="center"/>
                </w:tcPr>
                <w:p w14:paraId="528E1E70">
                  <w:pPr>
                    <w:adjustRightInd w:val="0"/>
                    <w:snapToGrid w:val="0"/>
                    <w:jc w:val="center"/>
                    <w:rPr>
                      <w:rFonts w:hint="default" w:eastAsia="宋体"/>
                      <w:bCs/>
                      <w:sz w:val="22"/>
                      <w:szCs w:val="22"/>
                      <w:lang w:val="en-US" w:eastAsia="zh-CN"/>
                    </w:rPr>
                  </w:pPr>
                  <w:r>
                    <w:rPr>
                      <w:rFonts w:hint="eastAsia" w:eastAsia="等线"/>
                      <w:sz w:val="22"/>
                      <w:szCs w:val="22"/>
                      <w:lang w:val="en-US" w:eastAsia="zh-CN"/>
                    </w:rPr>
                    <w:t>20.582</w:t>
                  </w:r>
                </w:p>
              </w:tc>
              <w:tc>
                <w:tcPr>
                  <w:tcW w:w="2200" w:type="dxa"/>
                  <w:gridSpan w:val="2"/>
                  <w:vAlign w:val="center"/>
                </w:tcPr>
                <w:p w14:paraId="31329BA2">
                  <w:pPr>
                    <w:adjustRightInd w:val="0"/>
                    <w:snapToGrid w:val="0"/>
                    <w:jc w:val="center"/>
                    <w:rPr>
                      <w:bCs/>
                      <w:sz w:val="22"/>
                      <w:szCs w:val="22"/>
                    </w:rPr>
                  </w:pPr>
                  <w:r>
                    <w:rPr>
                      <w:rFonts w:hint="eastAsia"/>
                      <w:bCs/>
                      <w:sz w:val="22"/>
                      <w:szCs w:val="22"/>
                    </w:rPr>
                    <w:t>/</w:t>
                  </w:r>
                </w:p>
              </w:tc>
              <w:tc>
                <w:tcPr>
                  <w:tcW w:w="1100" w:type="dxa"/>
                  <w:vAlign w:val="center"/>
                </w:tcPr>
                <w:p w14:paraId="7D8973BC">
                  <w:pPr>
                    <w:adjustRightInd w:val="0"/>
                    <w:snapToGrid w:val="0"/>
                    <w:jc w:val="center"/>
                    <w:rPr>
                      <w:rFonts w:hint="default" w:eastAsia="宋体"/>
                      <w:bCs/>
                      <w:sz w:val="22"/>
                      <w:szCs w:val="22"/>
                      <w:lang w:val="en-US" w:eastAsia="zh-CN"/>
                    </w:rPr>
                  </w:pPr>
                  <w:r>
                    <w:rPr>
                      <w:rFonts w:hint="eastAsia"/>
                      <w:bCs/>
                      <w:sz w:val="22"/>
                      <w:szCs w:val="22"/>
                      <w:lang w:val="en-US" w:eastAsia="zh-CN"/>
                    </w:rPr>
                    <w:t>19.0</w:t>
                  </w:r>
                </w:p>
              </w:tc>
              <w:tc>
                <w:tcPr>
                  <w:tcW w:w="1100" w:type="dxa"/>
                  <w:vAlign w:val="center"/>
                </w:tcPr>
                <w:p w14:paraId="1D29E3FE">
                  <w:pPr>
                    <w:adjustRightInd w:val="0"/>
                    <w:snapToGrid w:val="0"/>
                    <w:jc w:val="center"/>
                    <w:rPr>
                      <w:rFonts w:hint="default" w:eastAsia="宋体"/>
                      <w:bCs/>
                      <w:sz w:val="22"/>
                      <w:szCs w:val="22"/>
                      <w:lang w:val="en-US" w:eastAsia="zh-CN"/>
                    </w:rPr>
                  </w:pPr>
                  <w:r>
                    <w:rPr>
                      <w:rFonts w:hint="eastAsia"/>
                      <w:bCs/>
                      <w:sz w:val="22"/>
                      <w:szCs w:val="22"/>
                      <w:lang w:val="en-US" w:eastAsia="zh-CN"/>
                    </w:rPr>
                    <w:t>1.582</w:t>
                  </w:r>
                </w:p>
              </w:tc>
            </w:tr>
          </w:tbl>
          <w:p w14:paraId="36062347">
            <w:pPr>
              <w:keepNext w:val="0"/>
              <w:keepLines w:val="0"/>
              <w:pageBreakBefore w:val="0"/>
              <w:kinsoku/>
              <w:wordWrap/>
              <w:overflowPunct/>
              <w:topLinePunct w:val="0"/>
              <w:autoSpaceDE/>
              <w:autoSpaceDN/>
              <w:bidi w:val="0"/>
              <w:adjustRightInd w:val="0"/>
              <w:snapToGrid w:val="0"/>
              <w:spacing w:line="460" w:lineRule="exact"/>
              <w:ind w:firstLine="520" w:firstLineChars="200"/>
              <w:jc w:val="left"/>
              <w:textAlignment w:val="auto"/>
              <w:rPr>
                <w:bCs/>
                <w:sz w:val="26"/>
                <w:szCs w:val="26"/>
              </w:rPr>
            </w:pPr>
            <w:r>
              <w:rPr>
                <w:rFonts w:hint="eastAsia"/>
                <w:bCs/>
                <w:sz w:val="26"/>
                <w:szCs w:val="26"/>
                <w:lang w:val="en-US" w:eastAsia="zh-CN"/>
              </w:rPr>
              <w:t>④</w:t>
            </w:r>
            <w:r>
              <w:rPr>
                <w:rFonts w:hint="eastAsia"/>
                <w:bCs/>
                <w:sz w:val="26"/>
                <w:szCs w:val="26"/>
              </w:rPr>
              <w:t>进出站汽车尾气</w:t>
            </w:r>
          </w:p>
          <w:p w14:paraId="2484348F">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eastAsia"/>
                <w:bCs/>
                <w:sz w:val="26"/>
                <w:szCs w:val="26"/>
              </w:rPr>
            </w:pPr>
            <w:r>
              <w:rPr>
                <w:rFonts w:hint="eastAsia"/>
                <w:bCs/>
                <w:sz w:val="26"/>
                <w:szCs w:val="26"/>
              </w:rPr>
              <w:t>本项目在营运过程中，汽车低速行驶进出加油站，加油时车辆处于停止状态，整个过程前后所排放的汽车尾气量较小，主要污染物为CO、THC、NOx。</w:t>
            </w:r>
          </w:p>
          <w:p w14:paraId="021726A4">
            <w:pPr>
              <w:keepNext w:val="0"/>
              <w:keepLines w:val="0"/>
              <w:pageBreakBefore w:val="0"/>
              <w:kinsoku/>
              <w:wordWrap/>
              <w:overflowPunct/>
              <w:topLinePunct w:val="0"/>
              <w:autoSpaceDE/>
              <w:autoSpaceDN/>
              <w:bidi w:val="0"/>
              <w:adjustRightInd w:val="0"/>
              <w:snapToGrid w:val="0"/>
              <w:spacing w:line="460" w:lineRule="exact"/>
              <w:ind w:firstLine="520" w:firstLineChars="200"/>
              <w:jc w:val="left"/>
              <w:textAlignment w:val="auto"/>
              <w:rPr>
                <w:rFonts w:hint="eastAsia"/>
                <w:bCs/>
                <w:sz w:val="26"/>
                <w:szCs w:val="26"/>
                <w:lang w:val="en-US" w:eastAsia="zh-CN"/>
              </w:rPr>
            </w:pPr>
            <w:r>
              <w:rPr>
                <w:rFonts w:hint="eastAsia"/>
                <w:bCs/>
                <w:sz w:val="26"/>
                <w:szCs w:val="26"/>
                <w:lang w:val="en-US" w:eastAsia="zh-CN"/>
              </w:rPr>
              <w:t>⑤化粪池臭气</w:t>
            </w:r>
          </w:p>
          <w:p w14:paraId="58C22A51">
            <w:pPr>
              <w:keepNext w:val="0"/>
              <w:keepLines w:val="0"/>
              <w:pageBreakBefore w:val="0"/>
              <w:kinsoku/>
              <w:wordWrap/>
              <w:overflowPunct/>
              <w:topLinePunct w:val="0"/>
              <w:autoSpaceDE/>
              <w:autoSpaceDN/>
              <w:bidi w:val="0"/>
              <w:adjustRightInd w:val="0"/>
              <w:snapToGrid w:val="0"/>
              <w:spacing w:line="460" w:lineRule="exact"/>
              <w:ind w:firstLine="520" w:firstLineChars="200"/>
              <w:jc w:val="left"/>
              <w:textAlignment w:val="auto"/>
              <w:rPr>
                <w:rFonts w:hint="eastAsia"/>
                <w:bCs/>
                <w:sz w:val="26"/>
                <w:szCs w:val="26"/>
                <w:lang w:val="en-US" w:eastAsia="zh-CN"/>
              </w:rPr>
            </w:pPr>
            <w:r>
              <w:rPr>
                <w:rFonts w:hint="eastAsia"/>
                <w:bCs/>
                <w:sz w:val="26"/>
                <w:szCs w:val="26"/>
                <w:lang w:val="en-US" w:eastAsia="zh-CN"/>
              </w:rPr>
              <w:t>项目改建后新增的化粪池在运行过程中将产生一定量臭气，其主要成分为H</w:t>
            </w:r>
            <w:r>
              <w:rPr>
                <w:rFonts w:hint="eastAsia"/>
                <w:bCs/>
                <w:sz w:val="26"/>
                <w:szCs w:val="26"/>
                <w:vertAlign w:val="subscript"/>
                <w:lang w:val="en-US" w:eastAsia="zh-CN"/>
              </w:rPr>
              <w:t>2</w:t>
            </w:r>
            <w:r>
              <w:rPr>
                <w:rFonts w:hint="eastAsia"/>
                <w:bCs/>
                <w:sz w:val="26"/>
                <w:szCs w:val="26"/>
                <w:lang w:val="en-US" w:eastAsia="zh-CN"/>
              </w:rPr>
              <w:t>S、NH</w:t>
            </w:r>
            <w:r>
              <w:rPr>
                <w:rFonts w:hint="eastAsia"/>
                <w:bCs/>
                <w:sz w:val="26"/>
                <w:szCs w:val="26"/>
                <w:vertAlign w:val="subscript"/>
                <w:lang w:val="en-US" w:eastAsia="zh-CN"/>
              </w:rPr>
              <w:t>3</w:t>
            </w:r>
            <w:r>
              <w:rPr>
                <w:rFonts w:hint="eastAsia"/>
                <w:bCs/>
                <w:sz w:val="26"/>
                <w:szCs w:val="26"/>
                <w:lang w:val="en-US" w:eastAsia="zh-CN"/>
              </w:rPr>
              <w:t>等，若处理不当会对周边环境造成一定的负面影响。项目的化粪池为地埋式，平时封闭管理，可通过加强周边绿化，化粪池臭气经排气立管排放来降低臭气影响。</w:t>
            </w:r>
          </w:p>
          <w:p w14:paraId="4C1A8290">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bCs/>
                <w:sz w:val="26"/>
                <w:szCs w:val="26"/>
              </w:rPr>
            </w:pPr>
            <w:r>
              <w:rPr>
                <w:rFonts w:hint="eastAsia"/>
                <w:bCs/>
                <w:sz w:val="26"/>
                <w:szCs w:val="26"/>
                <w:lang w:val="en-US" w:eastAsia="zh-CN"/>
              </w:rPr>
              <w:t>⑥</w:t>
            </w:r>
            <w:r>
              <w:rPr>
                <w:rFonts w:hint="eastAsia"/>
                <w:bCs/>
                <w:sz w:val="26"/>
                <w:szCs w:val="26"/>
              </w:rPr>
              <w:t>备用柴油发电机废气</w:t>
            </w:r>
          </w:p>
          <w:p w14:paraId="300F9D97">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bCs/>
                <w:sz w:val="26"/>
                <w:szCs w:val="26"/>
              </w:rPr>
            </w:pPr>
            <w:r>
              <w:rPr>
                <w:rFonts w:hint="eastAsia"/>
                <w:bCs/>
                <w:sz w:val="26"/>
                <w:szCs w:val="26"/>
              </w:rPr>
              <w:t>本项目利旧使用</w:t>
            </w:r>
            <w:r>
              <w:rPr>
                <w:rFonts w:hint="eastAsia"/>
                <w:bCs/>
                <w:color w:val="auto"/>
                <w:sz w:val="26"/>
                <w:szCs w:val="26"/>
              </w:rPr>
              <w:t>现有工程1台</w:t>
            </w:r>
            <w:r>
              <w:rPr>
                <w:bCs/>
                <w:color w:val="auto"/>
                <w:sz w:val="26"/>
                <w:szCs w:val="26"/>
              </w:rPr>
              <w:t>30</w:t>
            </w:r>
            <w:r>
              <w:rPr>
                <w:rFonts w:hint="eastAsia"/>
                <w:bCs/>
                <w:color w:val="auto"/>
                <w:sz w:val="26"/>
                <w:szCs w:val="26"/>
              </w:rPr>
              <w:t>kW的柴油发电机，</w:t>
            </w:r>
            <w:r>
              <w:rPr>
                <w:rFonts w:hint="eastAsia"/>
                <w:bCs/>
                <w:sz w:val="26"/>
                <w:szCs w:val="26"/>
              </w:rPr>
              <w:t>作应急备用电源。现有工程设置了专门的柴油发电机房，废气经管道收集后引至站房顶部排放，污染物主要为NOx、</w:t>
            </w:r>
            <w:r>
              <w:rPr>
                <w:bCs/>
                <w:sz w:val="26"/>
                <w:szCs w:val="26"/>
              </w:rPr>
              <w:t>T</w:t>
            </w:r>
            <w:r>
              <w:rPr>
                <w:rFonts w:hint="eastAsia"/>
                <w:bCs/>
                <w:sz w:val="26"/>
                <w:szCs w:val="26"/>
              </w:rPr>
              <w:t>HC。该设备使用频次少，且改扩建前后设备无变化，污染物产生量少，对环境影响较小。</w:t>
            </w:r>
          </w:p>
          <w:p w14:paraId="0F36D152">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textAlignment w:val="auto"/>
              <w:rPr>
                <w:bCs/>
                <w:sz w:val="26"/>
                <w:szCs w:val="26"/>
              </w:rPr>
            </w:pPr>
            <w:r>
              <w:rPr>
                <w:rFonts w:hint="eastAsia"/>
                <w:bCs/>
                <w:sz w:val="26"/>
                <w:szCs w:val="26"/>
              </w:rPr>
              <w:t>本项目废气产生、治理及排放</w:t>
            </w:r>
            <w:r>
              <w:rPr>
                <w:bCs/>
                <w:sz w:val="26"/>
                <w:szCs w:val="26"/>
              </w:rPr>
              <w:t>情况见下表4.2</w:t>
            </w:r>
            <w:r>
              <w:rPr>
                <w:rFonts w:hint="eastAsia"/>
                <w:bCs/>
                <w:sz w:val="26"/>
                <w:szCs w:val="26"/>
                <w:lang w:val="en-US" w:eastAsia="zh-CN"/>
              </w:rPr>
              <w:t>-5</w:t>
            </w:r>
            <w:r>
              <w:rPr>
                <w:bCs/>
                <w:sz w:val="26"/>
                <w:szCs w:val="26"/>
              </w:rPr>
              <w:t>。</w:t>
            </w:r>
          </w:p>
          <w:p w14:paraId="2CF4AED7">
            <w:pPr>
              <w:widowControl/>
              <w:adjustRightInd w:val="0"/>
              <w:snapToGrid w:val="0"/>
              <w:spacing w:line="460" w:lineRule="exact"/>
              <w:ind w:firstLine="520" w:firstLineChars="200"/>
              <w:rPr>
                <w:sz w:val="26"/>
                <w:szCs w:val="26"/>
                <w:lang w:bidi="ar"/>
              </w:rPr>
            </w:pPr>
          </w:p>
          <w:p w14:paraId="63E4D7F2">
            <w:pPr>
              <w:pStyle w:val="5"/>
            </w:pPr>
          </w:p>
        </w:tc>
      </w:tr>
    </w:tbl>
    <w:p w14:paraId="472EA5B7">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380572D">
      <w:pPr>
        <w:keepNext w:val="0"/>
        <w:keepLines w:val="0"/>
        <w:pageBreakBefore w:val="0"/>
        <w:widowControl w:val="0"/>
        <w:tabs>
          <w:tab w:val="left" w:pos="4500"/>
        </w:tabs>
        <w:kinsoku/>
        <w:wordWrap/>
        <w:overflowPunct/>
        <w:topLinePunct w:val="0"/>
        <w:autoSpaceDE/>
        <w:autoSpaceDN/>
        <w:bidi w:val="0"/>
        <w:adjustRightInd w:val="0"/>
        <w:snapToGrid/>
        <w:spacing w:line="240" w:lineRule="auto"/>
        <w:jc w:val="center"/>
        <w:textAlignment w:val="auto"/>
        <w:rPr>
          <w:rFonts w:eastAsia="黑体"/>
          <w:bCs/>
          <w:snapToGrid w:val="0"/>
          <w:sz w:val="22"/>
          <w:szCs w:val="22"/>
        </w:rPr>
      </w:pPr>
      <w:r>
        <w:rPr>
          <w:bCs/>
          <w:kern w:val="0"/>
          <w:sz w:val="22"/>
          <w:szCs w:val="22"/>
        </w:rPr>
        <w:t>表4.2</w:t>
      </w:r>
      <w:r>
        <w:rPr>
          <w:rFonts w:hint="eastAsia"/>
          <w:bCs/>
          <w:kern w:val="0"/>
          <w:sz w:val="22"/>
          <w:szCs w:val="22"/>
          <w:lang w:val="en-US" w:eastAsia="zh-CN"/>
        </w:rPr>
        <w:t xml:space="preserve">-5  </w:t>
      </w:r>
      <w:r>
        <w:rPr>
          <w:rFonts w:hint="eastAsia"/>
          <w:bCs/>
          <w:kern w:val="0"/>
          <w:sz w:val="22"/>
          <w:szCs w:val="22"/>
        </w:rPr>
        <w:t>本项目废气</w:t>
      </w:r>
      <w:r>
        <w:rPr>
          <w:bCs/>
          <w:kern w:val="0"/>
          <w:sz w:val="22"/>
          <w:szCs w:val="22"/>
        </w:rPr>
        <w:t>污染物产生、治理、排放情况一览表</w:t>
      </w:r>
    </w:p>
    <w:tbl>
      <w:tblPr>
        <w:tblStyle w:val="17"/>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10"/>
        <w:gridCol w:w="646"/>
        <w:gridCol w:w="902"/>
        <w:gridCol w:w="577"/>
        <w:gridCol w:w="720"/>
        <w:gridCol w:w="868"/>
        <w:gridCol w:w="743"/>
        <w:gridCol w:w="981"/>
        <w:gridCol w:w="492"/>
        <w:gridCol w:w="653"/>
        <w:gridCol w:w="653"/>
        <w:gridCol w:w="490"/>
        <w:gridCol w:w="653"/>
        <w:gridCol w:w="815"/>
        <w:gridCol w:w="815"/>
        <w:gridCol w:w="817"/>
        <w:gridCol w:w="653"/>
        <w:gridCol w:w="1138"/>
      </w:tblGrid>
      <w:tr w14:paraId="394DB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4" w:type="pct"/>
            <w:gridSpan w:val="2"/>
            <w:vMerge w:val="restart"/>
            <w:shd w:val="clear" w:color="auto" w:fill="FFFFFF"/>
            <w:vAlign w:val="center"/>
          </w:tcPr>
          <w:p w14:paraId="6D9D09AD">
            <w:pPr>
              <w:jc w:val="center"/>
              <w:rPr>
                <w:bCs/>
                <w:sz w:val="22"/>
                <w:szCs w:val="22"/>
              </w:rPr>
            </w:pPr>
            <w:r>
              <w:rPr>
                <w:bCs/>
                <w:sz w:val="22"/>
                <w:szCs w:val="22"/>
              </w:rPr>
              <w:t>产污环节</w:t>
            </w:r>
          </w:p>
        </w:tc>
        <w:tc>
          <w:tcPr>
            <w:tcW w:w="340" w:type="pct"/>
            <w:vMerge w:val="restart"/>
            <w:shd w:val="clear" w:color="auto" w:fill="FFFFFF"/>
            <w:vAlign w:val="center"/>
          </w:tcPr>
          <w:p w14:paraId="3C8911C2">
            <w:pPr>
              <w:jc w:val="center"/>
              <w:rPr>
                <w:bCs/>
                <w:sz w:val="22"/>
                <w:szCs w:val="22"/>
              </w:rPr>
            </w:pPr>
            <w:r>
              <w:rPr>
                <w:bCs/>
                <w:sz w:val="22"/>
                <w:szCs w:val="22"/>
              </w:rPr>
              <w:t>污染物种类</w:t>
            </w:r>
          </w:p>
        </w:tc>
        <w:tc>
          <w:tcPr>
            <w:tcW w:w="818" w:type="pct"/>
            <w:gridSpan w:val="3"/>
            <w:shd w:val="clear" w:color="auto" w:fill="FFFFFF"/>
            <w:vAlign w:val="center"/>
          </w:tcPr>
          <w:p w14:paraId="717B0622">
            <w:pPr>
              <w:jc w:val="center"/>
              <w:rPr>
                <w:bCs/>
                <w:sz w:val="22"/>
                <w:szCs w:val="22"/>
              </w:rPr>
            </w:pPr>
            <w:r>
              <w:rPr>
                <w:bCs/>
                <w:sz w:val="22"/>
                <w:szCs w:val="22"/>
              </w:rPr>
              <w:t>治理前</w:t>
            </w:r>
          </w:p>
        </w:tc>
        <w:tc>
          <w:tcPr>
            <w:tcW w:w="280" w:type="pct"/>
            <w:vMerge w:val="restart"/>
            <w:shd w:val="clear" w:color="auto" w:fill="FFFFFF"/>
            <w:vAlign w:val="center"/>
          </w:tcPr>
          <w:p w14:paraId="17A72B35">
            <w:pPr>
              <w:jc w:val="center"/>
              <w:rPr>
                <w:bCs/>
                <w:sz w:val="22"/>
                <w:szCs w:val="22"/>
              </w:rPr>
            </w:pPr>
            <w:r>
              <w:rPr>
                <w:bCs/>
                <w:sz w:val="22"/>
                <w:szCs w:val="22"/>
              </w:rPr>
              <w:t>排放形式</w:t>
            </w:r>
          </w:p>
        </w:tc>
        <w:tc>
          <w:tcPr>
            <w:tcW w:w="1235" w:type="pct"/>
            <w:gridSpan w:val="5"/>
            <w:shd w:val="clear" w:color="auto" w:fill="FFFFFF"/>
            <w:vAlign w:val="center"/>
          </w:tcPr>
          <w:p w14:paraId="0331569E">
            <w:pPr>
              <w:jc w:val="center"/>
              <w:rPr>
                <w:bCs/>
                <w:sz w:val="22"/>
                <w:szCs w:val="22"/>
              </w:rPr>
            </w:pPr>
            <w:r>
              <w:rPr>
                <w:bCs/>
                <w:sz w:val="22"/>
                <w:szCs w:val="22"/>
              </w:rPr>
              <w:t>治理设施</w:t>
            </w:r>
          </w:p>
        </w:tc>
        <w:tc>
          <w:tcPr>
            <w:tcW w:w="863" w:type="pct"/>
            <w:gridSpan w:val="3"/>
            <w:shd w:val="clear" w:color="auto" w:fill="FFFFFF"/>
            <w:vAlign w:val="center"/>
          </w:tcPr>
          <w:p w14:paraId="16D48E05">
            <w:pPr>
              <w:jc w:val="center"/>
              <w:rPr>
                <w:bCs/>
                <w:sz w:val="22"/>
                <w:szCs w:val="22"/>
              </w:rPr>
            </w:pPr>
            <w:r>
              <w:rPr>
                <w:bCs/>
                <w:sz w:val="22"/>
                <w:szCs w:val="22"/>
              </w:rPr>
              <w:t>治理后</w:t>
            </w:r>
          </w:p>
        </w:tc>
        <w:tc>
          <w:tcPr>
            <w:tcW w:w="985" w:type="pct"/>
            <w:gridSpan w:val="3"/>
            <w:shd w:val="clear" w:color="auto" w:fill="FFFFFF"/>
            <w:vAlign w:val="center"/>
          </w:tcPr>
          <w:p w14:paraId="73590625">
            <w:pPr>
              <w:jc w:val="center"/>
              <w:rPr>
                <w:bCs/>
                <w:sz w:val="22"/>
                <w:szCs w:val="22"/>
              </w:rPr>
            </w:pPr>
            <w:r>
              <w:rPr>
                <w:rFonts w:hint="eastAsia"/>
                <w:bCs/>
                <w:sz w:val="22"/>
                <w:szCs w:val="22"/>
              </w:rPr>
              <w:t>排放</w:t>
            </w:r>
            <w:r>
              <w:rPr>
                <w:bCs/>
                <w:sz w:val="22"/>
                <w:szCs w:val="22"/>
              </w:rPr>
              <w:t>标准</w:t>
            </w:r>
          </w:p>
        </w:tc>
      </w:tr>
      <w:tr w14:paraId="3BCF5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2" w:hRule="atLeast"/>
          <w:jc w:val="center"/>
        </w:trPr>
        <w:tc>
          <w:tcPr>
            <w:tcW w:w="474" w:type="pct"/>
            <w:gridSpan w:val="2"/>
            <w:vMerge w:val="continue"/>
            <w:shd w:val="clear" w:color="auto" w:fill="FFFFFF"/>
            <w:vAlign w:val="center"/>
          </w:tcPr>
          <w:p w14:paraId="747350B9">
            <w:pPr>
              <w:jc w:val="center"/>
              <w:rPr>
                <w:bCs/>
                <w:sz w:val="22"/>
                <w:szCs w:val="22"/>
              </w:rPr>
            </w:pPr>
          </w:p>
        </w:tc>
        <w:tc>
          <w:tcPr>
            <w:tcW w:w="340" w:type="pct"/>
            <w:vMerge w:val="continue"/>
            <w:shd w:val="clear" w:color="auto" w:fill="FFFFFF"/>
            <w:vAlign w:val="center"/>
          </w:tcPr>
          <w:p w14:paraId="06ECB5DB">
            <w:pPr>
              <w:jc w:val="center"/>
              <w:rPr>
                <w:bCs/>
                <w:sz w:val="22"/>
                <w:szCs w:val="22"/>
              </w:rPr>
            </w:pPr>
          </w:p>
        </w:tc>
        <w:tc>
          <w:tcPr>
            <w:tcW w:w="218" w:type="pct"/>
            <w:shd w:val="clear" w:color="auto" w:fill="FFFFFF"/>
            <w:vAlign w:val="center"/>
          </w:tcPr>
          <w:p w14:paraId="420954B8">
            <w:pPr>
              <w:jc w:val="center"/>
              <w:rPr>
                <w:bCs/>
                <w:sz w:val="22"/>
                <w:szCs w:val="22"/>
              </w:rPr>
            </w:pPr>
            <w:r>
              <w:rPr>
                <w:bCs/>
                <w:sz w:val="22"/>
                <w:szCs w:val="22"/>
              </w:rPr>
              <w:t>产生浓度mg/m</w:t>
            </w:r>
            <w:r>
              <w:rPr>
                <w:bCs/>
                <w:sz w:val="22"/>
                <w:szCs w:val="22"/>
                <w:vertAlign w:val="superscript"/>
              </w:rPr>
              <w:t>3</w:t>
            </w:r>
          </w:p>
        </w:tc>
        <w:tc>
          <w:tcPr>
            <w:tcW w:w="272" w:type="pct"/>
            <w:shd w:val="clear" w:color="auto" w:fill="FFFFFF"/>
            <w:vAlign w:val="center"/>
          </w:tcPr>
          <w:p w14:paraId="7B03FF97">
            <w:pPr>
              <w:rPr>
                <w:bCs/>
                <w:sz w:val="22"/>
                <w:szCs w:val="22"/>
              </w:rPr>
            </w:pPr>
            <w:r>
              <w:rPr>
                <w:rFonts w:hint="eastAsia"/>
                <w:bCs/>
                <w:sz w:val="22"/>
                <w:szCs w:val="22"/>
              </w:rPr>
              <w:t>产生</w:t>
            </w:r>
            <w:r>
              <w:rPr>
                <w:bCs/>
                <w:sz w:val="22"/>
                <w:szCs w:val="22"/>
              </w:rPr>
              <w:t>速率kg/h</w:t>
            </w:r>
          </w:p>
        </w:tc>
        <w:tc>
          <w:tcPr>
            <w:tcW w:w="328" w:type="pct"/>
            <w:shd w:val="clear" w:color="auto" w:fill="FFFFFF"/>
            <w:vAlign w:val="center"/>
          </w:tcPr>
          <w:p w14:paraId="63714182">
            <w:pPr>
              <w:jc w:val="center"/>
              <w:rPr>
                <w:bCs/>
                <w:sz w:val="22"/>
                <w:szCs w:val="22"/>
              </w:rPr>
            </w:pPr>
            <w:r>
              <w:rPr>
                <w:rFonts w:hint="eastAsia"/>
                <w:bCs/>
                <w:sz w:val="22"/>
                <w:szCs w:val="22"/>
              </w:rPr>
              <w:t>产生</w:t>
            </w:r>
            <w:r>
              <w:rPr>
                <w:bCs/>
                <w:sz w:val="22"/>
                <w:szCs w:val="22"/>
              </w:rPr>
              <w:t>量t/a</w:t>
            </w:r>
          </w:p>
        </w:tc>
        <w:tc>
          <w:tcPr>
            <w:tcW w:w="280" w:type="pct"/>
            <w:vMerge w:val="continue"/>
            <w:shd w:val="clear" w:color="auto" w:fill="FFFFFF"/>
            <w:vAlign w:val="center"/>
          </w:tcPr>
          <w:p w14:paraId="0AEB0999">
            <w:pPr>
              <w:jc w:val="center"/>
              <w:rPr>
                <w:bCs/>
                <w:sz w:val="22"/>
                <w:szCs w:val="22"/>
              </w:rPr>
            </w:pPr>
          </w:p>
        </w:tc>
        <w:tc>
          <w:tcPr>
            <w:tcW w:w="370" w:type="pct"/>
            <w:shd w:val="clear" w:color="auto" w:fill="FFFFFF"/>
            <w:vAlign w:val="center"/>
          </w:tcPr>
          <w:p w14:paraId="75DBDF3D">
            <w:pPr>
              <w:jc w:val="center"/>
              <w:rPr>
                <w:bCs/>
                <w:sz w:val="22"/>
                <w:szCs w:val="22"/>
              </w:rPr>
            </w:pPr>
            <w:r>
              <w:rPr>
                <w:bCs/>
                <w:sz w:val="22"/>
                <w:szCs w:val="22"/>
              </w:rPr>
              <w:t>治理</w:t>
            </w:r>
            <w:r>
              <w:rPr>
                <w:rFonts w:hint="eastAsia"/>
                <w:bCs/>
                <w:sz w:val="22"/>
                <w:szCs w:val="22"/>
              </w:rPr>
              <w:t>设施</w:t>
            </w:r>
          </w:p>
        </w:tc>
        <w:tc>
          <w:tcPr>
            <w:tcW w:w="185" w:type="pct"/>
            <w:shd w:val="clear" w:color="auto" w:fill="FFFFFF"/>
            <w:vAlign w:val="center"/>
          </w:tcPr>
          <w:p w14:paraId="0F100AE5">
            <w:pPr>
              <w:rPr>
                <w:bCs/>
                <w:sz w:val="22"/>
                <w:szCs w:val="22"/>
              </w:rPr>
            </w:pPr>
            <w:r>
              <w:rPr>
                <w:bCs/>
                <w:sz w:val="22"/>
                <w:szCs w:val="22"/>
              </w:rPr>
              <w:t>处理能力m</w:t>
            </w:r>
            <w:r>
              <w:rPr>
                <w:bCs/>
                <w:sz w:val="22"/>
                <w:szCs w:val="22"/>
                <w:vertAlign w:val="superscript"/>
              </w:rPr>
              <w:t>3</w:t>
            </w:r>
            <w:r>
              <w:rPr>
                <w:bCs/>
                <w:sz w:val="22"/>
                <w:szCs w:val="22"/>
              </w:rPr>
              <w:t>/h</w:t>
            </w:r>
          </w:p>
        </w:tc>
        <w:tc>
          <w:tcPr>
            <w:tcW w:w="246" w:type="pct"/>
            <w:shd w:val="clear" w:color="auto" w:fill="FFFFFF"/>
            <w:vAlign w:val="center"/>
          </w:tcPr>
          <w:p w14:paraId="757E9DAC">
            <w:pPr>
              <w:jc w:val="center"/>
              <w:rPr>
                <w:bCs/>
                <w:sz w:val="22"/>
                <w:szCs w:val="22"/>
              </w:rPr>
            </w:pPr>
            <w:r>
              <w:rPr>
                <w:bCs/>
                <w:sz w:val="22"/>
                <w:szCs w:val="22"/>
              </w:rPr>
              <w:t>收集效率%</w:t>
            </w:r>
          </w:p>
        </w:tc>
        <w:tc>
          <w:tcPr>
            <w:tcW w:w="246" w:type="pct"/>
            <w:shd w:val="clear" w:color="auto" w:fill="FFFFFF"/>
            <w:vAlign w:val="center"/>
          </w:tcPr>
          <w:p w14:paraId="1573CF51">
            <w:pPr>
              <w:jc w:val="center"/>
              <w:rPr>
                <w:bCs/>
                <w:sz w:val="22"/>
                <w:szCs w:val="22"/>
              </w:rPr>
            </w:pPr>
            <w:r>
              <w:rPr>
                <w:rFonts w:hint="eastAsia"/>
                <w:bCs/>
                <w:sz w:val="22"/>
                <w:szCs w:val="22"/>
              </w:rPr>
              <w:t>处理效率</w:t>
            </w:r>
            <w:r>
              <w:rPr>
                <w:bCs/>
                <w:sz w:val="22"/>
                <w:szCs w:val="22"/>
              </w:rPr>
              <w:t>%</w:t>
            </w:r>
          </w:p>
        </w:tc>
        <w:tc>
          <w:tcPr>
            <w:tcW w:w="185" w:type="pct"/>
            <w:shd w:val="clear" w:color="auto" w:fill="FFFFFF"/>
            <w:vAlign w:val="center"/>
          </w:tcPr>
          <w:p w14:paraId="16E50569">
            <w:pPr>
              <w:jc w:val="center"/>
              <w:rPr>
                <w:bCs/>
                <w:sz w:val="22"/>
                <w:szCs w:val="22"/>
              </w:rPr>
            </w:pPr>
            <w:r>
              <w:rPr>
                <w:bCs/>
                <w:sz w:val="22"/>
                <w:szCs w:val="22"/>
              </w:rPr>
              <w:t>是否为可行技术</w:t>
            </w:r>
          </w:p>
        </w:tc>
        <w:tc>
          <w:tcPr>
            <w:tcW w:w="246" w:type="pct"/>
            <w:shd w:val="clear" w:color="auto" w:fill="FFFFFF"/>
            <w:vAlign w:val="center"/>
          </w:tcPr>
          <w:p w14:paraId="6B0D3C59">
            <w:pPr>
              <w:jc w:val="center"/>
              <w:rPr>
                <w:bCs/>
                <w:sz w:val="22"/>
                <w:szCs w:val="22"/>
              </w:rPr>
            </w:pPr>
            <w:r>
              <w:rPr>
                <w:bCs/>
                <w:sz w:val="22"/>
                <w:szCs w:val="22"/>
              </w:rPr>
              <w:t>排放浓度mg/m</w:t>
            </w:r>
            <w:r>
              <w:rPr>
                <w:bCs/>
                <w:sz w:val="22"/>
                <w:szCs w:val="22"/>
                <w:vertAlign w:val="superscript"/>
              </w:rPr>
              <w:t>3</w:t>
            </w:r>
          </w:p>
        </w:tc>
        <w:tc>
          <w:tcPr>
            <w:tcW w:w="308" w:type="pct"/>
            <w:shd w:val="clear" w:color="auto" w:fill="FFFFFF"/>
            <w:vAlign w:val="center"/>
          </w:tcPr>
          <w:p w14:paraId="75D10CCD">
            <w:pPr>
              <w:jc w:val="center"/>
              <w:rPr>
                <w:bCs/>
                <w:sz w:val="22"/>
                <w:szCs w:val="22"/>
              </w:rPr>
            </w:pPr>
            <w:r>
              <w:rPr>
                <w:bCs/>
                <w:sz w:val="22"/>
                <w:szCs w:val="22"/>
              </w:rPr>
              <w:t>排放速率kg/h</w:t>
            </w:r>
          </w:p>
        </w:tc>
        <w:tc>
          <w:tcPr>
            <w:tcW w:w="308" w:type="pct"/>
            <w:shd w:val="clear" w:color="auto" w:fill="FFFFFF"/>
            <w:vAlign w:val="center"/>
          </w:tcPr>
          <w:p w14:paraId="6FE51905">
            <w:pPr>
              <w:jc w:val="center"/>
              <w:rPr>
                <w:bCs/>
                <w:sz w:val="22"/>
                <w:szCs w:val="22"/>
              </w:rPr>
            </w:pPr>
            <w:r>
              <w:rPr>
                <w:bCs/>
                <w:sz w:val="22"/>
                <w:szCs w:val="22"/>
              </w:rPr>
              <w:t>污染物排放量t/a</w:t>
            </w:r>
          </w:p>
        </w:tc>
        <w:tc>
          <w:tcPr>
            <w:tcW w:w="308" w:type="pct"/>
            <w:shd w:val="clear" w:color="auto" w:fill="FFFFFF"/>
            <w:vAlign w:val="center"/>
          </w:tcPr>
          <w:p w14:paraId="42FDBB18">
            <w:pPr>
              <w:jc w:val="center"/>
              <w:rPr>
                <w:bCs/>
                <w:sz w:val="22"/>
                <w:szCs w:val="22"/>
              </w:rPr>
            </w:pPr>
            <w:r>
              <w:rPr>
                <w:rFonts w:hint="eastAsia"/>
                <w:bCs/>
                <w:sz w:val="22"/>
                <w:szCs w:val="22"/>
              </w:rPr>
              <w:t>浓度限值</w:t>
            </w:r>
            <w:r>
              <w:rPr>
                <w:bCs/>
                <w:sz w:val="22"/>
                <w:szCs w:val="22"/>
              </w:rPr>
              <w:t>mg/m</w:t>
            </w:r>
            <w:r>
              <w:rPr>
                <w:bCs/>
                <w:sz w:val="22"/>
                <w:szCs w:val="22"/>
                <w:vertAlign w:val="superscript"/>
              </w:rPr>
              <w:t>3</w:t>
            </w:r>
          </w:p>
        </w:tc>
        <w:tc>
          <w:tcPr>
            <w:tcW w:w="246" w:type="pct"/>
            <w:shd w:val="clear" w:color="auto" w:fill="FFFFFF"/>
            <w:vAlign w:val="center"/>
          </w:tcPr>
          <w:p w14:paraId="1AFF5F50">
            <w:pPr>
              <w:jc w:val="center"/>
              <w:rPr>
                <w:bCs/>
                <w:sz w:val="22"/>
                <w:szCs w:val="22"/>
              </w:rPr>
            </w:pPr>
            <w:r>
              <w:rPr>
                <w:bCs/>
                <w:sz w:val="22"/>
                <w:szCs w:val="22"/>
              </w:rPr>
              <w:t>速率</w:t>
            </w:r>
            <w:r>
              <w:rPr>
                <w:rFonts w:hint="eastAsia"/>
                <w:bCs/>
                <w:sz w:val="22"/>
                <w:szCs w:val="22"/>
              </w:rPr>
              <w:t>限值</w:t>
            </w:r>
            <w:r>
              <w:rPr>
                <w:bCs/>
                <w:sz w:val="22"/>
                <w:szCs w:val="22"/>
              </w:rPr>
              <w:t>kg/h</w:t>
            </w:r>
          </w:p>
        </w:tc>
        <w:tc>
          <w:tcPr>
            <w:tcW w:w="430" w:type="pct"/>
            <w:shd w:val="clear" w:color="auto" w:fill="FFFFFF"/>
            <w:vAlign w:val="center"/>
          </w:tcPr>
          <w:p w14:paraId="51F84080">
            <w:pPr>
              <w:jc w:val="center"/>
              <w:rPr>
                <w:bCs/>
                <w:sz w:val="22"/>
                <w:szCs w:val="22"/>
              </w:rPr>
            </w:pPr>
            <w:r>
              <w:rPr>
                <w:rFonts w:hint="eastAsia"/>
                <w:bCs/>
                <w:sz w:val="22"/>
                <w:szCs w:val="22"/>
              </w:rPr>
              <w:t>标准</w:t>
            </w:r>
            <w:r>
              <w:rPr>
                <w:bCs/>
                <w:sz w:val="22"/>
                <w:szCs w:val="22"/>
              </w:rPr>
              <w:t>名称</w:t>
            </w:r>
          </w:p>
        </w:tc>
      </w:tr>
      <w:tr w14:paraId="18BD5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4" w:type="pct"/>
            <w:gridSpan w:val="2"/>
            <w:vAlign w:val="center"/>
          </w:tcPr>
          <w:p w14:paraId="1B4D7550">
            <w:pPr>
              <w:widowControl/>
              <w:jc w:val="center"/>
              <w:rPr>
                <w:kern w:val="0"/>
                <w:sz w:val="22"/>
                <w:szCs w:val="22"/>
              </w:rPr>
            </w:pPr>
            <w:r>
              <w:rPr>
                <w:rFonts w:hint="eastAsia"/>
                <w:kern w:val="0"/>
                <w:sz w:val="22"/>
                <w:szCs w:val="22"/>
              </w:rPr>
              <w:t>柴油卸油、加油</w:t>
            </w:r>
          </w:p>
        </w:tc>
        <w:tc>
          <w:tcPr>
            <w:tcW w:w="340" w:type="pct"/>
            <w:vAlign w:val="center"/>
          </w:tcPr>
          <w:p w14:paraId="059A4061">
            <w:pPr>
              <w:widowControl/>
              <w:jc w:val="center"/>
              <w:rPr>
                <w:kern w:val="0"/>
                <w:sz w:val="22"/>
                <w:szCs w:val="22"/>
              </w:rPr>
            </w:pPr>
            <w:r>
              <w:rPr>
                <w:rFonts w:hint="eastAsia"/>
                <w:sz w:val="22"/>
                <w:szCs w:val="22"/>
              </w:rPr>
              <w:t>非甲烷总烃</w:t>
            </w:r>
          </w:p>
        </w:tc>
        <w:tc>
          <w:tcPr>
            <w:tcW w:w="218" w:type="pct"/>
            <w:vAlign w:val="center"/>
          </w:tcPr>
          <w:p w14:paraId="09A47334">
            <w:pPr>
              <w:jc w:val="center"/>
              <w:rPr>
                <w:sz w:val="22"/>
                <w:szCs w:val="22"/>
              </w:rPr>
            </w:pPr>
            <w:r>
              <w:rPr>
                <w:sz w:val="22"/>
                <w:szCs w:val="22"/>
              </w:rPr>
              <w:t>/</w:t>
            </w:r>
          </w:p>
        </w:tc>
        <w:tc>
          <w:tcPr>
            <w:tcW w:w="272" w:type="pct"/>
            <w:tcBorders>
              <w:top w:val="single" w:color="auto" w:sz="4" w:space="0"/>
              <w:left w:val="single" w:color="auto" w:sz="4" w:space="0"/>
              <w:bottom w:val="single" w:color="auto" w:sz="4" w:space="0"/>
              <w:right w:val="single" w:color="auto" w:sz="4" w:space="0"/>
            </w:tcBorders>
            <w:vAlign w:val="center"/>
          </w:tcPr>
          <w:p w14:paraId="04E43A95">
            <w:pPr>
              <w:jc w:val="center"/>
              <w:rPr>
                <w:rFonts w:hint="default" w:eastAsia="宋体"/>
                <w:sz w:val="22"/>
                <w:szCs w:val="22"/>
                <w:lang w:val="en-US" w:eastAsia="zh-CN"/>
              </w:rPr>
            </w:pPr>
            <w:r>
              <w:rPr>
                <w:rFonts w:hint="eastAsia"/>
                <w:sz w:val="22"/>
                <w:szCs w:val="22"/>
                <w:lang w:val="en-US" w:eastAsia="zh-CN"/>
              </w:rPr>
              <w:t>0.004</w:t>
            </w:r>
          </w:p>
        </w:tc>
        <w:tc>
          <w:tcPr>
            <w:tcW w:w="328" w:type="pct"/>
            <w:tcBorders>
              <w:top w:val="single" w:color="auto" w:sz="4" w:space="0"/>
              <w:left w:val="nil"/>
              <w:bottom w:val="single" w:color="auto" w:sz="4" w:space="0"/>
              <w:right w:val="single" w:color="auto" w:sz="4" w:space="0"/>
            </w:tcBorders>
            <w:vAlign w:val="center"/>
          </w:tcPr>
          <w:p w14:paraId="42A80B72">
            <w:pPr>
              <w:jc w:val="center"/>
              <w:rPr>
                <w:rFonts w:hint="default" w:eastAsia="宋体"/>
                <w:sz w:val="22"/>
                <w:szCs w:val="22"/>
                <w:lang w:val="en-US" w:eastAsia="zh-CN"/>
              </w:rPr>
            </w:pPr>
            <w:r>
              <w:rPr>
                <w:rFonts w:hint="eastAsia"/>
                <w:sz w:val="22"/>
                <w:szCs w:val="22"/>
                <w:lang w:val="en-US" w:eastAsia="zh-CN"/>
              </w:rPr>
              <w:t>0.039</w:t>
            </w:r>
          </w:p>
        </w:tc>
        <w:tc>
          <w:tcPr>
            <w:tcW w:w="280" w:type="pct"/>
            <w:vAlign w:val="center"/>
          </w:tcPr>
          <w:p w14:paraId="43CBD96C">
            <w:pPr>
              <w:widowControl/>
              <w:jc w:val="center"/>
              <w:rPr>
                <w:kern w:val="0"/>
                <w:sz w:val="22"/>
                <w:szCs w:val="22"/>
              </w:rPr>
            </w:pPr>
            <w:r>
              <w:rPr>
                <w:rFonts w:hint="eastAsia"/>
                <w:kern w:val="0"/>
                <w:sz w:val="22"/>
                <w:szCs w:val="22"/>
              </w:rPr>
              <w:t>无组织</w:t>
            </w:r>
          </w:p>
        </w:tc>
        <w:tc>
          <w:tcPr>
            <w:tcW w:w="370" w:type="pct"/>
            <w:vAlign w:val="center"/>
          </w:tcPr>
          <w:p w14:paraId="7E60E93C">
            <w:pPr>
              <w:widowControl/>
              <w:jc w:val="center"/>
              <w:rPr>
                <w:kern w:val="0"/>
                <w:sz w:val="22"/>
                <w:szCs w:val="22"/>
              </w:rPr>
            </w:pPr>
            <w:r>
              <w:rPr>
                <w:rFonts w:hint="eastAsia"/>
                <w:kern w:val="0"/>
                <w:sz w:val="22"/>
                <w:szCs w:val="22"/>
              </w:rPr>
              <w:t>/</w:t>
            </w:r>
          </w:p>
        </w:tc>
        <w:tc>
          <w:tcPr>
            <w:tcW w:w="185" w:type="pct"/>
            <w:vAlign w:val="center"/>
          </w:tcPr>
          <w:p w14:paraId="66E09D4D">
            <w:pPr>
              <w:widowControl/>
              <w:jc w:val="center"/>
              <w:rPr>
                <w:sz w:val="22"/>
                <w:szCs w:val="22"/>
              </w:rPr>
            </w:pPr>
            <w:r>
              <w:rPr>
                <w:rFonts w:hint="eastAsia"/>
                <w:sz w:val="22"/>
                <w:szCs w:val="22"/>
              </w:rPr>
              <w:t>/</w:t>
            </w:r>
          </w:p>
        </w:tc>
        <w:tc>
          <w:tcPr>
            <w:tcW w:w="246" w:type="pct"/>
            <w:vAlign w:val="center"/>
          </w:tcPr>
          <w:p w14:paraId="51FF9293">
            <w:pPr>
              <w:jc w:val="center"/>
              <w:rPr>
                <w:sz w:val="22"/>
                <w:szCs w:val="22"/>
              </w:rPr>
            </w:pPr>
            <w:r>
              <w:rPr>
                <w:sz w:val="22"/>
                <w:szCs w:val="22"/>
              </w:rPr>
              <w:t>0</w:t>
            </w:r>
          </w:p>
        </w:tc>
        <w:tc>
          <w:tcPr>
            <w:tcW w:w="246" w:type="pct"/>
            <w:vAlign w:val="center"/>
          </w:tcPr>
          <w:p w14:paraId="54A6F80E">
            <w:pPr>
              <w:widowControl/>
              <w:jc w:val="center"/>
              <w:rPr>
                <w:sz w:val="22"/>
                <w:szCs w:val="22"/>
              </w:rPr>
            </w:pPr>
            <w:r>
              <w:rPr>
                <w:rFonts w:hint="eastAsia"/>
                <w:sz w:val="22"/>
                <w:szCs w:val="22"/>
              </w:rPr>
              <w:t>0</w:t>
            </w:r>
          </w:p>
        </w:tc>
        <w:tc>
          <w:tcPr>
            <w:tcW w:w="185" w:type="pct"/>
            <w:vAlign w:val="center"/>
          </w:tcPr>
          <w:p w14:paraId="24870515">
            <w:pPr>
              <w:widowControl/>
              <w:jc w:val="center"/>
              <w:rPr>
                <w:sz w:val="22"/>
                <w:szCs w:val="22"/>
              </w:rPr>
            </w:pPr>
            <w:r>
              <w:rPr>
                <w:rFonts w:hint="eastAsia"/>
                <w:sz w:val="22"/>
                <w:szCs w:val="22"/>
              </w:rPr>
              <w:t>/</w:t>
            </w:r>
          </w:p>
        </w:tc>
        <w:tc>
          <w:tcPr>
            <w:tcW w:w="246" w:type="pct"/>
            <w:vAlign w:val="center"/>
          </w:tcPr>
          <w:p w14:paraId="6ADAC1DB">
            <w:pPr>
              <w:widowControl/>
              <w:jc w:val="center"/>
              <w:rPr>
                <w:kern w:val="0"/>
                <w:sz w:val="22"/>
                <w:szCs w:val="22"/>
              </w:rPr>
            </w:pPr>
            <w:r>
              <w:rPr>
                <w:rFonts w:hint="eastAsia"/>
                <w:kern w:val="0"/>
                <w:sz w:val="22"/>
                <w:szCs w:val="22"/>
              </w:rPr>
              <w:t>/</w:t>
            </w:r>
          </w:p>
        </w:tc>
        <w:tc>
          <w:tcPr>
            <w:tcW w:w="308" w:type="pct"/>
            <w:tcBorders>
              <w:top w:val="single" w:color="auto" w:sz="4" w:space="0"/>
              <w:left w:val="single" w:color="auto" w:sz="4" w:space="0"/>
              <w:bottom w:val="single" w:color="auto" w:sz="4" w:space="0"/>
              <w:right w:val="single" w:color="auto" w:sz="4" w:space="0"/>
            </w:tcBorders>
            <w:vAlign w:val="center"/>
          </w:tcPr>
          <w:p w14:paraId="654BD67B">
            <w:pPr>
              <w:jc w:val="center"/>
              <w:rPr>
                <w:rFonts w:hint="default" w:eastAsia="宋体"/>
                <w:sz w:val="22"/>
                <w:szCs w:val="22"/>
                <w:lang w:val="en-US" w:eastAsia="zh-CN"/>
              </w:rPr>
            </w:pPr>
            <w:r>
              <w:rPr>
                <w:rFonts w:hint="eastAsia"/>
                <w:sz w:val="22"/>
                <w:szCs w:val="22"/>
                <w:lang w:val="en-US" w:eastAsia="zh-CN"/>
              </w:rPr>
              <w:t>0.004</w:t>
            </w:r>
          </w:p>
        </w:tc>
        <w:tc>
          <w:tcPr>
            <w:tcW w:w="308" w:type="pct"/>
            <w:tcBorders>
              <w:top w:val="single" w:color="auto" w:sz="4" w:space="0"/>
              <w:left w:val="nil"/>
              <w:bottom w:val="single" w:color="auto" w:sz="4" w:space="0"/>
              <w:right w:val="single" w:color="auto" w:sz="4" w:space="0"/>
            </w:tcBorders>
            <w:vAlign w:val="center"/>
          </w:tcPr>
          <w:p w14:paraId="29702A7D">
            <w:pPr>
              <w:jc w:val="center"/>
              <w:rPr>
                <w:rFonts w:hint="default" w:eastAsia="宋体"/>
                <w:sz w:val="22"/>
                <w:szCs w:val="22"/>
                <w:lang w:val="en-US" w:eastAsia="zh-CN"/>
              </w:rPr>
            </w:pPr>
            <w:r>
              <w:rPr>
                <w:rFonts w:hint="eastAsia"/>
                <w:sz w:val="22"/>
                <w:szCs w:val="22"/>
                <w:lang w:val="en-US" w:eastAsia="zh-CN"/>
              </w:rPr>
              <w:t>0.039</w:t>
            </w:r>
          </w:p>
        </w:tc>
        <w:tc>
          <w:tcPr>
            <w:tcW w:w="308" w:type="pct"/>
            <w:vAlign w:val="center"/>
          </w:tcPr>
          <w:p w14:paraId="4F1AD646">
            <w:pPr>
              <w:widowControl/>
              <w:jc w:val="center"/>
              <w:rPr>
                <w:sz w:val="22"/>
                <w:szCs w:val="22"/>
              </w:rPr>
            </w:pPr>
            <w:r>
              <w:rPr>
                <w:rFonts w:hint="eastAsia"/>
                <w:sz w:val="22"/>
                <w:szCs w:val="22"/>
              </w:rPr>
              <w:t>4</w:t>
            </w:r>
            <w:r>
              <w:rPr>
                <w:sz w:val="22"/>
                <w:szCs w:val="22"/>
              </w:rPr>
              <w:t>.0</w:t>
            </w:r>
          </w:p>
        </w:tc>
        <w:tc>
          <w:tcPr>
            <w:tcW w:w="246" w:type="pct"/>
            <w:vAlign w:val="center"/>
          </w:tcPr>
          <w:p w14:paraId="539B259A">
            <w:pPr>
              <w:widowControl/>
              <w:jc w:val="center"/>
              <w:rPr>
                <w:sz w:val="22"/>
                <w:szCs w:val="22"/>
              </w:rPr>
            </w:pPr>
            <w:r>
              <w:rPr>
                <w:rFonts w:hint="eastAsia"/>
                <w:sz w:val="22"/>
                <w:szCs w:val="22"/>
              </w:rPr>
              <w:t>/</w:t>
            </w:r>
          </w:p>
        </w:tc>
        <w:tc>
          <w:tcPr>
            <w:tcW w:w="430" w:type="pct"/>
            <w:vMerge w:val="restart"/>
            <w:vAlign w:val="center"/>
          </w:tcPr>
          <w:p w14:paraId="01FE6D8D">
            <w:pPr>
              <w:widowControl/>
              <w:jc w:val="center"/>
              <w:rPr>
                <w:sz w:val="22"/>
                <w:szCs w:val="22"/>
              </w:rPr>
            </w:pPr>
            <w:r>
              <w:rPr>
                <w:rFonts w:hint="eastAsia"/>
                <w:sz w:val="22"/>
                <w:szCs w:val="22"/>
              </w:rPr>
              <w:t>《加油站大气污染物排放标准》（GB 20952-2020）</w:t>
            </w:r>
          </w:p>
        </w:tc>
      </w:tr>
      <w:tr w14:paraId="1F294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0" w:type="pct"/>
            <w:vMerge w:val="restart"/>
            <w:vAlign w:val="center"/>
          </w:tcPr>
          <w:p w14:paraId="33ADDA27">
            <w:pPr>
              <w:jc w:val="center"/>
              <w:rPr>
                <w:kern w:val="0"/>
                <w:sz w:val="22"/>
                <w:szCs w:val="22"/>
              </w:rPr>
            </w:pPr>
            <w:r>
              <w:rPr>
                <w:rFonts w:hint="eastAsia"/>
                <w:kern w:val="0"/>
                <w:sz w:val="22"/>
                <w:szCs w:val="22"/>
              </w:rPr>
              <w:t>汽油</w:t>
            </w:r>
          </w:p>
        </w:tc>
        <w:tc>
          <w:tcPr>
            <w:tcW w:w="244" w:type="pct"/>
            <w:vAlign w:val="center"/>
          </w:tcPr>
          <w:p w14:paraId="2F96EC7A">
            <w:pPr>
              <w:jc w:val="center"/>
              <w:rPr>
                <w:kern w:val="0"/>
                <w:sz w:val="22"/>
                <w:szCs w:val="22"/>
              </w:rPr>
            </w:pPr>
            <w:r>
              <w:rPr>
                <w:rFonts w:hint="eastAsia"/>
                <w:kern w:val="0"/>
                <w:sz w:val="22"/>
                <w:szCs w:val="22"/>
              </w:rPr>
              <w:t>卸油</w:t>
            </w:r>
          </w:p>
        </w:tc>
        <w:tc>
          <w:tcPr>
            <w:tcW w:w="340" w:type="pct"/>
            <w:vAlign w:val="center"/>
          </w:tcPr>
          <w:p w14:paraId="4BFAC3C9">
            <w:pPr>
              <w:widowControl/>
              <w:jc w:val="center"/>
              <w:rPr>
                <w:sz w:val="22"/>
                <w:szCs w:val="22"/>
              </w:rPr>
            </w:pPr>
            <w:r>
              <w:rPr>
                <w:rFonts w:hint="eastAsia"/>
                <w:sz w:val="22"/>
                <w:szCs w:val="22"/>
              </w:rPr>
              <w:t>非甲烷总烃</w:t>
            </w:r>
          </w:p>
        </w:tc>
        <w:tc>
          <w:tcPr>
            <w:tcW w:w="218" w:type="pct"/>
            <w:vAlign w:val="center"/>
          </w:tcPr>
          <w:p w14:paraId="6E35CA16">
            <w:pPr>
              <w:jc w:val="center"/>
              <w:rPr>
                <w:sz w:val="22"/>
                <w:szCs w:val="22"/>
              </w:rPr>
            </w:pPr>
            <w:r>
              <w:rPr>
                <w:rFonts w:hint="eastAsia"/>
                <w:sz w:val="22"/>
                <w:szCs w:val="22"/>
              </w:rPr>
              <w:t>/</w:t>
            </w:r>
          </w:p>
        </w:tc>
        <w:tc>
          <w:tcPr>
            <w:tcW w:w="272" w:type="pct"/>
            <w:tcBorders>
              <w:top w:val="single" w:color="auto" w:sz="4" w:space="0"/>
              <w:left w:val="single" w:color="auto" w:sz="4" w:space="0"/>
              <w:bottom w:val="single" w:color="auto" w:sz="4" w:space="0"/>
              <w:right w:val="single" w:color="auto" w:sz="4" w:space="0"/>
            </w:tcBorders>
            <w:vAlign w:val="center"/>
          </w:tcPr>
          <w:p w14:paraId="2096A68E">
            <w:pPr>
              <w:jc w:val="center"/>
              <w:rPr>
                <w:rFonts w:hint="default" w:eastAsia="宋体"/>
                <w:sz w:val="22"/>
                <w:szCs w:val="22"/>
                <w:lang w:val="en-US" w:eastAsia="zh-CN"/>
              </w:rPr>
            </w:pPr>
            <w:r>
              <w:rPr>
                <w:rFonts w:hint="eastAsia"/>
                <w:sz w:val="22"/>
                <w:szCs w:val="22"/>
                <w:lang w:val="en-US" w:eastAsia="zh-CN"/>
              </w:rPr>
              <w:t>1.090</w:t>
            </w:r>
          </w:p>
        </w:tc>
        <w:tc>
          <w:tcPr>
            <w:tcW w:w="328" w:type="pct"/>
            <w:tcBorders>
              <w:top w:val="single" w:color="auto" w:sz="4" w:space="0"/>
              <w:left w:val="nil"/>
              <w:bottom w:val="single" w:color="auto" w:sz="4" w:space="0"/>
              <w:right w:val="single" w:color="auto" w:sz="4" w:space="0"/>
            </w:tcBorders>
            <w:vAlign w:val="center"/>
          </w:tcPr>
          <w:p w14:paraId="4E80531A">
            <w:pPr>
              <w:jc w:val="center"/>
              <w:rPr>
                <w:rFonts w:hint="default" w:eastAsia="宋体"/>
                <w:sz w:val="22"/>
                <w:szCs w:val="22"/>
                <w:lang w:val="en-US" w:eastAsia="zh-CN"/>
              </w:rPr>
            </w:pPr>
            <w:r>
              <w:rPr>
                <w:rFonts w:hint="eastAsia"/>
                <w:sz w:val="22"/>
                <w:szCs w:val="22"/>
                <w:lang w:val="en-US" w:eastAsia="zh-CN"/>
              </w:rPr>
              <w:t>9.545</w:t>
            </w:r>
          </w:p>
        </w:tc>
        <w:tc>
          <w:tcPr>
            <w:tcW w:w="280" w:type="pct"/>
            <w:vAlign w:val="center"/>
          </w:tcPr>
          <w:p w14:paraId="2C00EB28">
            <w:pPr>
              <w:widowControl/>
              <w:jc w:val="center"/>
              <w:rPr>
                <w:kern w:val="0"/>
                <w:sz w:val="22"/>
                <w:szCs w:val="22"/>
              </w:rPr>
            </w:pPr>
            <w:r>
              <w:rPr>
                <w:rFonts w:hint="eastAsia"/>
                <w:kern w:val="0"/>
                <w:sz w:val="22"/>
                <w:szCs w:val="22"/>
              </w:rPr>
              <w:t>无组织</w:t>
            </w:r>
          </w:p>
        </w:tc>
        <w:tc>
          <w:tcPr>
            <w:tcW w:w="370" w:type="pct"/>
            <w:vAlign w:val="center"/>
          </w:tcPr>
          <w:p w14:paraId="3A4A27C9">
            <w:pPr>
              <w:widowControl/>
              <w:jc w:val="center"/>
              <w:rPr>
                <w:kern w:val="0"/>
                <w:sz w:val="22"/>
                <w:szCs w:val="22"/>
              </w:rPr>
            </w:pPr>
            <w:r>
              <w:rPr>
                <w:rFonts w:hint="eastAsia"/>
                <w:kern w:val="0"/>
                <w:sz w:val="22"/>
                <w:szCs w:val="22"/>
              </w:rPr>
              <w:t>一次油气回收系统</w:t>
            </w:r>
          </w:p>
        </w:tc>
        <w:tc>
          <w:tcPr>
            <w:tcW w:w="185" w:type="pct"/>
            <w:vAlign w:val="center"/>
          </w:tcPr>
          <w:p w14:paraId="49E52415">
            <w:pPr>
              <w:widowControl/>
              <w:jc w:val="center"/>
              <w:rPr>
                <w:sz w:val="22"/>
                <w:szCs w:val="22"/>
              </w:rPr>
            </w:pPr>
            <w:r>
              <w:rPr>
                <w:rFonts w:hint="eastAsia"/>
                <w:sz w:val="22"/>
                <w:szCs w:val="22"/>
              </w:rPr>
              <w:t>/</w:t>
            </w:r>
          </w:p>
        </w:tc>
        <w:tc>
          <w:tcPr>
            <w:tcW w:w="246" w:type="pct"/>
            <w:vAlign w:val="center"/>
          </w:tcPr>
          <w:p w14:paraId="76A62034">
            <w:pPr>
              <w:jc w:val="center"/>
              <w:rPr>
                <w:sz w:val="22"/>
                <w:szCs w:val="22"/>
              </w:rPr>
            </w:pPr>
            <w:r>
              <w:rPr>
                <w:rFonts w:hint="eastAsia"/>
                <w:sz w:val="22"/>
                <w:szCs w:val="22"/>
              </w:rPr>
              <w:t>1</w:t>
            </w:r>
            <w:r>
              <w:rPr>
                <w:sz w:val="22"/>
                <w:szCs w:val="22"/>
              </w:rPr>
              <w:t>00</w:t>
            </w:r>
          </w:p>
        </w:tc>
        <w:tc>
          <w:tcPr>
            <w:tcW w:w="246" w:type="pct"/>
            <w:vAlign w:val="center"/>
          </w:tcPr>
          <w:p w14:paraId="5E2E5E47">
            <w:pPr>
              <w:widowControl/>
              <w:jc w:val="center"/>
              <w:rPr>
                <w:sz w:val="22"/>
                <w:szCs w:val="22"/>
              </w:rPr>
            </w:pPr>
            <w:r>
              <w:rPr>
                <w:rFonts w:hint="eastAsia"/>
                <w:sz w:val="22"/>
                <w:szCs w:val="22"/>
              </w:rPr>
              <w:t>9</w:t>
            </w:r>
            <w:r>
              <w:rPr>
                <w:sz w:val="22"/>
                <w:szCs w:val="22"/>
              </w:rPr>
              <w:t>5</w:t>
            </w:r>
          </w:p>
        </w:tc>
        <w:tc>
          <w:tcPr>
            <w:tcW w:w="185" w:type="pct"/>
            <w:vAlign w:val="center"/>
          </w:tcPr>
          <w:p w14:paraId="33E3BF82">
            <w:pPr>
              <w:widowControl/>
              <w:jc w:val="center"/>
              <w:rPr>
                <w:sz w:val="22"/>
                <w:szCs w:val="22"/>
              </w:rPr>
            </w:pPr>
            <w:r>
              <w:rPr>
                <w:rFonts w:hint="eastAsia"/>
                <w:sz w:val="22"/>
                <w:szCs w:val="22"/>
              </w:rPr>
              <w:t>是</w:t>
            </w:r>
          </w:p>
        </w:tc>
        <w:tc>
          <w:tcPr>
            <w:tcW w:w="246" w:type="pct"/>
            <w:vAlign w:val="center"/>
          </w:tcPr>
          <w:p w14:paraId="43369F6A">
            <w:pPr>
              <w:widowControl/>
              <w:jc w:val="center"/>
              <w:rPr>
                <w:kern w:val="0"/>
                <w:sz w:val="22"/>
                <w:szCs w:val="22"/>
              </w:rPr>
            </w:pPr>
            <w:r>
              <w:rPr>
                <w:rFonts w:hint="eastAsia"/>
                <w:kern w:val="0"/>
                <w:sz w:val="22"/>
                <w:szCs w:val="22"/>
              </w:rPr>
              <w:t>/</w:t>
            </w:r>
          </w:p>
        </w:tc>
        <w:tc>
          <w:tcPr>
            <w:tcW w:w="308" w:type="pct"/>
            <w:tcBorders>
              <w:top w:val="single" w:color="auto" w:sz="4" w:space="0"/>
              <w:left w:val="single" w:color="auto" w:sz="4" w:space="0"/>
              <w:bottom w:val="single" w:color="auto" w:sz="4" w:space="0"/>
              <w:right w:val="single" w:color="auto" w:sz="4" w:space="0"/>
            </w:tcBorders>
            <w:vAlign w:val="center"/>
          </w:tcPr>
          <w:p w14:paraId="218E8066">
            <w:pPr>
              <w:jc w:val="center"/>
              <w:rPr>
                <w:rFonts w:hint="default" w:eastAsia="宋体"/>
                <w:sz w:val="22"/>
                <w:szCs w:val="22"/>
                <w:lang w:val="en-US" w:eastAsia="zh-CN"/>
              </w:rPr>
            </w:pPr>
            <w:r>
              <w:rPr>
                <w:rFonts w:hint="eastAsia"/>
                <w:sz w:val="22"/>
                <w:szCs w:val="22"/>
                <w:lang w:val="en-US" w:eastAsia="zh-CN"/>
              </w:rPr>
              <w:t>0.054</w:t>
            </w:r>
          </w:p>
        </w:tc>
        <w:tc>
          <w:tcPr>
            <w:tcW w:w="308" w:type="pct"/>
            <w:tcBorders>
              <w:top w:val="single" w:color="auto" w:sz="4" w:space="0"/>
              <w:left w:val="nil"/>
              <w:bottom w:val="single" w:color="auto" w:sz="4" w:space="0"/>
              <w:right w:val="single" w:color="auto" w:sz="4" w:space="0"/>
            </w:tcBorders>
            <w:vAlign w:val="center"/>
          </w:tcPr>
          <w:p w14:paraId="72E08931">
            <w:pPr>
              <w:jc w:val="center"/>
              <w:rPr>
                <w:rFonts w:hint="default" w:eastAsia="宋体"/>
                <w:sz w:val="22"/>
                <w:szCs w:val="22"/>
                <w:lang w:val="en-US" w:eastAsia="zh-CN"/>
              </w:rPr>
            </w:pPr>
            <w:r>
              <w:rPr>
                <w:rFonts w:hint="eastAsia"/>
                <w:sz w:val="22"/>
                <w:szCs w:val="22"/>
                <w:lang w:val="en-US" w:eastAsia="zh-CN"/>
              </w:rPr>
              <w:t>0.477</w:t>
            </w:r>
          </w:p>
        </w:tc>
        <w:tc>
          <w:tcPr>
            <w:tcW w:w="308" w:type="pct"/>
            <w:vAlign w:val="center"/>
          </w:tcPr>
          <w:p w14:paraId="2AFC0939">
            <w:pPr>
              <w:widowControl/>
              <w:jc w:val="center"/>
              <w:rPr>
                <w:sz w:val="22"/>
                <w:szCs w:val="22"/>
              </w:rPr>
            </w:pPr>
            <w:r>
              <w:rPr>
                <w:rFonts w:hint="eastAsia"/>
                <w:sz w:val="22"/>
                <w:szCs w:val="22"/>
              </w:rPr>
              <w:t>4</w:t>
            </w:r>
            <w:r>
              <w:rPr>
                <w:sz w:val="22"/>
                <w:szCs w:val="22"/>
              </w:rPr>
              <w:t>.0</w:t>
            </w:r>
          </w:p>
        </w:tc>
        <w:tc>
          <w:tcPr>
            <w:tcW w:w="246" w:type="pct"/>
            <w:vAlign w:val="center"/>
          </w:tcPr>
          <w:p w14:paraId="21FAA341">
            <w:pPr>
              <w:widowControl/>
              <w:jc w:val="center"/>
              <w:rPr>
                <w:sz w:val="22"/>
                <w:szCs w:val="22"/>
              </w:rPr>
            </w:pPr>
            <w:r>
              <w:rPr>
                <w:rFonts w:hint="eastAsia"/>
                <w:sz w:val="22"/>
                <w:szCs w:val="22"/>
              </w:rPr>
              <w:t>/</w:t>
            </w:r>
          </w:p>
        </w:tc>
        <w:tc>
          <w:tcPr>
            <w:tcW w:w="430" w:type="pct"/>
            <w:vMerge w:val="continue"/>
            <w:vAlign w:val="center"/>
          </w:tcPr>
          <w:p w14:paraId="2755BC65">
            <w:pPr>
              <w:widowControl/>
              <w:jc w:val="center"/>
              <w:rPr>
                <w:sz w:val="22"/>
                <w:szCs w:val="22"/>
              </w:rPr>
            </w:pPr>
          </w:p>
        </w:tc>
      </w:tr>
      <w:tr w14:paraId="1BA72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0" w:type="pct"/>
            <w:vMerge w:val="continue"/>
            <w:vAlign w:val="center"/>
          </w:tcPr>
          <w:p w14:paraId="4A03FFAC">
            <w:pPr>
              <w:jc w:val="center"/>
              <w:rPr>
                <w:rFonts w:hint="eastAsia"/>
                <w:kern w:val="0"/>
                <w:sz w:val="22"/>
                <w:szCs w:val="22"/>
              </w:rPr>
            </w:pPr>
          </w:p>
        </w:tc>
        <w:tc>
          <w:tcPr>
            <w:tcW w:w="244" w:type="pct"/>
            <w:shd w:val="clear" w:color="auto" w:fill="auto"/>
            <w:vAlign w:val="center"/>
          </w:tcPr>
          <w:p w14:paraId="3000273D">
            <w:pPr>
              <w:widowControl/>
              <w:jc w:val="center"/>
              <w:rPr>
                <w:rFonts w:hint="eastAsia" w:ascii="Times New Roman" w:hAnsi="Times New Roman" w:eastAsia="宋体" w:cs="Times New Roman"/>
                <w:kern w:val="0"/>
                <w:sz w:val="22"/>
                <w:szCs w:val="22"/>
                <w:lang w:val="en-US" w:eastAsia="zh-CN" w:bidi="ar-SA"/>
              </w:rPr>
            </w:pPr>
            <w:r>
              <w:rPr>
                <w:rFonts w:hint="eastAsia"/>
                <w:kern w:val="0"/>
                <w:sz w:val="22"/>
                <w:szCs w:val="22"/>
              </w:rPr>
              <w:t>加油</w:t>
            </w:r>
          </w:p>
        </w:tc>
        <w:tc>
          <w:tcPr>
            <w:tcW w:w="340" w:type="pct"/>
            <w:shd w:val="clear" w:color="auto" w:fill="auto"/>
            <w:vAlign w:val="center"/>
          </w:tcPr>
          <w:p w14:paraId="3E421E5F">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非甲烷总烃</w:t>
            </w:r>
          </w:p>
        </w:tc>
        <w:tc>
          <w:tcPr>
            <w:tcW w:w="218" w:type="pct"/>
            <w:shd w:val="clear" w:color="auto" w:fill="auto"/>
            <w:vAlign w:val="center"/>
          </w:tcPr>
          <w:p w14:paraId="7EE260FB">
            <w:pPr>
              <w:jc w:val="center"/>
              <w:rPr>
                <w:rFonts w:hint="eastAsia" w:ascii="Times New Roman" w:hAnsi="Times New Roman" w:eastAsia="宋体" w:cs="Times New Roman"/>
                <w:kern w:val="2"/>
                <w:sz w:val="22"/>
                <w:szCs w:val="22"/>
                <w:lang w:val="en-US" w:eastAsia="zh-CN" w:bidi="ar-SA"/>
              </w:rPr>
            </w:pPr>
            <w:r>
              <w:rPr>
                <w:sz w:val="22"/>
                <w:szCs w:val="22"/>
              </w:rPr>
              <w:t>/</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14:paraId="1EFC99BB">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1.180</w:t>
            </w:r>
          </w:p>
        </w:tc>
        <w:tc>
          <w:tcPr>
            <w:tcW w:w="328" w:type="pct"/>
            <w:tcBorders>
              <w:top w:val="single" w:color="auto" w:sz="4" w:space="0"/>
              <w:left w:val="nil"/>
              <w:bottom w:val="single" w:color="auto" w:sz="4" w:space="0"/>
              <w:right w:val="single" w:color="auto" w:sz="4" w:space="0"/>
            </w:tcBorders>
            <w:shd w:val="clear" w:color="auto" w:fill="auto"/>
            <w:vAlign w:val="center"/>
          </w:tcPr>
          <w:p w14:paraId="5EBE9C51">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10.334</w:t>
            </w:r>
          </w:p>
        </w:tc>
        <w:tc>
          <w:tcPr>
            <w:tcW w:w="280" w:type="pct"/>
            <w:shd w:val="clear" w:color="auto" w:fill="auto"/>
            <w:vAlign w:val="center"/>
          </w:tcPr>
          <w:p w14:paraId="0A117AFF">
            <w:pPr>
              <w:widowControl/>
              <w:jc w:val="center"/>
              <w:rPr>
                <w:rFonts w:hint="eastAsia" w:ascii="Times New Roman" w:hAnsi="Times New Roman" w:eastAsia="宋体" w:cs="Times New Roman"/>
                <w:kern w:val="0"/>
                <w:sz w:val="22"/>
                <w:szCs w:val="22"/>
                <w:lang w:val="en-US" w:eastAsia="zh-CN" w:bidi="ar-SA"/>
              </w:rPr>
            </w:pPr>
            <w:r>
              <w:rPr>
                <w:rFonts w:hint="eastAsia"/>
                <w:kern w:val="0"/>
                <w:sz w:val="22"/>
                <w:szCs w:val="22"/>
              </w:rPr>
              <w:t>无组织</w:t>
            </w:r>
          </w:p>
        </w:tc>
        <w:tc>
          <w:tcPr>
            <w:tcW w:w="370" w:type="pct"/>
            <w:shd w:val="clear" w:color="auto" w:fill="auto"/>
            <w:vAlign w:val="center"/>
          </w:tcPr>
          <w:p w14:paraId="25C76AED">
            <w:pPr>
              <w:widowControl/>
              <w:jc w:val="center"/>
              <w:rPr>
                <w:rFonts w:hint="eastAsia" w:ascii="Times New Roman" w:hAnsi="Times New Roman" w:eastAsia="宋体" w:cs="Times New Roman"/>
                <w:kern w:val="0"/>
                <w:sz w:val="22"/>
                <w:szCs w:val="22"/>
                <w:lang w:val="en-US" w:eastAsia="zh-CN" w:bidi="ar-SA"/>
              </w:rPr>
            </w:pPr>
            <w:r>
              <w:rPr>
                <w:rFonts w:hint="eastAsia"/>
                <w:kern w:val="0"/>
                <w:sz w:val="22"/>
                <w:szCs w:val="22"/>
              </w:rPr>
              <w:t>二次油气回收系统</w:t>
            </w:r>
          </w:p>
        </w:tc>
        <w:tc>
          <w:tcPr>
            <w:tcW w:w="185" w:type="pct"/>
            <w:shd w:val="clear" w:color="auto" w:fill="auto"/>
            <w:vAlign w:val="center"/>
          </w:tcPr>
          <w:p w14:paraId="210CF532">
            <w:pPr>
              <w:widowControl/>
              <w:jc w:val="center"/>
              <w:rPr>
                <w:rFonts w:hint="eastAsia" w:ascii="Times New Roman" w:hAnsi="Times New Roman" w:eastAsia="宋体" w:cs="Times New Roman"/>
                <w:kern w:val="0"/>
                <w:sz w:val="22"/>
                <w:szCs w:val="22"/>
                <w:lang w:val="en-US" w:eastAsia="zh-CN" w:bidi="ar-SA"/>
              </w:rPr>
            </w:pPr>
            <w:r>
              <w:rPr>
                <w:kern w:val="0"/>
                <w:sz w:val="22"/>
                <w:szCs w:val="22"/>
              </w:rPr>
              <w:t>/</w:t>
            </w:r>
          </w:p>
        </w:tc>
        <w:tc>
          <w:tcPr>
            <w:tcW w:w="246" w:type="pct"/>
            <w:shd w:val="clear" w:color="auto" w:fill="auto"/>
            <w:vAlign w:val="center"/>
          </w:tcPr>
          <w:p w14:paraId="40C32CDE">
            <w:pPr>
              <w:widowControl/>
              <w:jc w:val="center"/>
              <w:rPr>
                <w:rFonts w:hint="eastAsia" w:ascii="Times New Roman" w:hAnsi="Times New Roman" w:eastAsia="宋体" w:cs="Times New Roman"/>
                <w:kern w:val="2"/>
                <w:sz w:val="22"/>
                <w:szCs w:val="22"/>
                <w:lang w:val="en-US" w:eastAsia="zh-CN" w:bidi="ar-SA"/>
              </w:rPr>
            </w:pPr>
            <w:r>
              <w:rPr>
                <w:sz w:val="22"/>
                <w:szCs w:val="22"/>
              </w:rPr>
              <w:t>100</w:t>
            </w:r>
          </w:p>
        </w:tc>
        <w:tc>
          <w:tcPr>
            <w:tcW w:w="246" w:type="pct"/>
            <w:shd w:val="clear" w:color="auto" w:fill="auto"/>
            <w:vAlign w:val="center"/>
          </w:tcPr>
          <w:p w14:paraId="2B7BAD2C">
            <w:pPr>
              <w:jc w:val="center"/>
              <w:rPr>
                <w:rFonts w:hint="default" w:ascii="Times New Roman" w:hAnsi="Times New Roman" w:eastAsia="宋体" w:cs="Times New Roman"/>
                <w:kern w:val="2"/>
                <w:sz w:val="22"/>
                <w:szCs w:val="22"/>
                <w:lang w:val="en-US" w:eastAsia="zh-CN" w:bidi="ar-SA"/>
              </w:rPr>
            </w:pPr>
            <w:r>
              <w:rPr>
                <w:rFonts w:hint="eastAsia"/>
                <w:sz w:val="22"/>
                <w:szCs w:val="22"/>
                <w:lang w:val="en-US" w:eastAsia="zh-CN"/>
              </w:rPr>
              <w:t>90</w:t>
            </w:r>
          </w:p>
        </w:tc>
        <w:tc>
          <w:tcPr>
            <w:tcW w:w="185" w:type="pct"/>
            <w:shd w:val="clear" w:color="auto" w:fill="auto"/>
            <w:vAlign w:val="center"/>
          </w:tcPr>
          <w:p w14:paraId="761B5EA1">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是</w:t>
            </w:r>
          </w:p>
        </w:tc>
        <w:tc>
          <w:tcPr>
            <w:tcW w:w="246" w:type="pct"/>
            <w:shd w:val="clear" w:color="auto" w:fill="auto"/>
            <w:vAlign w:val="center"/>
          </w:tcPr>
          <w:p w14:paraId="59DCDBD2">
            <w:pPr>
              <w:widowControl/>
              <w:jc w:val="center"/>
              <w:rPr>
                <w:rFonts w:hint="eastAsia" w:ascii="Times New Roman" w:hAnsi="Times New Roman" w:eastAsia="宋体" w:cs="Times New Roman"/>
                <w:kern w:val="0"/>
                <w:sz w:val="22"/>
                <w:szCs w:val="22"/>
                <w:lang w:val="en-US" w:eastAsia="zh-CN" w:bidi="ar-SA"/>
              </w:rPr>
            </w:pPr>
            <w:r>
              <w:rPr>
                <w:kern w:val="0"/>
                <w:sz w:val="22"/>
                <w:szCs w:val="22"/>
              </w:rPr>
              <w:t>/</w:t>
            </w:r>
          </w:p>
        </w:tc>
        <w:tc>
          <w:tcPr>
            <w:tcW w:w="308" w:type="pct"/>
            <w:tcBorders>
              <w:top w:val="single" w:color="auto" w:sz="4" w:space="0"/>
              <w:left w:val="single" w:color="auto" w:sz="4" w:space="0"/>
              <w:bottom w:val="single" w:color="auto" w:sz="4" w:space="0"/>
              <w:right w:val="single" w:color="auto" w:sz="4" w:space="0"/>
            </w:tcBorders>
            <w:shd w:val="clear" w:color="auto" w:fill="auto"/>
            <w:vAlign w:val="center"/>
          </w:tcPr>
          <w:p w14:paraId="2593B182">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0.118</w:t>
            </w:r>
          </w:p>
        </w:tc>
        <w:tc>
          <w:tcPr>
            <w:tcW w:w="308" w:type="pct"/>
            <w:tcBorders>
              <w:top w:val="single" w:color="auto" w:sz="4" w:space="0"/>
              <w:left w:val="nil"/>
              <w:bottom w:val="single" w:color="auto" w:sz="4" w:space="0"/>
              <w:right w:val="single" w:color="auto" w:sz="4" w:space="0"/>
            </w:tcBorders>
            <w:shd w:val="clear" w:color="auto" w:fill="auto"/>
            <w:vAlign w:val="center"/>
          </w:tcPr>
          <w:p w14:paraId="175FD59E">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1.033</w:t>
            </w:r>
          </w:p>
        </w:tc>
        <w:tc>
          <w:tcPr>
            <w:tcW w:w="308" w:type="pct"/>
            <w:shd w:val="clear" w:color="auto" w:fill="auto"/>
            <w:vAlign w:val="center"/>
          </w:tcPr>
          <w:p w14:paraId="32311155">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4</w:t>
            </w:r>
            <w:r>
              <w:rPr>
                <w:sz w:val="22"/>
                <w:szCs w:val="22"/>
              </w:rPr>
              <w:t>.0</w:t>
            </w:r>
          </w:p>
        </w:tc>
        <w:tc>
          <w:tcPr>
            <w:tcW w:w="246" w:type="pct"/>
            <w:shd w:val="clear" w:color="auto" w:fill="auto"/>
            <w:vAlign w:val="center"/>
          </w:tcPr>
          <w:p w14:paraId="129708AF">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w:t>
            </w:r>
          </w:p>
        </w:tc>
        <w:tc>
          <w:tcPr>
            <w:tcW w:w="430" w:type="pct"/>
            <w:vMerge w:val="continue"/>
            <w:vAlign w:val="center"/>
          </w:tcPr>
          <w:p w14:paraId="06A1AEF3">
            <w:pPr>
              <w:widowControl/>
              <w:jc w:val="center"/>
              <w:rPr>
                <w:sz w:val="22"/>
                <w:szCs w:val="22"/>
              </w:rPr>
            </w:pPr>
          </w:p>
        </w:tc>
      </w:tr>
      <w:tr w14:paraId="666E3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0" w:type="pct"/>
            <w:vMerge w:val="continue"/>
            <w:vAlign w:val="center"/>
          </w:tcPr>
          <w:p w14:paraId="36BD2B78">
            <w:pPr>
              <w:widowControl/>
              <w:jc w:val="center"/>
              <w:rPr>
                <w:kern w:val="0"/>
                <w:sz w:val="22"/>
                <w:szCs w:val="22"/>
              </w:rPr>
            </w:pPr>
          </w:p>
        </w:tc>
        <w:tc>
          <w:tcPr>
            <w:tcW w:w="244" w:type="pct"/>
            <w:shd w:val="clear" w:color="auto" w:fill="auto"/>
            <w:vAlign w:val="center"/>
          </w:tcPr>
          <w:p w14:paraId="22E96300">
            <w:pPr>
              <w:widowControl/>
              <w:jc w:val="center"/>
              <w:rPr>
                <w:rFonts w:hint="eastAsia" w:ascii="Times New Roman" w:hAnsi="Times New Roman" w:eastAsia="宋体" w:cs="Times New Roman"/>
                <w:kern w:val="0"/>
                <w:sz w:val="22"/>
                <w:szCs w:val="22"/>
                <w:lang w:val="en-US" w:eastAsia="zh-CN" w:bidi="ar-SA"/>
              </w:rPr>
            </w:pPr>
            <w:r>
              <w:rPr>
                <w:rFonts w:hint="eastAsia"/>
                <w:kern w:val="0"/>
                <w:sz w:val="22"/>
                <w:szCs w:val="22"/>
                <w:lang w:val="en-US" w:eastAsia="zh-CN"/>
              </w:rPr>
              <w:t>储</w:t>
            </w:r>
            <w:r>
              <w:rPr>
                <w:rFonts w:hint="eastAsia"/>
                <w:kern w:val="0"/>
                <w:sz w:val="22"/>
                <w:szCs w:val="22"/>
              </w:rPr>
              <w:t>油</w:t>
            </w:r>
          </w:p>
        </w:tc>
        <w:tc>
          <w:tcPr>
            <w:tcW w:w="340" w:type="pct"/>
            <w:shd w:val="clear" w:color="auto" w:fill="auto"/>
            <w:vAlign w:val="center"/>
          </w:tcPr>
          <w:p w14:paraId="6E87C778">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非甲烷总烃</w:t>
            </w:r>
          </w:p>
        </w:tc>
        <w:tc>
          <w:tcPr>
            <w:tcW w:w="218" w:type="pct"/>
            <w:shd w:val="clear" w:color="auto" w:fill="auto"/>
            <w:vAlign w:val="center"/>
          </w:tcPr>
          <w:p w14:paraId="69FC49F1">
            <w:pPr>
              <w:jc w:val="center"/>
              <w:rPr>
                <w:rFonts w:hint="eastAsia" w:ascii="Times New Roman" w:hAnsi="Times New Roman" w:eastAsia="宋体" w:cs="Times New Roman"/>
                <w:kern w:val="2"/>
                <w:sz w:val="22"/>
                <w:szCs w:val="22"/>
                <w:lang w:val="en-US" w:eastAsia="zh-CN" w:bidi="ar-SA"/>
              </w:rPr>
            </w:pPr>
            <w:r>
              <w:rPr>
                <w:sz w:val="22"/>
                <w:szCs w:val="22"/>
              </w:rPr>
              <w:t>/</w:t>
            </w:r>
          </w:p>
        </w:tc>
        <w:tc>
          <w:tcPr>
            <w:tcW w:w="272" w:type="pct"/>
            <w:tcBorders>
              <w:top w:val="nil"/>
              <w:left w:val="single" w:color="auto" w:sz="4" w:space="0"/>
              <w:bottom w:val="single" w:color="auto" w:sz="4" w:space="0"/>
              <w:right w:val="single" w:color="auto" w:sz="4" w:space="0"/>
            </w:tcBorders>
            <w:shd w:val="clear" w:color="auto" w:fill="auto"/>
            <w:vAlign w:val="center"/>
          </w:tcPr>
          <w:p w14:paraId="0EAD8C6E">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0.076</w:t>
            </w:r>
          </w:p>
        </w:tc>
        <w:tc>
          <w:tcPr>
            <w:tcW w:w="328" w:type="pct"/>
            <w:tcBorders>
              <w:top w:val="nil"/>
              <w:left w:val="nil"/>
              <w:bottom w:val="single" w:color="auto" w:sz="4" w:space="0"/>
              <w:right w:val="single" w:color="auto" w:sz="4" w:space="0"/>
            </w:tcBorders>
            <w:shd w:val="clear" w:color="auto" w:fill="auto"/>
            <w:vAlign w:val="center"/>
          </w:tcPr>
          <w:p w14:paraId="32F0FE53">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0.664</w:t>
            </w:r>
          </w:p>
        </w:tc>
        <w:tc>
          <w:tcPr>
            <w:tcW w:w="280" w:type="pct"/>
            <w:shd w:val="clear" w:color="auto" w:fill="auto"/>
            <w:vAlign w:val="center"/>
          </w:tcPr>
          <w:p w14:paraId="62598FFD">
            <w:pPr>
              <w:widowControl/>
              <w:jc w:val="center"/>
              <w:rPr>
                <w:rFonts w:hint="eastAsia" w:ascii="Times New Roman" w:hAnsi="Times New Roman" w:eastAsia="宋体" w:cs="Times New Roman"/>
                <w:kern w:val="0"/>
                <w:sz w:val="22"/>
                <w:szCs w:val="22"/>
                <w:lang w:val="en-US" w:eastAsia="zh-CN" w:bidi="ar-SA"/>
              </w:rPr>
            </w:pPr>
            <w:r>
              <w:rPr>
                <w:rFonts w:hint="eastAsia"/>
                <w:kern w:val="0"/>
                <w:sz w:val="22"/>
                <w:szCs w:val="22"/>
              </w:rPr>
              <w:t>无组织</w:t>
            </w:r>
          </w:p>
        </w:tc>
        <w:tc>
          <w:tcPr>
            <w:tcW w:w="370" w:type="pct"/>
            <w:shd w:val="clear" w:color="auto" w:fill="auto"/>
            <w:vAlign w:val="center"/>
          </w:tcPr>
          <w:p w14:paraId="20F5D4F3">
            <w:pPr>
              <w:widowControl/>
              <w:jc w:val="center"/>
              <w:rPr>
                <w:rFonts w:hint="eastAsia" w:ascii="Times New Roman" w:hAnsi="Times New Roman" w:eastAsia="宋体" w:cs="Times New Roman"/>
                <w:kern w:val="0"/>
                <w:sz w:val="22"/>
                <w:szCs w:val="22"/>
                <w:lang w:val="en-US" w:eastAsia="zh-CN" w:bidi="ar-SA"/>
              </w:rPr>
            </w:pPr>
            <w:r>
              <w:rPr>
                <w:rFonts w:hint="eastAsia"/>
                <w:kern w:val="0"/>
                <w:sz w:val="22"/>
                <w:szCs w:val="22"/>
              </w:rPr>
              <w:t>三次油气回收系统</w:t>
            </w:r>
          </w:p>
        </w:tc>
        <w:tc>
          <w:tcPr>
            <w:tcW w:w="185" w:type="pct"/>
            <w:shd w:val="clear" w:color="auto" w:fill="auto"/>
            <w:vAlign w:val="center"/>
          </w:tcPr>
          <w:p w14:paraId="11F7214F">
            <w:pPr>
              <w:widowControl/>
              <w:jc w:val="center"/>
              <w:rPr>
                <w:rFonts w:hint="eastAsia" w:ascii="Times New Roman" w:hAnsi="Times New Roman" w:eastAsia="宋体" w:cs="Times New Roman"/>
                <w:kern w:val="0"/>
                <w:sz w:val="22"/>
                <w:szCs w:val="22"/>
                <w:lang w:val="en-US" w:eastAsia="zh-CN" w:bidi="ar-SA"/>
              </w:rPr>
            </w:pPr>
            <w:r>
              <w:rPr>
                <w:kern w:val="0"/>
                <w:sz w:val="22"/>
                <w:szCs w:val="22"/>
              </w:rPr>
              <w:t>/</w:t>
            </w:r>
          </w:p>
        </w:tc>
        <w:tc>
          <w:tcPr>
            <w:tcW w:w="246" w:type="pct"/>
            <w:shd w:val="clear" w:color="auto" w:fill="auto"/>
            <w:vAlign w:val="center"/>
          </w:tcPr>
          <w:p w14:paraId="50C57B8F">
            <w:pPr>
              <w:widowControl/>
              <w:jc w:val="center"/>
              <w:rPr>
                <w:rFonts w:hint="eastAsia" w:ascii="Times New Roman" w:hAnsi="Times New Roman" w:eastAsia="宋体" w:cs="Times New Roman"/>
                <w:kern w:val="2"/>
                <w:sz w:val="22"/>
                <w:szCs w:val="22"/>
                <w:lang w:val="en-US" w:eastAsia="zh-CN" w:bidi="ar-SA"/>
              </w:rPr>
            </w:pPr>
            <w:r>
              <w:rPr>
                <w:sz w:val="22"/>
                <w:szCs w:val="22"/>
              </w:rPr>
              <w:t>100</w:t>
            </w:r>
          </w:p>
        </w:tc>
        <w:tc>
          <w:tcPr>
            <w:tcW w:w="246" w:type="pct"/>
            <w:shd w:val="clear" w:color="auto" w:fill="auto"/>
            <w:vAlign w:val="center"/>
          </w:tcPr>
          <w:p w14:paraId="43220F11">
            <w:pPr>
              <w:jc w:val="center"/>
              <w:rPr>
                <w:rFonts w:hint="default" w:ascii="Times New Roman" w:hAnsi="Times New Roman" w:eastAsia="宋体" w:cs="Times New Roman"/>
                <w:kern w:val="2"/>
                <w:sz w:val="22"/>
                <w:szCs w:val="22"/>
                <w:lang w:val="en-US" w:eastAsia="zh-CN" w:bidi="ar-SA"/>
              </w:rPr>
            </w:pPr>
            <w:r>
              <w:rPr>
                <w:rFonts w:hint="eastAsia" w:eastAsia="宋体"/>
                <w:sz w:val="22"/>
                <w:szCs w:val="22"/>
                <w:lang w:val="en-US" w:eastAsia="zh-CN"/>
              </w:rPr>
              <w:t>95</w:t>
            </w:r>
          </w:p>
        </w:tc>
        <w:tc>
          <w:tcPr>
            <w:tcW w:w="185" w:type="pct"/>
            <w:shd w:val="clear" w:color="auto" w:fill="auto"/>
            <w:vAlign w:val="center"/>
          </w:tcPr>
          <w:p w14:paraId="0CA8CB28">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是</w:t>
            </w:r>
          </w:p>
        </w:tc>
        <w:tc>
          <w:tcPr>
            <w:tcW w:w="246" w:type="pct"/>
            <w:shd w:val="clear" w:color="auto" w:fill="auto"/>
            <w:vAlign w:val="center"/>
          </w:tcPr>
          <w:p w14:paraId="4286780D">
            <w:pPr>
              <w:widowControl/>
              <w:jc w:val="center"/>
              <w:rPr>
                <w:rFonts w:hint="eastAsia" w:ascii="Times New Roman" w:hAnsi="Times New Roman" w:eastAsia="宋体" w:cs="Times New Roman"/>
                <w:kern w:val="0"/>
                <w:sz w:val="22"/>
                <w:szCs w:val="22"/>
                <w:lang w:val="en-US" w:eastAsia="zh-CN" w:bidi="ar-SA"/>
              </w:rPr>
            </w:pPr>
            <w:r>
              <w:rPr>
                <w:kern w:val="0"/>
                <w:sz w:val="22"/>
                <w:szCs w:val="22"/>
              </w:rPr>
              <w:t>/</w:t>
            </w:r>
          </w:p>
        </w:tc>
        <w:tc>
          <w:tcPr>
            <w:tcW w:w="308" w:type="pct"/>
            <w:tcBorders>
              <w:top w:val="nil"/>
              <w:left w:val="single" w:color="auto" w:sz="4" w:space="0"/>
              <w:bottom w:val="single" w:color="auto" w:sz="4" w:space="0"/>
              <w:right w:val="single" w:color="auto" w:sz="4" w:space="0"/>
            </w:tcBorders>
            <w:shd w:val="clear" w:color="auto" w:fill="auto"/>
            <w:vAlign w:val="center"/>
          </w:tcPr>
          <w:p w14:paraId="3BB85F3E">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0.004</w:t>
            </w:r>
          </w:p>
        </w:tc>
        <w:tc>
          <w:tcPr>
            <w:tcW w:w="308" w:type="pct"/>
            <w:tcBorders>
              <w:top w:val="nil"/>
              <w:left w:val="nil"/>
              <w:bottom w:val="single" w:color="auto" w:sz="4" w:space="0"/>
              <w:right w:val="single" w:color="auto" w:sz="4" w:space="0"/>
            </w:tcBorders>
            <w:shd w:val="clear" w:color="auto" w:fill="auto"/>
            <w:vAlign w:val="center"/>
          </w:tcPr>
          <w:p w14:paraId="2B2AA32B">
            <w:pPr>
              <w:jc w:val="center"/>
              <w:rPr>
                <w:rFonts w:hint="default" w:ascii="Times New Roman" w:hAnsi="Times New Roman" w:eastAsia="宋体" w:cs="Times New Roman"/>
                <w:kern w:val="2"/>
                <w:sz w:val="22"/>
                <w:szCs w:val="22"/>
                <w:lang w:val="en-US" w:eastAsia="zh-CN" w:bidi="ar-SA"/>
              </w:rPr>
            </w:pPr>
            <w:r>
              <w:rPr>
                <w:rFonts w:hint="eastAsia" w:cs="Times New Roman"/>
                <w:kern w:val="2"/>
                <w:sz w:val="22"/>
                <w:szCs w:val="22"/>
                <w:lang w:val="en-US" w:eastAsia="zh-CN" w:bidi="ar-SA"/>
              </w:rPr>
              <w:t>0.033</w:t>
            </w:r>
          </w:p>
        </w:tc>
        <w:tc>
          <w:tcPr>
            <w:tcW w:w="308" w:type="pct"/>
            <w:shd w:val="clear" w:color="auto" w:fill="auto"/>
            <w:vAlign w:val="center"/>
          </w:tcPr>
          <w:p w14:paraId="1DC273B4">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4</w:t>
            </w:r>
            <w:r>
              <w:rPr>
                <w:sz w:val="22"/>
                <w:szCs w:val="22"/>
              </w:rPr>
              <w:t>.0</w:t>
            </w:r>
          </w:p>
        </w:tc>
        <w:tc>
          <w:tcPr>
            <w:tcW w:w="246" w:type="pct"/>
            <w:shd w:val="clear" w:color="auto" w:fill="auto"/>
            <w:vAlign w:val="center"/>
          </w:tcPr>
          <w:p w14:paraId="47DD7404">
            <w:pPr>
              <w:widowControl/>
              <w:jc w:val="center"/>
              <w:rPr>
                <w:rFonts w:hint="eastAsia" w:ascii="Times New Roman" w:hAnsi="Times New Roman" w:eastAsia="宋体" w:cs="Times New Roman"/>
                <w:kern w:val="2"/>
                <w:sz w:val="22"/>
                <w:szCs w:val="22"/>
                <w:lang w:val="en-US" w:eastAsia="zh-CN" w:bidi="ar-SA"/>
              </w:rPr>
            </w:pPr>
            <w:r>
              <w:rPr>
                <w:rFonts w:hint="eastAsia"/>
                <w:sz w:val="22"/>
                <w:szCs w:val="22"/>
              </w:rPr>
              <w:t>/</w:t>
            </w:r>
          </w:p>
        </w:tc>
        <w:tc>
          <w:tcPr>
            <w:tcW w:w="430" w:type="pct"/>
            <w:vMerge w:val="continue"/>
            <w:vAlign w:val="center"/>
          </w:tcPr>
          <w:p w14:paraId="15B89D11">
            <w:pPr>
              <w:widowControl/>
              <w:jc w:val="center"/>
              <w:rPr>
                <w:sz w:val="22"/>
                <w:szCs w:val="22"/>
              </w:rPr>
            </w:pPr>
          </w:p>
        </w:tc>
      </w:tr>
      <w:tr w14:paraId="1EA93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4" w:type="pct"/>
            <w:gridSpan w:val="2"/>
            <w:vAlign w:val="center"/>
          </w:tcPr>
          <w:p w14:paraId="2E988F58">
            <w:pPr>
              <w:widowControl/>
              <w:jc w:val="center"/>
              <w:rPr>
                <w:kern w:val="0"/>
                <w:sz w:val="22"/>
                <w:szCs w:val="22"/>
              </w:rPr>
            </w:pPr>
            <w:r>
              <w:rPr>
                <w:rFonts w:hint="eastAsia"/>
                <w:kern w:val="0"/>
                <w:sz w:val="22"/>
                <w:szCs w:val="22"/>
              </w:rPr>
              <w:t>进出站汽车尾气</w:t>
            </w:r>
          </w:p>
        </w:tc>
        <w:tc>
          <w:tcPr>
            <w:tcW w:w="340" w:type="pct"/>
            <w:vAlign w:val="center"/>
          </w:tcPr>
          <w:p w14:paraId="2DBFE7AE">
            <w:pPr>
              <w:widowControl/>
              <w:jc w:val="center"/>
              <w:rPr>
                <w:rFonts w:hAnsi="Calibri"/>
                <w:sz w:val="22"/>
                <w:szCs w:val="22"/>
              </w:rPr>
            </w:pPr>
            <w:r>
              <w:rPr>
                <w:rFonts w:hint="eastAsia" w:hAnsi="Calibri"/>
                <w:sz w:val="22"/>
                <w:szCs w:val="22"/>
              </w:rPr>
              <w:t>CO、THC、NOx</w:t>
            </w:r>
          </w:p>
        </w:tc>
        <w:tc>
          <w:tcPr>
            <w:tcW w:w="218" w:type="pct"/>
            <w:tcBorders>
              <w:bottom w:val="single" w:color="auto" w:sz="4" w:space="0"/>
            </w:tcBorders>
            <w:vAlign w:val="center"/>
          </w:tcPr>
          <w:p w14:paraId="3627C758">
            <w:pPr>
              <w:jc w:val="center"/>
              <w:rPr>
                <w:rFonts w:hAnsi="Calibri"/>
                <w:snapToGrid w:val="0"/>
                <w:kern w:val="0"/>
                <w:sz w:val="22"/>
                <w:szCs w:val="22"/>
              </w:rPr>
            </w:pPr>
            <w:r>
              <w:rPr>
                <w:rFonts w:hAnsi="Calibri"/>
                <w:snapToGrid w:val="0"/>
                <w:kern w:val="0"/>
                <w:sz w:val="22"/>
                <w:szCs w:val="22"/>
              </w:rPr>
              <w:t>/</w:t>
            </w:r>
          </w:p>
        </w:tc>
        <w:tc>
          <w:tcPr>
            <w:tcW w:w="272" w:type="pct"/>
            <w:tcBorders>
              <w:bottom w:val="single" w:color="auto" w:sz="4" w:space="0"/>
            </w:tcBorders>
            <w:vAlign w:val="center"/>
          </w:tcPr>
          <w:p w14:paraId="2F17393C">
            <w:pPr>
              <w:widowControl/>
              <w:jc w:val="center"/>
              <w:rPr>
                <w:rFonts w:hAnsi="Calibri"/>
                <w:snapToGrid w:val="0"/>
                <w:kern w:val="0"/>
                <w:sz w:val="22"/>
                <w:szCs w:val="22"/>
              </w:rPr>
            </w:pPr>
            <w:r>
              <w:rPr>
                <w:rFonts w:hAnsi="Calibri"/>
                <w:snapToGrid w:val="0"/>
                <w:kern w:val="0"/>
                <w:sz w:val="22"/>
                <w:szCs w:val="22"/>
              </w:rPr>
              <w:t>/</w:t>
            </w:r>
          </w:p>
        </w:tc>
        <w:tc>
          <w:tcPr>
            <w:tcW w:w="328" w:type="pct"/>
            <w:tcBorders>
              <w:bottom w:val="single" w:color="auto" w:sz="4" w:space="0"/>
            </w:tcBorders>
            <w:vAlign w:val="center"/>
          </w:tcPr>
          <w:p w14:paraId="28FB8A77">
            <w:pPr>
              <w:jc w:val="center"/>
              <w:rPr>
                <w:rFonts w:hAnsi="Calibri"/>
                <w:snapToGrid w:val="0"/>
                <w:kern w:val="0"/>
                <w:sz w:val="22"/>
                <w:szCs w:val="22"/>
              </w:rPr>
            </w:pPr>
            <w:r>
              <w:rPr>
                <w:rFonts w:hint="eastAsia" w:hAnsi="Calibri"/>
                <w:snapToGrid w:val="0"/>
                <w:kern w:val="0"/>
                <w:sz w:val="22"/>
                <w:szCs w:val="22"/>
              </w:rPr>
              <w:t>少量</w:t>
            </w:r>
          </w:p>
        </w:tc>
        <w:tc>
          <w:tcPr>
            <w:tcW w:w="280" w:type="pct"/>
            <w:tcBorders>
              <w:bottom w:val="single" w:color="auto" w:sz="4" w:space="0"/>
            </w:tcBorders>
            <w:vAlign w:val="center"/>
          </w:tcPr>
          <w:p w14:paraId="54FBBEA3">
            <w:pPr>
              <w:widowControl/>
              <w:jc w:val="center"/>
              <w:rPr>
                <w:kern w:val="0"/>
                <w:sz w:val="22"/>
                <w:szCs w:val="22"/>
              </w:rPr>
            </w:pPr>
            <w:r>
              <w:rPr>
                <w:rFonts w:hint="eastAsia"/>
                <w:kern w:val="0"/>
                <w:sz w:val="22"/>
                <w:szCs w:val="22"/>
              </w:rPr>
              <w:t>无组织</w:t>
            </w:r>
          </w:p>
        </w:tc>
        <w:tc>
          <w:tcPr>
            <w:tcW w:w="370" w:type="pct"/>
            <w:tcBorders>
              <w:bottom w:val="single" w:color="auto" w:sz="4" w:space="0"/>
            </w:tcBorders>
            <w:vAlign w:val="center"/>
          </w:tcPr>
          <w:p w14:paraId="58CD5106">
            <w:pPr>
              <w:widowControl/>
              <w:jc w:val="center"/>
              <w:rPr>
                <w:kern w:val="0"/>
                <w:sz w:val="22"/>
                <w:szCs w:val="22"/>
              </w:rPr>
            </w:pPr>
            <w:r>
              <w:rPr>
                <w:rFonts w:hint="eastAsia"/>
                <w:kern w:val="0"/>
                <w:sz w:val="22"/>
                <w:szCs w:val="22"/>
              </w:rPr>
              <w:t>/</w:t>
            </w:r>
          </w:p>
        </w:tc>
        <w:tc>
          <w:tcPr>
            <w:tcW w:w="185" w:type="pct"/>
            <w:tcBorders>
              <w:bottom w:val="single" w:color="auto" w:sz="4" w:space="0"/>
            </w:tcBorders>
            <w:vAlign w:val="center"/>
          </w:tcPr>
          <w:p w14:paraId="57AA3CE7">
            <w:pPr>
              <w:widowControl/>
              <w:jc w:val="center"/>
              <w:rPr>
                <w:kern w:val="0"/>
                <w:sz w:val="22"/>
                <w:szCs w:val="22"/>
              </w:rPr>
            </w:pPr>
            <w:r>
              <w:rPr>
                <w:rFonts w:hint="eastAsia"/>
                <w:kern w:val="0"/>
                <w:sz w:val="22"/>
                <w:szCs w:val="22"/>
              </w:rPr>
              <w:t>/</w:t>
            </w:r>
          </w:p>
        </w:tc>
        <w:tc>
          <w:tcPr>
            <w:tcW w:w="246" w:type="pct"/>
            <w:tcBorders>
              <w:bottom w:val="single" w:color="auto" w:sz="4" w:space="0"/>
            </w:tcBorders>
            <w:vAlign w:val="center"/>
          </w:tcPr>
          <w:p w14:paraId="38EF4F12">
            <w:pPr>
              <w:widowControl/>
              <w:jc w:val="center"/>
              <w:rPr>
                <w:sz w:val="22"/>
                <w:szCs w:val="22"/>
              </w:rPr>
            </w:pPr>
            <w:r>
              <w:rPr>
                <w:sz w:val="22"/>
                <w:szCs w:val="22"/>
              </w:rPr>
              <w:t>/</w:t>
            </w:r>
          </w:p>
        </w:tc>
        <w:tc>
          <w:tcPr>
            <w:tcW w:w="246" w:type="pct"/>
            <w:tcBorders>
              <w:bottom w:val="single" w:color="auto" w:sz="4" w:space="0"/>
            </w:tcBorders>
            <w:vAlign w:val="center"/>
          </w:tcPr>
          <w:p w14:paraId="4FB9479F">
            <w:pPr>
              <w:widowControl/>
              <w:jc w:val="center"/>
              <w:rPr>
                <w:sz w:val="22"/>
                <w:szCs w:val="22"/>
              </w:rPr>
            </w:pPr>
            <w:r>
              <w:rPr>
                <w:sz w:val="22"/>
                <w:szCs w:val="22"/>
              </w:rPr>
              <w:t>/</w:t>
            </w:r>
          </w:p>
        </w:tc>
        <w:tc>
          <w:tcPr>
            <w:tcW w:w="185" w:type="pct"/>
            <w:tcBorders>
              <w:bottom w:val="single" w:color="auto" w:sz="4" w:space="0"/>
            </w:tcBorders>
            <w:vAlign w:val="center"/>
          </w:tcPr>
          <w:p w14:paraId="11FD6FB0">
            <w:pPr>
              <w:widowControl/>
              <w:jc w:val="center"/>
              <w:rPr>
                <w:rFonts w:hint="eastAsia" w:eastAsia="宋体"/>
                <w:sz w:val="22"/>
                <w:szCs w:val="22"/>
                <w:lang w:eastAsia="zh-CN"/>
              </w:rPr>
            </w:pPr>
            <w:r>
              <w:rPr>
                <w:rFonts w:hint="eastAsia"/>
                <w:sz w:val="22"/>
                <w:szCs w:val="22"/>
                <w:lang w:val="en-US" w:eastAsia="zh-CN"/>
              </w:rPr>
              <w:t>/</w:t>
            </w:r>
          </w:p>
        </w:tc>
        <w:tc>
          <w:tcPr>
            <w:tcW w:w="246" w:type="pct"/>
            <w:tcBorders>
              <w:bottom w:val="single" w:color="auto" w:sz="4" w:space="0"/>
            </w:tcBorders>
            <w:vAlign w:val="center"/>
          </w:tcPr>
          <w:p w14:paraId="42B26D02">
            <w:pPr>
              <w:widowControl/>
              <w:jc w:val="center"/>
              <w:rPr>
                <w:rFonts w:hAnsi="Calibri"/>
                <w:snapToGrid w:val="0"/>
                <w:kern w:val="0"/>
                <w:sz w:val="22"/>
                <w:szCs w:val="22"/>
              </w:rPr>
            </w:pPr>
            <w:r>
              <w:rPr>
                <w:rFonts w:hint="eastAsia"/>
                <w:kern w:val="0"/>
                <w:sz w:val="22"/>
                <w:szCs w:val="22"/>
              </w:rPr>
              <w:t>/</w:t>
            </w:r>
          </w:p>
        </w:tc>
        <w:tc>
          <w:tcPr>
            <w:tcW w:w="308" w:type="pct"/>
            <w:tcBorders>
              <w:bottom w:val="single" w:color="auto" w:sz="4" w:space="0"/>
            </w:tcBorders>
            <w:vAlign w:val="center"/>
          </w:tcPr>
          <w:p w14:paraId="520CB6CC">
            <w:pPr>
              <w:widowControl/>
              <w:jc w:val="center"/>
              <w:rPr>
                <w:rFonts w:hAnsi="Calibri"/>
                <w:snapToGrid w:val="0"/>
                <w:kern w:val="0"/>
                <w:sz w:val="22"/>
                <w:szCs w:val="22"/>
              </w:rPr>
            </w:pPr>
            <w:r>
              <w:rPr>
                <w:rFonts w:hint="eastAsia"/>
                <w:kern w:val="0"/>
                <w:sz w:val="22"/>
                <w:szCs w:val="22"/>
              </w:rPr>
              <w:t>/</w:t>
            </w:r>
          </w:p>
        </w:tc>
        <w:tc>
          <w:tcPr>
            <w:tcW w:w="308" w:type="pct"/>
            <w:tcBorders>
              <w:bottom w:val="single" w:color="auto" w:sz="4" w:space="0"/>
            </w:tcBorders>
            <w:vAlign w:val="center"/>
          </w:tcPr>
          <w:p w14:paraId="4CCD9E7A">
            <w:pPr>
              <w:jc w:val="center"/>
              <w:rPr>
                <w:rFonts w:hAnsi="Calibri"/>
                <w:snapToGrid w:val="0"/>
                <w:kern w:val="0"/>
                <w:sz w:val="22"/>
                <w:szCs w:val="22"/>
              </w:rPr>
            </w:pPr>
            <w:r>
              <w:rPr>
                <w:sz w:val="22"/>
                <w:szCs w:val="22"/>
              </w:rPr>
              <w:t>/</w:t>
            </w:r>
          </w:p>
        </w:tc>
        <w:tc>
          <w:tcPr>
            <w:tcW w:w="308" w:type="pct"/>
            <w:tcBorders>
              <w:bottom w:val="single" w:color="auto" w:sz="4" w:space="0"/>
            </w:tcBorders>
            <w:vAlign w:val="center"/>
          </w:tcPr>
          <w:p w14:paraId="07459D85">
            <w:pPr>
              <w:widowControl/>
              <w:jc w:val="center"/>
              <w:rPr>
                <w:sz w:val="22"/>
                <w:szCs w:val="22"/>
              </w:rPr>
            </w:pPr>
            <w:r>
              <w:rPr>
                <w:sz w:val="22"/>
                <w:szCs w:val="22"/>
              </w:rPr>
              <w:t>/</w:t>
            </w:r>
          </w:p>
        </w:tc>
        <w:tc>
          <w:tcPr>
            <w:tcW w:w="246" w:type="pct"/>
            <w:tcBorders>
              <w:bottom w:val="single" w:color="auto" w:sz="4" w:space="0"/>
            </w:tcBorders>
            <w:vAlign w:val="center"/>
          </w:tcPr>
          <w:p w14:paraId="14B899B6">
            <w:pPr>
              <w:widowControl/>
              <w:jc w:val="center"/>
              <w:rPr>
                <w:sz w:val="22"/>
                <w:szCs w:val="22"/>
              </w:rPr>
            </w:pPr>
            <w:r>
              <w:rPr>
                <w:rFonts w:hint="eastAsia"/>
                <w:kern w:val="0"/>
                <w:sz w:val="22"/>
                <w:szCs w:val="22"/>
              </w:rPr>
              <w:t>/</w:t>
            </w:r>
          </w:p>
        </w:tc>
        <w:tc>
          <w:tcPr>
            <w:tcW w:w="430" w:type="pct"/>
            <w:tcBorders>
              <w:bottom w:val="single" w:color="auto" w:sz="4" w:space="0"/>
            </w:tcBorders>
            <w:vAlign w:val="center"/>
          </w:tcPr>
          <w:p w14:paraId="08ED9CE8">
            <w:pPr>
              <w:widowControl/>
              <w:jc w:val="center"/>
              <w:rPr>
                <w:sz w:val="22"/>
                <w:szCs w:val="22"/>
              </w:rPr>
            </w:pPr>
            <w:r>
              <w:rPr>
                <w:rFonts w:hint="eastAsia"/>
                <w:kern w:val="0"/>
                <w:sz w:val="22"/>
                <w:szCs w:val="22"/>
              </w:rPr>
              <w:t>/</w:t>
            </w:r>
          </w:p>
        </w:tc>
      </w:tr>
      <w:tr w14:paraId="77DD1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4" w:type="pct"/>
            <w:gridSpan w:val="2"/>
            <w:vAlign w:val="center"/>
          </w:tcPr>
          <w:p w14:paraId="44E085A2">
            <w:pPr>
              <w:widowControl/>
              <w:jc w:val="center"/>
              <w:rPr>
                <w:rFonts w:hint="default" w:eastAsia="宋体"/>
                <w:kern w:val="0"/>
                <w:sz w:val="22"/>
                <w:szCs w:val="22"/>
                <w:lang w:val="en-US" w:eastAsia="zh-CN"/>
              </w:rPr>
            </w:pPr>
            <w:r>
              <w:rPr>
                <w:rFonts w:hint="eastAsia"/>
                <w:kern w:val="0"/>
                <w:sz w:val="22"/>
                <w:szCs w:val="22"/>
                <w:lang w:val="en-US" w:eastAsia="zh-CN"/>
              </w:rPr>
              <w:t>化粪池臭气</w:t>
            </w:r>
          </w:p>
        </w:tc>
        <w:tc>
          <w:tcPr>
            <w:tcW w:w="340" w:type="pct"/>
            <w:vAlign w:val="center"/>
          </w:tcPr>
          <w:p w14:paraId="1B13F599">
            <w:pPr>
              <w:widowControl/>
              <w:jc w:val="center"/>
              <w:rPr>
                <w:rFonts w:hint="default" w:hAnsi="Calibri" w:eastAsia="宋体"/>
                <w:sz w:val="22"/>
                <w:szCs w:val="22"/>
                <w:lang w:val="en-US" w:eastAsia="zh-CN"/>
              </w:rPr>
            </w:pPr>
            <w:r>
              <w:rPr>
                <w:rFonts w:hint="eastAsia" w:hAnsi="Calibri"/>
                <w:sz w:val="22"/>
                <w:szCs w:val="22"/>
                <w:lang w:val="en-US" w:eastAsia="zh-CN"/>
              </w:rPr>
              <w:t>H</w:t>
            </w:r>
            <w:r>
              <w:rPr>
                <w:rFonts w:hint="eastAsia" w:hAnsi="Calibri"/>
                <w:sz w:val="22"/>
                <w:szCs w:val="22"/>
                <w:vertAlign w:val="subscript"/>
                <w:lang w:val="en-US" w:eastAsia="zh-CN"/>
              </w:rPr>
              <w:t>2</w:t>
            </w:r>
            <w:r>
              <w:rPr>
                <w:rFonts w:hint="eastAsia" w:hAnsi="Calibri"/>
                <w:sz w:val="22"/>
                <w:szCs w:val="22"/>
                <w:lang w:val="en-US" w:eastAsia="zh-CN"/>
              </w:rPr>
              <w:t>S、NH</w:t>
            </w:r>
            <w:r>
              <w:rPr>
                <w:rFonts w:hint="eastAsia" w:hAnsi="Calibri"/>
                <w:sz w:val="22"/>
                <w:szCs w:val="22"/>
                <w:vertAlign w:val="subscript"/>
                <w:lang w:val="en-US" w:eastAsia="zh-CN"/>
              </w:rPr>
              <w:t>3</w:t>
            </w:r>
          </w:p>
        </w:tc>
        <w:tc>
          <w:tcPr>
            <w:tcW w:w="218" w:type="pct"/>
            <w:tcBorders>
              <w:bottom w:val="single" w:color="auto" w:sz="4" w:space="0"/>
            </w:tcBorders>
            <w:vAlign w:val="center"/>
          </w:tcPr>
          <w:p w14:paraId="62C94169">
            <w:pPr>
              <w:jc w:val="center"/>
              <w:rPr>
                <w:rFonts w:hint="eastAsia" w:hAnsi="Calibri" w:eastAsia="宋体"/>
                <w:snapToGrid w:val="0"/>
                <w:kern w:val="0"/>
                <w:sz w:val="22"/>
                <w:szCs w:val="22"/>
                <w:lang w:val="en-US" w:eastAsia="zh-CN"/>
              </w:rPr>
            </w:pPr>
            <w:r>
              <w:rPr>
                <w:rFonts w:hint="eastAsia" w:hAnsi="Calibri"/>
                <w:snapToGrid w:val="0"/>
                <w:kern w:val="0"/>
                <w:sz w:val="22"/>
                <w:szCs w:val="22"/>
                <w:lang w:val="en-US" w:eastAsia="zh-CN"/>
              </w:rPr>
              <w:t>/</w:t>
            </w:r>
          </w:p>
        </w:tc>
        <w:tc>
          <w:tcPr>
            <w:tcW w:w="272" w:type="pct"/>
            <w:tcBorders>
              <w:bottom w:val="single" w:color="auto" w:sz="4" w:space="0"/>
            </w:tcBorders>
            <w:vAlign w:val="center"/>
          </w:tcPr>
          <w:p w14:paraId="381B2FFC">
            <w:pPr>
              <w:widowControl/>
              <w:jc w:val="center"/>
              <w:rPr>
                <w:rFonts w:hint="eastAsia" w:hAnsi="Calibri" w:eastAsia="宋体"/>
                <w:snapToGrid w:val="0"/>
                <w:kern w:val="0"/>
                <w:sz w:val="22"/>
                <w:szCs w:val="22"/>
                <w:lang w:val="en-US" w:eastAsia="zh-CN"/>
              </w:rPr>
            </w:pPr>
            <w:r>
              <w:rPr>
                <w:rFonts w:hint="eastAsia" w:hAnsi="Calibri"/>
                <w:snapToGrid w:val="0"/>
                <w:kern w:val="0"/>
                <w:sz w:val="22"/>
                <w:szCs w:val="22"/>
                <w:lang w:val="en-US" w:eastAsia="zh-CN"/>
              </w:rPr>
              <w:t>/</w:t>
            </w:r>
          </w:p>
        </w:tc>
        <w:tc>
          <w:tcPr>
            <w:tcW w:w="328" w:type="pct"/>
            <w:tcBorders>
              <w:bottom w:val="single" w:color="auto" w:sz="4" w:space="0"/>
            </w:tcBorders>
            <w:vAlign w:val="center"/>
          </w:tcPr>
          <w:p w14:paraId="485A189D">
            <w:pPr>
              <w:jc w:val="center"/>
              <w:rPr>
                <w:rFonts w:hint="default" w:hAnsi="Calibri" w:eastAsia="宋体"/>
                <w:snapToGrid w:val="0"/>
                <w:kern w:val="0"/>
                <w:sz w:val="22"/>
                <w:szCs w:val="22"/>
                <w:lang w:val="en-US" w:eastAsia="zh-CN"/>
              </w:rPr>
            </w:pPr>
            <w:r>
              <w:rPr>
                <w:rFonts w:hint="eastAsia" w:hAnsi="Calibri"/>
                <w:snapToGrid w:val="0"/>
                <w:kern w:val="0"/>
                <w:sz w:val="22"/>
                <w:szCs w:val="22"/>
                <w:lang w:val="en-US" w:eastAsia="zh-CN"/>
              </w:rPr>
              <w:t>少量</w:t>
            </w:r>
          </w:p>
        </w:tc>
        <w:tc>
          <w:tcPr>
            <w:tcW w:w="280" w:type="pct"/>
            <w:tcBorders>
              <w:bottom w:val="single" w:color="auto" w:sz="4" w:space="0"/>
            </w:tcBorders>
            <w:vAlign w:val="center"/>
          </w:tcPr>
          <w:p w14:paraId="6449DFF0">
            <w:pPr>
              <w:widowControl/>
              <w:jc w:val="center"/>
              <w:rPr>
                <w:rFonts w:hint="eastAsia" w:eastAsia="宋体"/>
                <w:kern w:val="0"/>
                <w:sz w:val="22"/>
                <w:szCs w:val="22"/>
                <w:lang w:val="en-US" w:eastAsia="zh-CN"/>
              </w:rPr>
            </w:pPr>
            <w:r>
              <w:rPr>
                <w:rFonts w:hint="eastAsia"/>
                <w:kern w:val="0"/>
                <w:sz w:val="22"/>
                <w:szCs w:val="22"/>
                <w:lang w:val="en-US" w:eastAsia="zh-CN"/>
              </w:rPr>
              <w:t>无组织</w:t>
            </w:r>
          </w:p>
        </w:tc>
        <w:tc>
          <w:tcPr>
            <w:tcW w:w="370" w:type="pct"/>
            <w:tcBorders>
              <w:bottom w:val="single" w:color="auto" w:sz="4" w:space="0"/>
            </w:tcBorders>
            <w:vAlign w:val="center"/>
          </w:tcPr>
          <w:p w14:paraId="394832B8">
            <w:pPr>
              <w:widowControl/>
              <w:jc w:val="center"/>
              <w:rPr>
                <w:rFonts w:hint="default" w:eastAsia="宋体"/>
                <w:kern w:val="0"/>
                <w:sz w:val="22"/>
                <w:szCs w:val="22"/>
                <w:lang w:val="en-US" w:eastAsia="zh-CN"/>
              </w:rPr>
            </w:pPr>
            <w:r>
              <w:rPr>
                <w:rFonts w:hint="eastAsia"/>
                <w:kern w:val="0"/>
                <w:sz w:val="22"/>
                <w:szCs w:val="22"/>
                <w:lang w:val="en-US" w:eastAsia="zh-CN"/>
              </w:rPr>
              <w:t>加强绿化</w:t>
            </w:r>
          </w:p>
        </w:tc>
        <w:tc>
          <w:tcPr>
            <w:tcW w:w="185" w:type="pct"/>
            <w:tcBorders>
              <w:bottom w:val="single" w:color="auto" w:sz="4" w:space="0"/>
            </w:tcBorders>
            <w:vAlign w:val="center"/>
          </w:tcPr>
          <w:p w14:paraId="56483D34">
            <w:pPr>
              <w:widowControl/>
              <w:jc w:val="center"/>
              <w:rPr>
                <w:rFonts w:hint="eastAsia" w:eastAsia="宋体"/>
                <w:kern w:val="0"/>
                <w:sz w:val="22"/>
                <w:szCs w:val="22"/>
                <w:lang w:val="en-US" w:eastAsia="zh-CN"/>
              </w:rPr>
            </w:pPr>
            <w:r>
              <w:rPr>
                <w:rFonts w:hint="eastAsia"/>
                <w:kern w:val="0"/>
                <w:sz w:val="22"/>
                <w:szCs w:val="22"/>
                <w:lang w:val="en-US" w:eastAsia="zh-CN"/>
              </w:rPr>
              <w:t>/</w:t>
            </w:r>
          </w:p>
        </w:tc>
        <w:tc>
          <w:tcPr>
            <w:tcW w:w="246" w:type="pct"/>
            <w:tcBorders>
              <w:bottom w:val="single" w:color="auto" w:sz="4" w:space="0"/>
            </w:tcBorders>
            <w:vAlign w:val="center"/>
          </w:tcPr>
          <w:p w14:paraId="3A54B107">
            <w:pPr>
              <w:widowControl/>
              <w:jc w:val="center"/>
              <w:rPr>
                <w:rFonts w:hint="eastAsia" w:eastAsia="宋体"/>
                <w:sz w:val="22"/>
                <w:szCs w:val="22"/>
                <w:lang w:val="en-US" w:eastAsia="zh-CN"/>
              </w:rPr>
            </w:pPr>
            <w:r>
              <w:rPr>
                <w:rFonts w:hint="eastAsia"/>
                <w:sz w:val="22"/>
                <w:szCs w:val="22"/>
                <w:lang w:val="en-US" w:eastAsia="zh-CN"/>
              </w:rPr>
              <w:t>/</w:t>
            </w:r>
          </w:p>
        </w:tc>
        <w:tc>
          <w:tcPr>
            <w:tcW w:w="246" w:type="pct"/>
            <w:tcBorders>
              <w:bottom w:val="single" w:color="auto" w:sz="4" w:space="0"/>
            </w:tcBorders>
            <w:vAlign w:val="center"/>
          </w:tcPr>
          <w:p w14:paraId="3A3FCF65">
            <w:pPr>
              <w:widowControl/>
              <w:jc w:val="center"/>
              <w:rPr>
                <w:rFonts w:hint="eastAsia" w:eastAsia="宋体"/>
                <w:sz w:val="22"/>
                <w:szCs w:val="22"/>
                <w:lang w:val="en-US" w:eastAsia="zh-CN"/>
              </w:rPr>
            </w:pPr>
            <w:r>
              <w:rPr>
                <w:rFonts w:hint="eastAsia"/>
                <w:sz w:val="22"/>
                <w:szCs w:val="22"/>
                <w:lang w:val="en-US" w:eastAsia="zh-CN"/>
              </w:rPr>
              <w:t>/</w:t>
            </w:r>
          </w:p>
        </w:tc>
        <w:tc>
          <w:tcPr>
            <w:tcW w:w="185" w:type="pct"/>
            <w:tcBorders>
              <w:bottom w:val="single" w:color="auto" w:sz="4" w:space="0"/>
            </w:tcBorders>
            <w:vAlign w:val="center"/>
          </w:tcPr>
          <w:p w14:paraId="72DB12D9">
            <w:pPr>
              <w:widowControl/>
              <w:jc w:val="center"/>
              <w:rPr>
                <w:rFonts w:hint="eastAsia" w:eastAsia="宋体"/>
                <w:sz w:val="22"/>
                <w:szCs w:val="22"/>
                <w:lang w:val="en-US" w:eastAsia="zh-CN"/>
              </w:rPr>
            </w:pPr>
            <w:r>
              <w:rPr>
                <w:rFonts w:hint="eastAsia"/>
                <w:sz w:val="22"/>
                <w:szCs w:val="22"/>
                <w:lang w:val="en-US" w:eastAsia="zh-CN"/>
              </w:rPr>
              <w:t>是</w:t>
            </w:r>
          </w:p>
        </w:tc>
        <w:tc>
          <w:tcPr>
            <w:tcW w:w="246" w:type="pct"/>
            <w:tcBorders>
              <w:bottom w:val="single" w:color="auto" w:sz="4" w:space="0"/>
            </w:tcBorders>
            <w:vAlign w:val="center"/>
          </w:tcPr>
          <w:p w14:paraId="60B60152">
            <w:pPr>
              <w:widowControl/>
              <w:jc w:val="center"/>
              <w:rPr>
                <w:rFonts w:hint="eastAsia" w:eastAsia="宋体"/>
                <w:kern w:val="0"/>
                <w:sz w:val="22"/>
                <w:szCs w:val="22"/>
                <w:lang w:val="en-US" w:eastAsia="zh-CN"/>
              </w:rPr>
            </w:pPr>
            <w:r>
              <w:rPr>
                <w:rFonts w:hint="eastAsia"/>
                <w:kern w:val="0"/>
                <w:sz w:val="22"/>
                <w:szCs w:val="22"/>
                <w:lang w:val="en-US" w:eastAsia="zh-CN"/>
              </w:rPr>
              <w:t>/</w:t>
            </w:r>
          </w:p>
        </w:tc>
        <w:tc>
          <w:tcPr>
            <w:tcW w:w="308" w:type="pct"/>
            <w:tcBorders>
              <w:bottom w:val="single" w:color="auto" w:sz="4" w:space="0"/>
            </w:tcBorders>
            <w:vAlign w:val="center"/>
          </w:tcPr>
          <w:p w14:paraId="6B8BB5A3">
            <w:pPr>
              <w:widowControl/>
              <w:jc w:val="center"/>
              <w:rPr>
                <w:rFonts w:hint="eastAsia" w:eastAsia="宋体"/>
                <w:kern w:val="0"/>
                <w:sz w:val="22"/>
                <w:szCs w:val="22"/>
                <w:lang w:val="en-US" w:eastAsia="zh-CN"/>
              </w:rPr>
            </w:pPr>
            <w:r>
              <w:rPr>
                <w:rFonts w:hint="eastAsia"/>
                <w:kern w:val="0"/>
                <w:sz w:val="22"/>
                <w:szCs w:val="22"/>
                <w:lang w:val="en-US" w:eastAsia="zh-CN"/>
              </w:rPr>
              <w:t>/</w:t>
            </w:r>
          </w:p>
        </w:tc>
        <w:tc>
          <w:tcPr>
            <w:tcW w:w="308" w:type="pct"/>
            <w:tcBorders>
              <w:bottom w:val="single" w:color="auto" w:sz="4" w:space="0"/>
            </w:tcBorders>
            <w:vAlign w:val="center"/>
          </w:tcPr>
          <w:p w14:paraId="2FF3FC90">
            <w:pPr>
              <w:jc w:val="center"/>
              <w:rPr>
                <w:rFonts w:hint="eastAsia" w:eastAsia="宋体"/>
                <w:sz w:val="22"/>
                <w:szCs w:val="22"/>
                <w:lang w:val="en-US" w:eastAsia="zh-CN"/>
              </w:rPr>
            </w:pPr>
            <w:r>
              <w:rPr>
                <w:rFonts w:hint="eastAsia"/>
                <w:sz w:val="22"/>
                <w:szCs w:val="22"/>
                <w:lang w:val="en-US" w:eastAsia="zh-CN"/>
              </w:rPr>
              <w:t>/</w:t>
            </w:r>
          </w:p>
        </w:tc>
        <w:tc>
          <w:tcPr>
            <w:tcW w:w="308" w:type="pct"/>
            <w:tcBorders>
              <w:bottom w:val="single" w:color="auto" w:sz="4" w:space="0"/>
            </w:tcBorders>
            <w:vAlign w:val="center"/>
          </w:tcPr>
          <w:p w14:paraId="341AA556">
            <w:pPr>
              <w:widowControl/>
              <w:jc w:val="center"/>
              <w:rPr>
                <w:rFonts w:hint="eastAsia" w:eastAsia="宋体"/>
                <w:sz w:val="22"/>
                <w:szCs w:val="22"/>
                <w:lang w:val="en-US" w:eastAsia="zh-CN"/>
              </w:rPr>
            </w:pPr>
            <w:r>
              <w:rPr>
                <w:rFonts w:hint="eastAsia"/>
                <w:sz w:val="22"/>
                <w:szCs w:val="22"/>
                <w:lang w:val="en-US" w:eastAsia="zh-CN"/>
              </w:rPr>
              <w:t>/</w:t>
            </w:r>
          </w:p>
        </w:tc>
        <w:tc>
          <w:tcPr>
            <w:tcW w:w="246" w:type="pct"/>
            <w:tcBorders>
              <w:bottom w:val="single" w:color="auto" w:sz="4" w:space="0"/>
            </w:tcBorders>
            <w:vAlign w:val="center"/>
          </w:tcPr>
          <w:p w14:paraId="0487D415">
            <w:pPr>
              <w:widowControl/>
              <w:jc w:val="center"/>
              <w:rPr>
                <w:rFonts w:hint="eastAsia" w:eastAsia="宋体"/>
                <w:kern w:val="0"/>
                <w:sz w:val="22"/>
                <w:szCs w:val="22"/>
                <w:lang w:val="en-US" w:eastAsia="zh-CN"/>
              </w:rPr>
            </w:pPr>
            <w:r>
              <w:rPr>
                <w:rFonts w:hint="eastAsia"/>
                <w:kern w:val="0"/>
                <w:sz w:val="22"/>
                <w:szCs w:val="22"/>
                <w:lang w:val="en-US" w:eastAsia="zh-CN"/>
              </w:rPr>
              <w:t>/</w:t>
            </w:r>
          </w:p>
        </w:tc>
        <w:tc>
          <w:tcPr>
            <w:tcW w:w="430" w:type="pct"/>
            <w:tcBorders>
              <w:bottom w:val="single" w:color="auto" w:sz="4" w:space="0"/>
            </w:tcBorders>
            <w:vAlign w:val="center"/>
          </w:tcPr>
          <w:p w14:paraId="5EF6FF7E">
            <w:pPr>
              <w:widowControl/>
              <w:jc w:val="center"/>
              <w:rPr>
                <w:rFonts w:hint="eastAsia" w:eastAsia="宋体"/>
                <w:kern w:val="0"/>
                <w:sz w:val="22"/>
                <w:szCs w:val="22"/>
                <w:lang w:val="en-US" w:eastAsia="zh-CN"/>
              </w:rPr>
            </w:pPr>
            <w:r>
              <w:rPr>
                <w:rFonts w:hint="eastAsia"/>
                <w:kern w:val="0"/>
                <w:sz w:val="22"/>
                <w:szCs w:val="22"/>
                <w:lang w:val="en-US" w:eastAsia="zh-CN"/>
              </w:rPr>
              <w:t>/</w:t>
            </w:r>
          </w:p>
        </w:tc>
      </w:tr>
      <w:tr w14:paraId="711D3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4" w:type="pct"/>
            <w:gridSpan w:val="2"/>
            <w:vAlign w:val="center"/>
          </w:tcPr>
          <w:p w14:paraId="044AAB46">
            <w:pPr>
              <w:widowControl/>
              <w:jc w:val="center"/>
              <w:rPr>
                <w:kern w:val="0"/>
                <w:sz w:val="22"/>
                <w:szCs w:val="22"/>
              </w:rPr>
            </w:pPr>
            <w:r>
              <w:rPr>
                <w:rFonts w:hint="eastAsia"/>
                <w:kern w:val="0"/>
                <w:sz w:val="22"/>
                <w:szCs w:val="22"/>
              </w:rPr>
              <w:t>备用柴油发电机尾气</w:t>
            </w:r>
          </w:p>
        </w:tc>
        <w:tc>
          <w:tcPr>
            <w:tcW w:w="340" w:type="pct"/>
            <w:tcBorders>
              <w:right w:val="single" w:color="auto" w:sz="4" w:space="0"/>
            </w:tcBorders>
            <w:vAlign w:val="center"/>
          </w:tcPr>
          <w:p w14:paraId="3F995F31">
            <w:pPr>
              <w:widowControl/>
              <w:jc w:val="center"/>
              <w:rPr>
                <w:rFonts w:hAnsi="Calibri"/>
                <w:sz w:val="22"/>
                <w:szCs w:val="22"/>
              </w:rPr>
            </w:pPr>
            <w:r>
              <w:rPr>
                <w:rFonts w:hint="eastAsia" w:hAnsi="Calibri"/>
                <w:sz w:val="22"/>
                <w:szCs w:val="22"/>
              </w:rPr>
              <w:t>THC、NOx</w:t>
            </w:r>
          </w:p>
        </w:tc>
        <w:tc>
          <w:tcPr>
            <w:tcW w:w="218" w:type="pct"/>
            <w:tcBorders>
              <w:top w:val="single" w:color="auto" w:sz="4" w:space="0"/>
              <w:left w:val="single" w:color="auto" w:sz="4" w:space="0"/>
              <w:bottom w:val="single" w:color="auto" w:sz="4" w:space="0"/>
              <w:right w:val="single" w:color="auto" w:sz="4" w:space="0"/>
            </w:tcBorders>
            <w:vAlign w:val="center"/>
          </w:tcPr>
          <w:p w14:paraId="79E5AE91">
            <w:pPr>
              <w:jc w:val="center"/>
              <w:rPr>
                <w:rFonts w:hAnsi="Calibri"/>
                <w:snapToGrid w:val="0"/>
                <w:kern w:val="0"/>
                <w:sz w:val="22"/>
                <w:szCs w:val="22"/>
              </w:rPr>
            </w:pPr>
            <w:r>
              <w:rPr>
                <w:rFonts w:hint="eastAsia" w:hAnsi="Calibri"/>
                <w:snapToGrid w:val="0"/>
                <w:kern w:val="0"/>
                <w:sz w:val="22"/>
                <w:szCs w:val="22"/>
              </w:rPr>
              <w:t>/</w:t>
            </w:r>
          </w:p>
        </w:tc>
        <w:tc>
          <w:tcPr>
            <w:tcW w:w="272" w:type="pct"/>
            <w:tcBorders>
              <w:top w:val="single" w:color="auto" w:sz="4" w:space="0"/>
              <w:left w:val="single" w:color="auto" w:sz="4" w:space="0"/>
              <w:bottom w:val="single" w:color="auto" w:sz="4" w:space="0"/>
              <w:right w:val="single" w:color="auto" w:sz="4" w:space="0"/>
            </w:tcBorders>
            <w:vAlign w:val="center"/>
          </w:tcPr>
          <w:p w14:paraId="7B66F3B9">
            <w:pPr>
              <w:widowControl/>
              <w:jc w:val="center"/>
              <w:rPr>
                <w:rFonts w:hAnsi="Calibri"/>
                <w:snapToGrid w:val="0"/>
                <w:kern w:val="0"/>
                <w:sz w:val="22"/>
                <w:szCs w:val="22"/>
              </w:rPr>
            </w:pPr>
            <w:r>
              <w:rPr>
                <w:rFonts w:hint="eastAsia" w:hAnsi="Calibri"/>
                <w:snapToGrid w:val="0"/>
                <w:kern w:val="0"/>
                <w:sz w:val="22"/>
                <w:szCs w:val="22"/>
              </w:rPr>
              <w:t>/</w:t>
            </w:r>
          </w:p>
        </w:tc>
        <w:tc>
          <w:tcPr>
            <w:tcW w:w="328" w:type="pct"/>
            <w:tcBorders>
              <w:top w:val="single" w:color="auto" w:sz="4" w:space="0"/>
              <w:left w:val="single" w:color="auto" w:sz="4" w:space="0"/>
              <w:bottom w:val="single" w:color="auto" w:sz="4" w:space="0"/>
              <w:right w:val="single" w:color="auto" w:sz="4" w:space="0"/>
            </w:tcBorders>
            <w:vAlign w:val="center"/>
          </w:tcPr>
          <w:p w14:paraId="37A0F492">
            <w:pPr>
              <w:jc w:val="center"/>
              <w:rPr>
                <w:rFonts w:hAnsi="Calibri"/>
                <w:snapToGrid w:val="0"/>
                <w:kern w:val="0"/>
                <w:sz w:val="22"/>
                <w:szCs w:val="22"/>
              </w:rPr>
            </w:pPr>
            <w:r>
              <w:rPr>
                <w:rFonts w:hint="eastAsia" w:hAnsi="Calibri"/>
                <w:snapToGrid w:val="0"/>
                <w:kern w:val="0"/>
                <w:sz w:val="22"/>
                <w:szCs w:val="22"/>
              </w:rPr>
              <w:t>少量</w:t>
            </w:r>
          </w:p>
        </w:tc>
        <w:tc>
          <w:tcPr>
            <w:tcW w:w="280" w:type="pct"/>
            <w:tcBorders>
              <w:top w:val="single" w:color="auto" w:sz="4" w:space="0"/>
              <w:left w:val="single" w:color="auto" w:sz="4" w:space="0"/>
              <w:bottom w:val="single" w:color="auto" w:sz="4" w:space="0"/>
              <w:right w:val="single" w:color="auto" w:sz="4" w:space="0"/>
            </w:tcBorders>
            <w:vAlign w:val="center"/>
          </w:tcPr>
          <w:p w14:paraId="34D36253">
            <w:pPr>
              <w:widowControl/>
              <w:jc w:val="center"/>
              <w:rPr>
                <w:kern w:val="0"/>
                <w:sz w:val="22"/>
                <w:szCs w:val="22"/>
              </w:rPr>
            </w:pPr>
            <w:r>
              <w:rPr>
                <w:rFonts w:hint="eastAsia"/>
                <w:kern w:val="0"/>
                <w:sz w:val="22"/>
                <w:szCs w:val="22"/>
              </w:rPr>
              <w:t>无组织</w:t>
            </w:r>
          </w:p>
        </w:tc>
        <w:tc>
          <w:tcPr>
            <w:tcW w:w="370" w:type="pct"/>
            <w:tcBorders>
              <w:top w:val="single" w:color="auto" w:sz="4" w:space="0"/>
              <w:left w:val="single" w:color="auto" w:sz="4" w:space="0"/>
              <w:bottom w:val="single" w:color="auto" w:sz="4" w:space="0"/>
              <w:right w:val="single" w:color="auto" w:sz="4" w:space="0"/>
            </w:tcBorders>
            <w:vAlign w:val="center"/>
          </w:tcPr>
          <w:p w14:paraId="2C6FE976">
            <w:pPr>
              <w:widowControl/>
              <w:jc w:val="center"/>
              <w:rPr>
                <w:kern w:val="0"/>
                <w:sz w:val="22"/>
                <w:szCs w:val="22"/>
              </w:rPr>
            </w:pPr>
            <w:r>
              <w:rPr>
                <w:rFonts w:hint="eastAsia"/>
                <w:kern w:val="0"/>
                <w:sz w:val="22"/>
                <w:szCs w:val="22"/>
              </w:rPr>
              <w:t>/</w:t>
            </w:r>
          </w:p>
        </w:tc>
        <w:tc>
          <w:tcPr>
            <w:tcW w:w="185" w:type="pct"/>
            <w:tcBorders>
              <w:top w:val="single" w:color="auto" w:sz="4" w:space="0"/>
              <w:left w:val="single" w:color="auto" w:sz="4" w:space="0"/>
              <w:bottom w:val="single" w:color="auto" w:sz="4" w:space="0"/>
              <w:right w:val="single" w:color="auto" w:sz="4" w:space="0"/>
            </w:tcBorders>
            <w:vAlign w:val="center"/>
          </w:tcPr>
          <w:p w14:paraId="5C5C2F81">
            <w:pPr>
              <w:widowControl/>
              <w:jc w:val="center"/>
              <w:rPr>
                <w:kern w:val="0"/>
                <w:sz w:val="22"/>
                <w:szCs w:val="22"/>
              </w:rPr>
            </w:pPr>
            <w:r>
              <w:rPr>
                <w:rFonts w:hint="eastAsia"/>
                <w:kern w:val="0"/>
                <w:sz w:val="22"/>
                <w:szCs w:val="22"/>
              </w:rPr>
              <w:t>/</w:t>
            </w:r>
          </w:p>
        </w:tc>
        <w:tc>
          <w:tcPr>
            <w:tcW w:w="246" w:type="pct"/>
            <w:tcBorders>
              <w:top w:val="single" w:color="auto" w:sz="4" w:space="0"/>
              <w:left w:val="single" w:color="auto" w:sz="4" w:space="0"/>
              <w:bottom w:val="single" w:color="auto" w:sz="4" w:space="0"/>
              <w:right w:val="single" w:color="auto" w:sz="4" w:space="0"/>
            </w:tcBorders>
            <w:vAlign w:val="center"/>
          </w:tcPr>
          <w:p w14:paraId="57974752">
            <w:pPr>
              <w:widowControl/>
              <w:jc w:val="center"/>
              <w:rPr>
                <w:sz w:val="22"/>
                <w:szCs w:val="22"/>
              </w:rPr>
            </w:pPr>
            <w:r>
              <w:rPr>
                <w:sz w:val="22"/>
                <w:szCs w:val="22"/>
              </w:rPr>
              <w:t>/</w:t>
            </w:r>
          </w:p>
        </w:tc>
        <w:tc>
          <w:tcPr>
            <w:tcW w:w="246" w:type="pct"/>
            <w:tcBorders>
              <w:top w:val="single" w:color="auto" w:sz="4" w:space="0"/>
              <w:left w:val="single" w:color="auto" w:sz="4" w:space="0"/>
              <w:bottom w:val="single" w:color="auto" w:sz="4" w:space="0"/>
              <w:right w:val="single" w:color="auto" w:sz="4" w:space="0"/>
            </w:tcBorders>
            <w:vAlign w:val="center"/>
          </w:tcPr>
          <w:p w14:paraId="6197FE5C">
            <w:pPr>
              <w:widowControl/>
              <w:jc w:val="center"/>
              <w:rPr>
                <w:sz w:val="22"/>
                <w:szCs w:val="22"/>
              </w:rPr>
            </w:pPr>
            <w:r>
              <w:rPr>
                <w:sz w:val="22"/>
                <w:szCs w:val="22"/>
              </w:rPr>
              <w:t>/</w:t>
            </w:r>
          </w:p>
        </w:tc>
        <w:tc>
          <w:tcPr>
            <w:tcW w:w="185" w:type="pct"/>
            <w:tcBorders>
              <w:top w:val="single" w:color="auto" w:sz="4" w:space="0"/>
              <w:left w:val="single" w:color="auto" w:sz="4" w:space="0"/>
              <w:bottom w:val="single" w:color="auto" w:sz="4" w:space="0"/>
              <w:right w:val="single" w:color="auto" w:sz="4" w:space="0"/>
            </w:tcBorders>
            <w:vAlign w:val="center"/>
          </w:tcPr>
          <w:p w14:paraId="1F060D01">
            <w:pPr>
              <w:widowControl/>
              <w:jc w:val="center"/>
              <w:rPr>
                <w:rFonts w:hint="eastAsia" w:eastAsia="宋体"/>
                <w:sz w:val="22"/>
                <w:szCs w:val="22"/>
                <w:lang w:eastAsia="zh-CN"/>
              </w:rPr>
            </w:pPr>
            <w:r>
              <w:rPr>
                <w:rFonts w:hint="eastAsia"/>
                <w:sz w:val="22"/>
                <w:szCs w:val="22"/>
                <w:lang w:val="en-US" w:eastAsia="zh-CN"/>
              </w:rPr>
              <w:t>/</w:t>
            </w:r>
          </w:p>
        </w:tc>
        <w:tc>
          <w:tcPr>
            <w:tcW w:w="246" w:type="pct"/>
            <w:tcBorders>
              <w:top w:val="single" w:color="auto" w:sz="4" w:space="0"/>
              <w:left w:val="single" w:color="auto" w:sz="4" w:space="0"/>
              <w:bottom w:val="single" w:color="auto" w:sz="4" w:space="0"/>
              <w:right w:val="single" w:color="auto" w:sz="4" w:space="0"/>
            </w:tcBorders>
            <w:vAlign w:val="center"/>
          </w:tcPr>
          <w:p w14:paraId="462DA353">
            <w:pPr>
              <w:widowControl/>
              <w:jc w:val="center"/>
              <w:rPr>
                <w:rFonts w:hAnsi="Calibri"/>
                <w:snapToGrid w:val="0"/>
                <w:kern w:val="0"/>
                <w:sz w:val="22"/>
                <w:szCs w:val="22"/>
              </w:rPr>
            </w:pPr>
            <w:r>
              <w:rPr>
                <w:rFonts w:hint="eastAsia"/>
                <w:kern w:val="0"/>
                <w:sz w:val="22"/>
                <w:szCs w:val="22"/>
              </w:rPr>
              <w:t>/</w:t>
            </w:r>
          </w:p>
        </w:tc>
        <w:tc>
          <w:tcPr>
            <w:tcW w:w="308" w:type="pct"/>
            <w:tcBorders>
              <w:top w:val="single" w:color="auto" w:sz="4" w:space="0"/>
              <w:left w:val="single" w:color="auto" w:sz="4" w:space="0"/>
              <w:bottom w:val="single" w:color="auto" w:sz="4" w:space="0"/>
              <w:right w:val="single" w:color="auto" w:sz="4" w:space="0"/>
            </w:tcBorders>
            <w:vAlign w:val="center"/>
          </w:tcPr>
          <w:p w14:paraId="5FDF7753">
            <w:pPr>
              <w:widowControl/>
              <w:jc w:val="center"/>
              <w:rPr>
                <w:rFonts w:hAnsi="Calibri"/>
                <w:snapToGrid w:val="0"/>
                <w:kern w:val="0"/>
                <w:sz w:val="22"/>
                <w:szCs w:val="22"/>
              </w:rPr>
            </w:pPr>
            <w:r>
              <w:rPr>
                <w:rFonts w:hint="eastAsia"/>
                <w:kern w:val="0"/>
                <w:sz w:val="22"/>
                <w:szCs w:val="22"/>
              </w:rPr>
              <w:t>/</w:t>
            </w:r>
          </w:p>
        </w:tc>
        <w:tc>
          <w:tcPr>
            <w:tcW w:w="308" w:type="pct"/>
            <w:tcBorders>
              <w:top w:val="single" w:color="auto" w:sz="4" w:space="0"/>
              <w:left w:val="single" w:color="auto" w:sz="4" w:space="0"/>
              <w:bottom w:val="single" w:color="auto" w:sz="4" w:space="0"/>
              <w:right w:val="single" w:color="auto" w:sz="4" w:space="0"/>
            </w:tcBorders>
            <w:vAlign w:val="center"/>
          </w:tcPr>
          <w:p w14:paraId="1AF192A2">
            <w:pPr>
              <w:jc w:val="center"/>
              <w:rPr>
                <w:rFonts w:hAnsi="Calibri"/>
                <w:snapToGrid w:val="0"/>
                <w:kern w:val="0"/>
                <w:sz w:val="22"/>
                <w:szCs w:val="22"/>
              </w:rPr>
            </w:pPr>
            <w:r>
              <w:rPr>
                <w:sz w:val="22"/>
                <w:szCs w:val="22"/>
              </w:rPr>
              <w:t>/</w:t>
            </w:r>
          </w:p>
        </w:tc>
        <w:tc>
          <w:tcPr>
            <w:tcW w:w="308" w:type="pct"/>
            <w:tcBorders>
              <w:top w:val="single" w:color="auto" w:sz="4" w:space="0"/>
              <w:left w:val="single" w:color="auto" w:sz="4" w:space="0"/>
              <w:bottom w:val="single" w:color="auto" w:sz="4" w:space="0"/>
              <w:right w:val="single" w:color="auto" w:sz="4" w:space="0"/>
            </w:tcBorders>
            <w:vAlign w:val="center"/>
          </w:tcPr>
          <w:p w14:paraId="4092FE69">
            <w:pPr>
              <w:jc w:val="center"/>
              <w:rPr>
                <w:sz w:val="22"/>
                <w:szCs w:val="22"/>
              </w:rPr>
            </w:pPr>
            <w:r>
              <w:rPr>
                <w:sz w:val="22"/>
                <w:szCs w:val="22"/>
              </w:rPr>
              <w:t>/</w:t>
            </w:r>
          </w:p>
        </w:tc>
        <w:tc>
          <w:tcPr>
            <w:tcW w:w="246" w:type="pct"/>
            <w:tcBorders>
              <w:top w:val="single" w:color="auto" w:sz="4" w:space="0"/>
              <w:left w:val="single" w:color="auto" w:sz="4" w:space="0"/>
              <w:bottom w:val="single" w:color="auto" w:sz="4" w:space="0"/>
              <w:right w:val="single" w:color="auto" w:sz="4" w:space="0"/>
            </w:tcBorders>
            <w:vAlign w:val="center"/>
          </w:tcPr>
          <w:p w14:paraId="6236C667">
            <w:pPr>
              <w:widowControl/>
              <w:jc w:val="center"/>
              <w:rPr>
                <w:sz w:val="22"/>
                <w:szCs w:val="22"/>
              </w:rPr>
            </w:pPr>
            <w:r>
              <w:rPr>
                <w:rFonts w:hint="eastAsia"/>
                <w:kern w:val="0"/>
                <w:sz w:val="22"/>
                <w:szCs w:val="22"/>
              </w:rPr>
              <w:t>/</w:t>
            </w:r>
          </w:p>
        </w:tc>
        <w:tc>
          <w:tcPr>
            <w:tcW w:w="430" w:type="pct"/>
            <w:tcBorders>
              <w:top w:val="single" w:color="auto" w:sz="4" w:space="0"/>
              <w:left w:val="single" w:color="auto" w:sz="4" w:space="0"/>
              <w:bottom w:val="single" w:color="auto" w:sz="4" w:space="0"/>
              <w:right w:val="single" w:color="auto" w:sz="4" w:space="0"/>
            </w:tcBorders>
            <w:vAlign w:val="center"/>
          </w:tcPr>
          <w:p w14:paraId="6A664976">
            <w:pPr>
              <w:widowControl/>
              <w:jc w:val="center"/>
              <w:rPr>
                <w:sz w:val="22"/>
                <w:szCs w:val="22"/>
              </w:rPr>
            </w:pPr>
            <w:r>
              <w:rPr>
                <w:rFonts w:hint="eastAsia"/>
                <w:kern w:val="0"/>
                <w:sz w:val="22"/>
                <w:szCs w:val="22"/>
              </w:rPr>
              <w:t>/</w:t>
            </w:r>
          </w:p>
        </w:tc>
      </w:tr>
    </w:tbl>
    <w:p w14:paraId="4663BCDA">
      <w:pPr>
        <w:adjustRightInd w:val="0"/>
        <w:snapToGrid w:val="0"/>
        <w:spacing w:line="360" w:lineRule="auto"/>
        <w:rPr>
          <w:b/>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1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131"/>
      </w:tblGrid>
      <w:tr w14:paraId="2DC7C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2" w:hRule="atLeast"/>
          <w:jc w:val="center"/>
        </w:trPr>
        <w:tc>
          <w:tcPr>
            <w:tcW w:w="850" w:type="dxa"/>
            <w:tcMar>
              <w:left w:w="28" w:type="dxa"/>
              <w:right w:w="28" w:type="dxa"/>
            </w:tcMar>
            <w:vAlign w:val="center"/>
          </w:tcPr>
          <w:p w14:paraId="12695093">
            <w:pPr>
              <w:adjustRightInd w:val="0"/>
              <w:snapToGrid w:val="0"/>
              <w:jc w:val="center"/>
              <w:rPr>
                <w:bCs/>
                <w:sz w:val="26"/>
                <w:szCs w:val="26"/>
              </w:rPr>
            </w:pPr>
            <w:r>
              <w:rPr>
                <w:bCs/>
                <w:sz w:val="26"/>
                <w:szCs w:val="26"/>
              </w:rPr>
              <w:t>运营</w:t>
            </w:r>
          </w:p>
          <w:p w14:paraId="6D44E254">
            <w:pPr>
              <w:adjustRightInd w:val="0"/>
              <w:snapToGrid w:val="0"/>
              <w:jc w:val="center"/>
              <w:rPr>
                <w:bCs/>
                <w:sz w:val="26"/>
                <w:szCs w:val="26"/>
              </w:rPr>
            </w:pPr>
            <w:r>
              <w:rPr>
                <w:bCs/>
                <w:sz w:val="26"/>
                <w:szCs w:val="26"/>
              </w:rPr>
              <w:t>期环</w:t>
            </w:r>
          </w:p>
          <w:p w14:paraId="06ABAE70">
            <w:pPr>
              <w:adjustRightInd w:val="0"/>
              <w:snapToGrid w:val="0"/>
              <w:jc w:val="center"/>
              <w:rPr>
                <w:bCs/>
                <w:sz w:val="26"/>
                <w:szCs w:val="26"/>
              </w:rPr>
            </w:pPr>
            <w:r>
              <w:rPr>
                <w:bCs/>
                <w:sz w:val="26"/>
                <w:szCs w:val="26"/>
              </w:rPr>
              <w:t>境影</w:t>
            </w:r>
          </w:p>
          <w:p w14:paraId="034FA894">
            <w:pPr>
              <w:adjustRightInd w:val="0"/>
              <w:snapToGrid w:val="0"/>
              <w:jc w:val="center"/>
              <w:rPr>
                <w:bCs/>
                <w:sz w:val="26"/>
                <w:szCs w:val="26"/>
              </w:rPr>
            </w:pPr>
            <w:r>
              <w:rPr>
                <w:bCs/>
                <w:sz w:val="26"/>
                <w:szCs w:val="26"/>
              </w:rPr>
              <w:t>响和</w:t>
            </w:r>
          </w:p>
          <w:p w14:paraId="2202D77C">
            <w:pPr>
              <w:adjustRightInd w:val="0"/>
              <w:snapToGrid w:val="0"/>
              <w:jc w:val="center"/>
              <w:rPr>
                <w:bCs/>
                <w:sz w:val="26"/>
                <w:szCs w:val="26"/>
              </w:rPr>
            </w:pPr>
            <w:r>
              <w:rPr>
                <w:bCs/>
                <w:sz w:val="26"/>
                <w:szCs w:val="26"/>
              </w:rPr>
              <w:t>保护</w:t>
            </w:r>
          </w:p>
          <w:p w14:paraId="62117FD9">
            <w:pPr>
              <w:adjustRightInd w:val="0"/>
              <w:snapToGrid w:val="0"/>
              <w:jc w:val="center"/>
              <w:rPr>
                <w:bCs/>
                <w:szCs w:val="21"/>
              </w:rPr>
            </w:pPr>
            <w:r>
              <w:rPr>
                <w:bCs/>
                <w:sz w:val="26"/>
                <w:szCs w:val="26"/>
              </w:rPr>
              <w:t>措施</w:t>
            </w:r>
          </w:p>
        </w:tc>
        <w:tc>
          <w:tcPr>
            <w:tcW w:w="8131" w:type="dxa"/>
            <w:vAlign w:val="center"/>
          </w:tcPr>
          <w:p w14:paraId="54628378">
            <w:pPr>
              <w:adjustRightInd w:val="0"/>
              <w:snapToGrid w:val="0"/>
              <w:spacing w:line="460" w:lineRule="exact"/>
              <w:ind w:firstLine="520" w:firstLineChars="200"/>
              <w:rPr>
                <w:bCs/>
                <w:sz w:val="26"/>
                <w:szCs w:val="26"/>
              </w:rPr>
            </w:pPr>
            <w:r>
              <w:rPr>
                <w:bCs/>
                <w:sz w:val="26"/>
                <w:szCs w:val="26"/>
              </w:rPr>
              <w:t>（</w:t>
            </w:r>
            <w:r>
              <w:rPr>
                <w:rFonts w:hint="eastAsia"/>
                <w:bCs/>
                <w:sz w:val="26"/>
                <w:szCs w:val="26"/>
              </w:rPr>
              <w:t>2</w:t>
            </w:r>
            <w:r>
              <w:rPr>
                <w:bCs/>
                <w:sz w:val="26"/>
                <w:szCs w:val="26"/>
              </w:rPr>
              <w:t>）</w:t>
            </w:r>
            <w:r>
              <w:rPr>
                <w:rFonts w:hint="eastAsia"/>
                <w:bCs/>
                <w:sz w:val="26"/>
                <w:szCs w:val="26"/>
              </w:rPr>
              <w:t>达标分析</w:t>
            </w:r>
          </w:p>
          <w:p w14:paraId="34B6B37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bCs/>
                <w:sz w:val="26"/>
                <w:szCs w:val="26"/>
              </w:rPr>
            </w:pPr>
            <w:r>
              <w:rPr>
                <w:bCs/>
                <w:sz w:val="26"/>
                <w:szCs w:val="26"/>
              </w:rPr>
              <w:t>本项目</w:t>
            </w:r>
            <w:r>
              <w:rPr>
                <w:rFonts w:hint="eastAsia"/>
                <w:bCs/>
                <w:sz w:val="26"/>
                <w:szCs w:val="26"/>
              </w:rPr>
              <w:t>营运过程中，汽车低速进出加油站，加油时车辆处于停止状态，排放的汽车尾气量较小，对外环境影响较小；</w:t>
            </w:r>
            <w:r>
              <w:rPr>
                <w:rFonts w:hint="eastAsia"/>
                <w:bCs/>
                <w:sz w:val="26"/>
                <w:szCs w:val="26"/>
                <w:lang w:val="en-US" w:eastAsia="zh-CN"/>
              </w:rPr>
              <w:t>化粪池臭气经地埋式封闭管理、加强绿化等措施后经排气立管排放；</w:t>
            </w:r>
            <w:r>
              <w:rPr>
                <w:rFonts w:hint="eastAsia"/>
                <w:sz w:val="26"/>
                <w:szCs w:val="26"/>
              </w:rPr>
              <w:t>柴油发电机为应急备用电源，使用频次少，污染物产生量小，且产生的废气通过专用管道引至屋顶排放，对环境影响小。加油站采用埋地式储油罐，汽油卸油、加油</w:t>
            </w:r>
            <w:r>
              <w:rPr>
                <w:rFonts w:hint="eastAsia"/>
                <w:sz w:val="26"/>
                <w:szCs w:val="26"/>
                <w:lang w:val="en-US" w:eastAsia="zh-CN"/>
              </w:rPr>
              <w:t>及储油</w:t>
            </w:r>
            <w:r>
              <w:rPr>
                <w:rFonts w:hint="eastAsia"/>
                <w:sz w:val="26"/>
                <w:szCs w:val="26"/>
              </w:rPr>
              <w:t>过程中分别设置一次、二次</w:t>
            </w:r>
            <w:r>
              <w:rPr>
                <w:rFonts w:hint="eastAsia"/>
                <w:sz w:val="26"/>
                <w:szCs w:val="26"/>
                <w:lang w:val="en-US" w:eastAsia="zh-CN"/>
              </w:rPr>
              <w:t>和三次</w:t>
            </w:r>
            <w:r>
              <w:rPr>
                <w:rFonts w:hint="eastAsia"/>
                <w:sz w:val="26"/>
                <w:szCs w:val="26"/>
              </w:rPr>
              <w:t>油气回收系统</w:t>
            </w:r>
            <w:r>
              <w:rPr>
                <w:rFonts w:hint="eastAsia"/>
                <w:sz w:val="26"/>
                <w:szCs w:val="26"/>
                <w:lang w:eastAsia="zh-CN"/>
              </w:rPr>
              <w:t>，</w:t>
            </w:r>
            <w:r>
              <w:rPr>
                <w:rFonts w:hint="eastAsia"/>
                <w:sz w:val="26"/>
                <w:szCs w:val="26"/>
                <w:lang w:val="en-US" w:eastAsia="zh-CN"/>
              </w:rPr>
              <w:t>其中三次油气回收系统采用冷凝+膜分离等技术。</w:t>
            </w:r>
          </w:p>
          <w:p w14:paraId="38FB8E0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bCs/>
                <w:sz w:val="26"/>
                <w:szCs w:val="26"/>
              </w:rPr>
            </w:pPr>
            <w:r>
              <w:rPr>
                <w:rFonts w:hint="eastAsia"/>
                <w:bCs/>
                <w:sz w:val="26"/>
                <w:szCs w:val="26"/>
              </w:rPr>
              <w:t>一次油气回收系统：汽油卸油时油罐车自带有卸油油气回收密闭系统即次油气回收系统，卸油油气回收系统回收效率95%，其原理为：卸油时采用密闭式卸油，卸油过程中，油罐车内压力减小，地下储罐内压力增加，地下储罐与油罐车内的压力差，使卸油过程中挥发的油气通过导管送回油罐车内，完成油气循环的卸油过程，回收的油气运回储油库进行处理。</w:t>
            </w:r>
          </w:p>
          <w:p w14:paraId="75055A70">
            <w:pPr>
              <w:pStyle w:val="5"/>
              <w:keepNext w:val="0"/>
              <w:keepLines w:val="0"/>
              <w:pageBreakBefore w:val="0"/>
              <w:widowControl w:val="0"/>
              <w:kinsoku/>
              <w:wordWrap/>
              <w:overflowPunct/>
              <w:topLinePunct w:val="0"/>
              <w:autoSpaceDE/>
              <w:autoSpaceDN/>
              <w:bidi w:val="0"/>
              <w:spacing w:line="460" w:lineRule="exact"/>
              <w:textAlignment w:val="auto"/>
              <w:rPr>
                <w:rFonts w:hint="eastAsia"/>
                <w:bCs/>
                <w:sz w:val="26"/>
                <w:szCs w:val="26"/>
              </w:rPr>
            </w:pPr>
            <w:r>
              <w:rPr>
                <w:rFonts w:hint="eastAsia"/>
                <w:bCs/>
                <w:sz w:val="26"/>
                <w:szCs w:val="26"/>
              </w:rPr>
              <w:t>二次油气回收系统：项目汽油加油机设置二次油气回收系统，油气回收系统回收效率9</w:t>
            </w:r>
            <w:r>
              <w:rPr>
                <w:rFonts w:hint="eastAsia"/>
                <w:bCs/>
                <w:sz w:val="26"/>
                <w:szCs w:val="26"/>
                <w:lang w:val="en-US" w:eastAsia="zh-CN"/>
              </w:rPr>
              <w:t>0</w:t>
            </w:r>
            <w:r>
              <w:rPr>
                <w:rFonts w:hint="eastAsia"/>
                <w:bCs/>
                <w:sz w:val="26"/>
                <w:szCs w:val="26"/>
              </w:rPr>
              <w:t>%，其原理为：通过真空泵使加油枪产生一定的真空度，将加油过程中产生的油气通过油气回收枪及管线等设备抽回汽油储罐内，由于加油机抽取一定的真空度，因此二次油气回收系统按卸出1L汽油，回收1.2</w:t>
            </w:r>
            <w:r>
              <w:rPr>
                <w:rFonts w:hint="eastAsia"/>
                <w:bCs/>
                <w:sz w:val="26"/>
                <w:szCs w:val="26"/>
                <w:lang w:val="en-US" w:eastAsia="zh-CN"/>
              </w:rPr>
              <w:t>L</w:t>
            </w:r>
            <w:r>
              <w:rPr>
                <w:rFonts w:hint="eastAsia"/>
                <w:bCs/>
                <w:sz w:val="26"/>
                <w:szCs w:val="26"/>
              </w:rPr>
              <w:t>油气的比例进行油气回收，由回收枪再通过和同轴皮管、油气回收管等油气回收设备将原本由汽油车油箱溢散的油气进行回收。</w:t>
            </w:r>
          </w:p>
          <w:p w14:paraId="163C5116">
            <w:pPr>
              <w:pStyle w:val="5"/>
              <w:keepNext w:val="0"/>
              <w:keepLines w:val="0"/>
              <w:pageBreakBefore w:val="0"/>
              <w:widowControl w:val="0"/>
              <w:kinsoku/>
              <w:wordWrap/>
              <w:overflowPunct/>
              <w:topLinePunct w:val="0"/>
              <w:autoSpaceDE/>
              <w:autoSpaceDN/>
              <w:bidi w:val="0"/>
              <w:spacing w:line="460" w:lineRule="exact"/>
              <w:textAlignment w:val="auto"/>
              <w:rPr>
                <w:rFonts w:hint="eastAsia"/>
                <w:bCs/>
                <w:sz w:val="26"/>
                <w:szCs w:val="26"/>
              </w:rPr>
            </w:pPr>
            <w:r>
              <w:rPr>
                <w:rFonts w:hint="eastAsia"/>
                <w:bCs/>
                <w:sz w:val="26"/>
                <w:szCs w:val="26"/>
              </w:rPr>
              <w:t>三次油气回收系统：在储罐呼吸阀处设置三次油气回收处理装置，采用冷凝＋膜分离技术，三次油气回收处置装置内安装冷凝器、膜分离器，油气首先进入冷凝器内，冷凝器将大部分油气冷凝后回收至储油罐内，未冷凝部分经膜分离器（利用压差分离）进一步净化油气，主要通过在压力驱动下，借助气体各组分在高分子膜表面的吸附能力以及在膜内渗透速率的差异进行分离，剩余未回收的油气经通气管排出，其回收效率可达95%。</w:t>
            </w:r>
          </w:p>
          <w:p w14:paraId="436F5673">
            <w:pPr>
              <w:pStyle w:val="5"/>
              <w:keepNext w:val="0"/>
              <w:keepLines w:val="0"/>
              <w:pageBreakBefore w:val="0"/>
              <w:widowControl w:val="0"/>
              <w:kinsoku/>
              <w:wordWrap/>
              <w:overflowPunct/>
              <w:topLinePunct w:val="0"/>
              <w:autoSpaceDE/>
              <w:autoSpaceDN/>
              <w:bidi w:val="0"/>
              <w:spacing w:line="460" w:lineRule="exact"/>
              <w:textAlignment w:val="auto"/>
              <w:rPr>
                <w:rFonts w:hint="eastAsia"/>
                <w:bCs/>
                <w:sz w:val="26"/>
                <w:szCs w:val="26"/>
              </w:rPr>
            </w:pPr>
            <w:r>
              <w:rPr>
                <w:rFonts w:hint="eastAsia"/>
                <w:bCs/>
                <w:sz w:val="26"/>
                <w:szCs w:val="26"/>
              </w:rPr>
              <w:t>油气回收在线监测系统：在线监测加油油气回收过程中的气液比以及油气回收系统的密闭性是否正常的系统，当发现异常时可提醒操作人员采取相应的措施，并能记录、储存、处理和传输监测数据。流量传感器和压力传感器所采集的数据被送入数据处理系统进行分析，当油气回收系统处非正常工作状态时，监测系统将发出警告，若在警告期间内仍未采取处理措施，系统将报警。</w:t>
            </w:r>
          </w:p>
          <w:p w14:paraId="0601C408">
            <w:pPr>
              <w:adjustRightInd w:val="0"/>
              <w:snapToGrid w:val="0"/>
              <w:spacing w:line="240" w:lineRule="auto"/>
              <w:jc w:val="center"/>
              <w:rPr>
                <w:rFonts w:hint="eastAsia"/>
                <w:sz w:val="22"/>
                <w:szCs w:val="22"/>
                <w:lang w:val="en-US" w:eastAsia="zh-CN"/>
              </w:rPr>
            </w:pPr>
            <w:r>
              <w:rPr>
                <w:rFonts w:hint="eastAsia"/>
                <w:sz w:val="22"/>
                <w:szCs w:val="22"/>
                <w:lang w:val="en-US" w:eastAsia="zh-CN"/>
              </w:rPr>
              <w:t>表4.2-6  废气治理可行技术参照表</w:t>
            </w:r>
          </w:p>
          <w:tbl>
            <w:tblPr>
              <w:tblStyle w:val="18"/>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563"/>
              <w:gridCol w:w="1594"/>
              <w:gridCol w:w="1153"/>
              <w:gridCol w:w="1325"/>
              <w:gridCol w:w="1325"/>
            </w:tblGrid>
            <w:tr w14:paraId="1F41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gridSpan w:val="2"/>
                  <w:vAlign w:val="center"/>
                </w:tcPr>
                <w:p w14:paraId="70DF06CF">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sz w:val="22"/>
                      <w:szCs w:val="16"/>
                      <w:vertAlign w:val="baseline"/>
                      <w:lang w:val="en-US" w:eastAsia="zh-CN"/>
                    </w:rPr>
                  </w:pPr>
                  <w:r>
                    <w:rPr>
                      <w:rFonts w:hint="eastAsia"/>
                      <w:sz w:val="22"/>
                      <w:szCs w:val="16"/>
                      <w:vertAlign w:val="baseline"/>
                      <w:lang w:val="en-US" w:eastAsia="zh-CN"/>
                    </w:rPr>
                    <w:t>污染源</w:t>
                  </w:r>
                </w:p>
              </w:tc>
              <w:tc>
                <w:tcPr>
                  <w:tcW w:w="1594" w:type="dxa"/>
                  <w:vAlign w:val="center"/>
                </w:tcPr>
                <w:p w14:paraId="2180CB02">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主要控制污染物</w:t>
                  </w:r>
                </w:p>
              </w:tc>
              <w:tc>
                <w:tcPr>
                  <w:tcW w:w="1153" w:type="dxa"/>
                  <w:vAlign w:val="center"/>
                </w:tcPr>
                <w:p w14:paraId="71164436">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可行技术</w:t>
                  </w:r>
                </w:p>
              </w:tc>
              <w:tc>
                <w:tcPr>
                  <w:tcW w:w="1325" w:type="dxa"/>
                  <w:vAlign w:val="center"/>
                </w:tcPr>
                <w:p w14:paraId="6E0BBC18">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本项目采取措施</w:t>
                  </w:r>
                </w:p>
              </w:tc>
              <w:tc>
                <w:tcPr>
                  <w:tcW w:w="1325" w:type="dxa"/>
                  <w:vAlign w:val="center"/>
                </w:tcPr>
                <w:p w14:paraId="2D4D53E3">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是否为可行技术</w:t>
                  </w:r>
                </w:p>
              </w:tc>
            </w:tr>
            <w:tr w14:paraId="55E8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Merge w:val="restart"/>
                  <w:vAlign w:val="center"/>
                </w:tcPr>
                <w:p w14:paraId="139D5009">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无组织排放源</w:t>
                  </w:r>
                </w:p>
              </w:tc>
              <w:tc>
                <w:tcPr>
                  <w:tcW w:w="1563" w:type="dxa"/>
                  <w:vAlign w:val="center"/>
                </w:tcPr>
                <w:p w14:paraId="6DB9F985">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油气储罐挥发</w:t>
                  </w:r>
                </w:p>
              </w:tc>
              <w:tc>
                <w:tcPr>
                  <w:tcW w:w="1594" w:type="dxa"/>
                  <w:vAlign w:val="center"/>
                </w:tcPr>
                <w:p w14:paraId="4122A2B0">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sz w:val="22"/>
                      <w:szCs w:val="16"/>
                      <w:vertAlign w:val="baseline"/>
                      <w:lang w:val="en-US" w:eastAsia="zh-CN"/>
                    </w:rPr>
                  </w:pPr>
                  <w:r>
                    <w:rPr>
                      <w:rFonts w:hint="eastAsia"/>
                      <w:sz w:val="22"/>
                      <w:szCs w:val="16"/>
                      <w:vertAlign w:val="baseline"/>
                      <w:lang w:val="en-US" w:eastAsia="zh-CN"/>
                    </w:rPr>
                    <w:t>挥发性有机物</w:t>
                  </w:r>
                </w:p>
              </w:tc>
              <w:tc>
                <w:tcPr>
                  <w:tcW w:w="1153" w:type="dxa"/>
                  <w:vAlign w:val="center"/>
                </w:tcPr>
                <w:p w14:paraId="0BF3ACA3">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油气平衡</w:t>
                  </w:r>
                </w:p>
              </w:tc>
              <w:tc>
                <w:tcPr>
                  <w:tcW w:w="1325" w:type="dxa"/>
                  <w:vAlign w:val="center"/>
                </w:tcPr>
                <w:p w14:paraId="64A2E8E0">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设置油气回收装置</w:t>
                  </w:r>
                </w:p>
              </w:tc>
              <w:tc>
                <w:tcPr>
                  <w:tcW w:w="1325" w:type="dxa"/>
                  <w:vAlign w:val="center"/>
                </w:tcPr>
                <w:p w14:paraId="02719DF7">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是</w:t>
                  </w:r>
                </w:p>
              </w:tc>
            </w:tr>
            <w:tr w14:paraId="35BD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Merge w:val="continue"/>
                  <w:vAlign w:val="center"/>
                </w:tcPr>
                <w:p w14:paraId="27CE18C3">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sz w:val="22"/>
                      <w:szCs w:val="16"/>
                      <w:vertAlign w:val="baseline"/>
                      <w:lang w:val="en-US" w:eastAsia="zh-CN"/>
                    </w:rPr>
                  </w:pPr>
                </w:p>
              </w:tc>
              <w:tc>
                <w:tcPr>
                  <w:tcW w:w="1563" w:type="dxa"/>
                  <w:vAlign w:val="center"/>
                </w:tcPr>
                <w:p w14:paraId="2312CE8F">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汽油加油枪挥发</w:t>
                  </w:r>
                </w:p>
              </w:tc>
              <w:tc>
                <w:tcPr>
                  <w:tcW w:w="1594" w:type="dxa"/>
                  <w:vAlign w:val="center"/>
                </w:tcPr>
                <w:p w14:paraId="0CF489BF">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sz w:val="22"/>
                      <w:szCs w:val="16"/>
                      <w:vertAlign w:val="baseline"/>
                      <w:lang w:val="en-US" w:eastAsia="zh-CN"/>
                    </w:rPr>
                  </w:pPr>
                  <w:r>
                    <w:rPr>
                      <w:rFonts w:hint="eastAsia"/>
                      <w:sz w:val="22"/>
                      <w:szCs w:val="16"/>
                      <w:vertAlign w:val="baseline"/>
                      <w:lang w:val="en-US" w:eastAsia="zh-CN"/>
                    </w:rPr>
                    <w:t>挥发性有机物</w:t>
                  </w:r>
                </w:p>
              </w:tc>
              <w:tc>
                <w:tcPr>
                  <w:tcW w:w="1153" w:type="dxa"/>
                  <w:vAlign w:val="center"/>
                </w:tcPr>
                <w:p w14:paraId="3FB5F121">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油气回收</w:t>
                  </w:r>
                </w:p>
              </w:tc>
              <w:tc>
                <w:tcPr>
                  <w:tcW w:w="1325" w:type="dxa"/>
                  <w:vAlign w:val="center"/>
                </w:tcPr>
                <w:p w14:paraId="1742901D">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sz w:val="22"/>
                      <w:szCs w:val="16"/>
                      <w:vertAlign w:val="baseline"/>
                      <w:lang w:val="en-US" w:eastAsia="zh-CN"/>
                    </w:rPr>
                  </w:pPr>
                  <w:r>
                    <w:rPr>
                      <w:rFonts w:hint="eastAsia"/>
                      <w:sz w:val="22"/>
                      <w:szCs w:val="16"/>
                      <w:vertAlign w:val="baseline"/>
                      <w:lang w:val="en-US" w:eastAsia="zh-CN"/>
                    </w:rPr>
                    <w:t>设置油气回收装置</w:t>
                  </w:r>
                </w:p>
              </w:tc>
              <w:tc>
                <w:tcPr>
                  <w:tcW w:w="1325" w:type="dxa"/>
                  <w:vAlign w:val="center"/>
                </w:tcPr>
                <w:p w14:paraId="303DAFC1">
                  <w:pPr>
                    <w:pStyle w:val="5"/>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sz w:val="22"/>
                      <w:szCs w:val="16"/>
                      <w:vertAlign w:val="baseline"/>
                      <w:lang w:val="en-US" w:eastAsia="zh-CN"/>
                    </w:rPr>
                  </w:pPr>
                  <w:r>
                    <w:rPr>
                      <w:rFonts w:hint="eastAsia"/>
                      <w:sz w:val="22"/>
                      <w:szCs w:val="16"/>
                      <w:vertAlign w:val="baseline"/>
                      <w:lang w:val="en-US" w:eastAsia="zh-CN"/>
                    </w:rPr>
                    <w:t>是</w:t>
                  </w:r>
                </w:p>
              </w:tc>
            </w:tr>
          </w:tbl>
          <w:p w14:paraId="625A720D">
            <w:pPr>
              <w:adjustRightInd w:val="0"/>
              <w:snapToGrid w:val="0"/>
              <w:spacing w:line="460" w:lineRule="exact"/>
              <w:ind w:firstLine="520" w:firstLineChars="200"/>
              <w:rPr>
                <w:bCs/>
                <w:sz w:val="26"/>
                <w:szCs w:val="26"/>
              </w:rPr>
            </w:pPr>
            <w:r>
              <w:rPr>
                <w:rFonts w:hint="eastAsia"/>
                <w:sz w:val="26"/>
                <w:szCs w:val="26"/>
                <w:lang w:val="en-US" w:eastAsia="zh-CN"/>
              </w:rPr>
              <w:t>本项目采用的</w:t>
            </w:r>
            <w:r>
              <w:rPr>
                <w:rFonts w:hint="eastAsia"/>
                <w:sz w:val="26"/>
                <w:szCs w:val="26"/>
              </w:rPr>
              <w:t>油气回收系统属于《排污许可证申请</w:t>
            </w:r>
            <w:r>
              <w:rPr>
                <w:rFonts w:hint="eastAsia"/>
                <w:sz w:val="26"/>
                <w:szCs w:val="26"/>
                <w:lang w:val="en-US" w:eastAsia="zh-CN"/>
              </w:rPr>
              <w:t>与</w:t>
            </w:r>
            <w:r>
              <w:rPr>
                <w:rFonts w:hint="eastAsia"/>
                <w:sz w:val="26"/>
                <w:szCs w:val="26"/>
              </w:rPr>
              <w:t>核发技术规范 储油库、加油站》（HJ1118-2020）表F.1中可行技术“油气回收</w:t>
            </w:r>
            <w:r>
              <w:rPr>
                <w:rFonts w:hint="eastAsia"/>
                <w:sz w:val="26"/>
                <w:szCs w:val="26"/>
                <w:lang w:eastAsia="zh-CN"/>
              </w:rPr>
              <w:t>、</w:t>
            </w:r>
            <w:r>
              <w:rPr>
                <w:rFonts w:hint="eastAsia"/>
                <w:sz w:val="26"/>
                <w:szCs w:val="26"/>
                <w:lang w:val="en-US" w:eastAsia="zh-CN"/>
              </w:rPr>
              <w:t>油气平衡</w:t>
            </w:r>
            <w:r>
              <w:rPr>
                <w:rFonts w:hint="eastAsia"/>
                <w:sz w:val="26"/>
                <w:szCs w:val="26"/>
              </w:rPr>
              <w:t>”</w:t>
            </w:r>
            <w:r>
              <w:rPr>
                <w:rFonts w:hint="eastAsia"/>
                <w:sz w:val="26"/>
                <w:szCs w:val="26"/>
                <w:lang w:eastAsia="zh-CN"/>
              </w:rPr>
              <w:t>，</w:t>
            </w:r>
            <w:r>
              <w:rPr>
                <w:rFonts w:hint="eastAsia"/>
                <w:sz w:val="26"/>
                <w:szCs w:val="26"/>
                <w:lang w:val="en-US" w:eastAsia="zh-CN"/>
              </w:rPr>
              <w:t>因此项目采取的措施均为可行技术</w:t>
            </w:r>
            <w:r>
              <w:rPr>
                <w:rFonts w:hint="eastAsia"/>
                <w:sz w:val="26"/>
                <w:szCs w:val="26"/>
              </w:rPr>
              <w:t>。</w:t>
            </w:r>
          </w:p>
          <w:p w14:paraId="42D6464C">
            <w:pPr>
              <w:adjustRightInd w:val="0"/>
              <w:snapToGrid w:val="0"/>
              <w:spacing w:line="460" w:lineRule="exact"/>
              <w:ind w:firstLine="520" w:firstLineChars="200"/>
              <w:rPr>
                <w:sz w:val="26"/>
                <w:szCs w:val="26"/>
                <w:lang w:bidi="ar"/>
              </w:rPr>
            </w:pPr>
            <w:r>
              <w:rPr>
                <w:bCs/>
                <w:sz w:val="26"/>
                <w:szCs w:val="26"/>
              </w:rPr>
              <w:t>（</w:t>
            </w:r>
            <w:r>
              <w:rPr>
                <w:rFonts w:hint="eastAsia"/>
                <w:bCs/>
                <w:sz w:val="26"/>
                <w:szCs w:val="26"/>
              </w:rPr>
              <w:t>3</w:t>
            </w:r>
            <w:r>
              <w:rPr>
                <w:bCs/>
                <w:sz w:val="26"/>
                <w:szCs w:val="26"/>
              </w:rPr>
              <w:t>）</w:t>
            </w:r>
            <w:r>
              <w:rPr>
                <w:rFonts w:hint="eastAsia"/>
                <w:sz w:val="26"/>
                <w:szCs w:val="26"/>
                <w:lang w:bidi="ar"/>
              </w:rPr>
              <w:t>监测要求</w:t>
            </w:r>
          </w:p>
          <w:p w14:paraId="3153A8D4">
            <w:pPr>
              <w:spacing w:line="460" w:lineRule="exact"/>
              <w:ind w:firstLine="520" w:firstLineChars="200"/>
              <w:rPr>
                <w:sz w:val="26"/>
                <w:szCs w:val="26"/>
                <w:lang w:bidi="ar"/>
              </w:rPr>
            </w:pPr>
            <w:r>
              <w:rPr>
                <w:kern w:val="44"/>
                <w:sz w:val="26"/>
                <w:szCs w:val="26"/>
                <w:lang w:bidi="ar"/>
              </w:rPr>
              <w:t>参照《排污单位自行监测技术指南总则》（HJ819-2017）</w:t>
            </w:r>
            <w:r>
              <w:rPr>
                <w:rFonts w:hint="eastAsia"/>
                <w:kern w:val="44"/>
                <w:sz w:val="26"/>
                <w:szCs w:val="26"/>
                <w:lang w:bidi="ar"/>
              </w:rPr>
              <w:t>、《排污单位自行监测技术指南 储油库、加油站》（</w:t>
            </w:r>
            <w:r>
              <w:rPr>
                <w:kern w:val="44"/>
                <w:sz w:val="26"/>
                <w:szCs w:val="26"/>
                <w:lang w:bidi="ar"/>
              </w:rPr>
              <w:t>HJ 1249—2022</w:t>
            </w:r>
            <w:r>
              <w:rPr>
                <w:rFonts w:hint="eastAsia"/>
                <w:kern w:val="44"/>
                <w:sz w:val="26"/>
                <w:szCs w:val="26"/>
                <w:lang w:bidi="ar"/>
              </w:rPr>
              <w:t>）</w:t>
            </w:r>
            <w:r>
              <w:rPr>
                <w:kern w:val="44"/>
                <w:sz w:val="26"/>
                <w:szCs w:val="26"/>
                <w:lang w:bidi="ar"/>
              </w:rPr>
              <w:t>以及《排污许可证申请与核发技术规范储油库、加油站》（HJ 1118-2020），</w:t>
            </w:r>
            <w:r>
              <w:rPr>
                <w:rFonts w:hint="eastAsia"/>
                <w:sz w:val="26"/>
                <w:szCs w:val="26"/>
                <w:lang w:bidi="ar"/>
              </w:rPr>
              <w:t>本项目营运期</w:t>
            </w:r>
            <w:r>
              <w:rPr>
                <w:sz w:val="26"/>
                <w:szCs w:val="26"/>
                <w:lang w:bidi="ar"/>
              </w:rPr>
              <w:t>废气</w:t>
            </w:r>
            <w:r>
              <w:rPr>
                <w:rFonts w:hint="eastAsia"/>
                <w:sz w:val="26"/>
                <w:szCs w:val="26"/>
                <w:lang w:bidi="ar"/>
              </w:rPr>
              <w:t>监测要求见</w:t>
            </w:r>
            <w:r>
              <w:rPr>
                <w:sz w:val="26"/>
                <w:szCs w:val="26"/>
                <w:lang w:bidi="ar"/>
              </w:rPr>
              <w:t>表</w:t>
            </w:r>
            <w:r>
              <w:rPr>
                <w:rFonts w:hint="eastAsia"/>
                <w:sz w:val="26"/>
                <w:szCs w:val="26"/>
                <w:lang w:bidi="ar"/>
              </w:rPr>
              <w:t>4.</w:t>
            </w:r>
            <w:r>
              <w:rPr>
                <w:bCs/>
                <w:sz w:val="26"/>
                <w:szCs w:val="26"/>
              </w:rPr>
              <w:t>2</w:t>
            </w:r>
            <w:r>
              <w:rPr>
                <w:rFonts w:hint="eastAsia"/>
                <w:bCs/>
                <w:sz w:val="26"/>
                <w:szCs w:val="26"/>
                <w:lang w:val="en-US" w:eastAsia="zh-CN"/>
              </w:rPr>
              <w:t>-7</w:t>
            </w:r>
            <w:r>
              <w:rPr>
                <w:sz w:val="26"/>
                <w:szCs w:val="26"/>
                <w:lang w:bidi="ar"/>
              </w:rPr>
              <w:t>。</w:t>
            </w:r>
          </w:p>
          <w:p w14:paraId="718090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6"/>
                <w:szCs w:val="26"/>
                <w:lang w:bidi="ar"/>
              </w:rPr>
            </w:pPr>
            <w:r>
              <w:rPr>
                <w:sz w:val="22"/>
                <w:szCs w:val="22"/>
                <w:lang w:bidi="ar"/>
              </w:rPr>
              <w:t>表</w:t>
            </w:r>
            <w:r>
              <w:rPr>
                <w:rFonts w:hint="eastAsia"/>
                <w:sz w:val="22"/>
                <w:szCs w:val="22"/>
                <w:lang w:bidi="ar"/>
              </w:rPr>
              <w:t>4.</w:t>
            </w:r>
            <w:r>
              <w:rPr>
                <w:bCs/>
                <w:sz w:val="22"/>
                <w:szCs w:val="22"/>
              </w:rPr>
              <w:t>2</w:t>
            </w:r>
            <w:r>
              <w:rPr>
                <w:rFonts w:hint="eastAsia"/>
                <w:bCs/>
                <w:sz w:val="22"/>
                <w:szCs w:val="22"/>
                <w:lang w:val="en-US" w:eastAsia="zh-CN"/>
              </w:rPr>
              <w:t>-7</w:t>
            </w:r>
            <w:r>
              <w:rPr>
                <w:sz w:val="22"/>
                <w:szCs w:val="22"/>
                <w:lang w:bidi="ar"/>
              </w:rPr>
              <w:t xml:space="preserve">  运营期环境监测</w:t>
            </w:r>
            <w:r>
              <w:rPr>
                <w:rFonts w:hint="eastAsia"/>
                <w:sz w:val="22"/>
                <w:szCs w:val="22"/>
                <w:lang w:bidi="ar"/>
              </w:rPr>
              <w:t>要求（简化管理、非重点排污单位）</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622"/>
              <w:gridCol w:w="1455"/>
              <w:gridCol w:w="1311"/>
              <w:gridCol w:w="873"/>
              <w:gridCol w:w="874"/>
              <w:gridCol w:w="2760"/>
            </w:tblGrid>
            <w:tr w14:paraId="29759C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625" w:type="dxa"/>
                  <w:vAlign w:val="center"/>
                </w:tcPr>
                <w:p w14:paraId="509E9FA9">
                  <w:pPr>
                    <w:autoSpaceDE w:val="0"/>
                    <w:autoSpaceDN w:val="0"/>
                    <w:adjustRightInd w:val="0"/>
                    <w:snapToGrid w:val="0"/>
                    <w:spacing w:line="300" w:lineRule="exact"/>
                    <w:jc w:val="center"/>
                    <w:textAlignment w:val="baseline"/>
                    <w:rPr>
                      <w:color w:val="FF0000"/>
                      <w:sz w:val="22"/>
                      <w:szCs w:val="22"/>
                    </w:rPr>
                  </w:pPr>
                  <w:r>
                    <w:rPr>
                      <w:color w:val="FF0000"/>
                      <w:sz w:val="22"/>
                      <w:szCs w:val="22"/>
                    </w:rPr>
                    <w:t>监测对象</w:t>
                  </w:r>
                </w:p>
              </w:tc>
              <w:tc>
                <w:tcPr>
                  <w:tcW w:w="1461" w:type="dxa"/>
                  <w:vAlign w:val="center"/>
                </w:tcPr>
                <w:p w14:paraId="705FF600">
                  <w:pPr>
                    <w:autoSpaceDE w:val="0"/>
                    <w:autoSpaceDN w:val="0"/>
                    <w:adjustRightInd w:val="0"/>
                    <w:snapToGrid w:val="0"/>
                    <w:spacing w:line="300" w:lineRule="exact"/>
                    <w:jc w:val="center"/>
                    <w:textAlignment w:val="baseline"/>
                    <w:rPr>
                      <w:color w:val="FF0000"/>
                      <w:sz w:val="22"/>
                      <w:szCs w:val="22"/>
                    </w:rPr>
                  </w:pPr>
                  <w:r>
                    <w:rPr>
                      <w:color w:val="FF0000"/>
                      <w:sz w:val="22"/>
                      <w:szCs w:val="22"/>
                    </w:rPr>
                    <w:t>监测点位</w:t>
                  </w:r>
                </w:p>
              </w:tc>
              <w:tc>
                <w:tcPr>
                  <w:tcW w:w="1316" w:type="dxa"/>
                  <w:vAlign w:val="center"/>
                </w:tcPr>
                <w:p w14:paraId="2C6D5583">
                  <w:pPr>
                    <w:autoSpaceDE w:val="0"/>
                    <w:autoSpaceDN w:val="0"/>
                    <w:adjustRightInd w:val="0"/>
                    <w:snapToGrid w:val="0"/>
                    <w:spacing w:line="300" w:lineRule="exact"/>
                    <w:jc w:val="center"/>
                    <w:textAlignment w:val="baseline"/>
                    <w:rPr>
                      <w:color w:val="FF0000"/>
                      <w:sz w:val="22"/>
                      <w:szCs w:val="22"/>
                    </w:rPr>
                  </w:pPr>
                  <w:r>
                    <w:rPr>
                      <w:color w:val="FF0000"/>
                      <w:sz w:val="22"/>
                      <w:szCs w:val="22"/>
                    </w:rPr>
                    <w:t>监测因子</w:t>
                  </w:r>
                </w:p>
              </w:tc>
              <w:tc>
                <w:tcPr>
                  <w:tcW w:w="876" w:type="dxa"/>
                  <w:vAlign w:val="center"/>
                </w:tcPr>
                <w:p w14:paraId="797651A3">
                  <w:pPr>
                    <w:autoSpaceDE w:val="0"/>
                    <w:autoSpaceDN w:val="0"/>
                    <w:adjustRightInd w:val="0"/>
                    <w:snapToGrid w:val="0"/>
                    <w:spacing w:line="300" w:lineRule="exact"/>
                    <w:jc w:val="center"/>
                    <w:textAlignment w:val="baseline"/>
                    <w:rPr>
                      <w:color w:val="FF0000"/>
                      <w:sz w:val="22"/>
                      <w:szCs w:val="22"/>
                    </w:rPr>
                  </w:pPr>
                  <w:r>
                    <w:rPr>
                      <w:color w:val="FF0000"/>
                      <w:sz w:val="22"/>
                      <w:szCs w:val="22"/>
                    </w:rPr>
                    <w:t>验收监测频次</w:t>
                  </w:r>
                </w:p>
              </w:tc>
              <w:tc>
                <w:tcPr>
                  <w:tcW w:w="877" w:type="dxa"/>
                  <w:vAlign w:val="center"/>
                </w:tcPr>
                <w:p w14:paraId="4B26CC41">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自行</w:t>
                  </w:r>
                  <w:r>
                    <w:rPr>
                      <w:color w:val="FF0000"/>
                      <w:sz w:val="22"/>
                      <w:szCs w:val="22"/>
                    </w:rPr>
                    <w:t>监测频次</w:t>
                  </w:r>
                </w:p>
              </w:tc>
              <w:tc>
                <w:tcPr>
                  <w:tcW w:w="2771" w:type="dxa"/>
                  <w:vAlign w:val="center"/>
                </w:tcPr>
                <w:p w14:paraId="2A76C523">
                  <w:pPr>
                    <w:autoSpaceDE w:val="0"/>
                    <w:autoSpaceDN w:val="0"/>
                    <w:adjustRightInd w:val="0"/>
                    <w:snapToGrid w:val="0"/>
                    <w:spacing w:line="300" w:lineRule="exact"/>
                    <w:jc w:val="center"/>
                    <w:textAlignment w:val="baseline"/>
                    <w:rPr>
                      <w:color w:val="FF0000"/>
                      <w:sz w:val="22"/>
                      <w:szCs w:val="22"/>
                    </w:rPr>
                  </w:pPr>
                  <w:r>
                    <w:rPr>
                      <w:color w:val="FF0000"/>
                      <w:sz w:val="22"/>
                      <w:szCs w:val="22"/>
                    </w:rPr>
                    <w:t>执行标准</w:t>
                  </w:r>
                </w:p>
              </w:tc>
            </w:tr>
            <w:tr w14:paraId="2F1358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09" w:hRule="atLeast"/>
                <w:jc w:val="center"/>
              </w:trPr>
              <w:tc>
                <w:tcPr>
                  <w:tcW w:w="625" w:type="dxa"/>
                  <w:vMerge w:val="restart"/>
                  <w:vAlign w:val="center"/>
                </w:tcPr>
                <w:p w14:paraId="1FF9B527">
                  <w:pPr>
                    <w:autoSpaceDE w:val="0"/>
                    <w:autoSpaceDN w:val="0"/>
                    <w:adjustRightInd w:val="0"/>
                    <w:snapToGrid w:val="0"/>
                    <w:spacing w:line="300" w:lineRule="exact"/>
                    <w:jc w:val="center"/>
                    <w:textAlignment w:val="baseline"/>
                    <w:rPr>
                      <w:color w:val="FF0000"/>
                      <w:sz w:val="22"/>
                      <w:szCs w:val="22"/>
                    </w:rPr>
                  </w:pPr>
                  <w:r>
                    <w:rPr>
                      <w:color w:val="FF0000"/>
                      <w:sz w:val="22"/>
                      <w:szCs w:val="22"/>
                    </w:rPr>
                    <w:t>废气</w:t>
                  </w:r>
                  <w:r>
                    <w:rPr>
                      <w:rFonts w:hint="eastAsia"/>
                      <w:color w:val="FF0000"/>
                      <w:sz w:val="22"/>
                      <w:szCs w:val="22"/>
                    </w:rPr>
                    <w:t>排放</w:t>
                  </w:r>
                </w:p>
              </w:tc>
              <w:tc>
                <w:tcPr>
                  <w:tcW w:w="1461" w:type="dxa"/>
                  <w:vAlign w:val="center"/>
                </w:tcPr>
                <w:p w14:paraId="49A74CB8">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油气回收系统</w:t>
                  </w:r>
                </w:p>
              </w:tc>
              <w:tc>
                <w:tcPr>
                  <w:tcW w:w="1316" w:type="dxa"/>
                  <w:vAlign w:val="center"/>
                </w:tcPr>
                <w:p w14:paraId="3237077C">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气液比、液阻、密闭性</w:t>
                  </w:r>
                </w:p>
              </w:tc>
              <w:tc>
                <w:tcPr>
                  <w:tcW w:w="876" w:type="dxa"/>
                  <w:vAlign w:val="center"/>
                </w:tcPr>
                <w:p w14:paraId="0426F552">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1次</w:t>
                  </w:r>
                </w:p>
              </w:tc>
              <w:tc>
                <w:tcPr>
                  <w:tcW w:w="877" w:type="dxa"/>
                  <w:vAlign w:val="center"/>
                </w:tcPr>
                <w:p w14:paraId="659DF306">
                  <w:pPr>
                    <w:autoSpaceDE w:val="0"/>
                    <w:autoSpaceDN w:val="0"/>
                    <w:adjustRightInd w:val="0"/>
                    <w:snapToGrid w:val="0"/>
                    <w:spacing w:line="300" w:lineRule="exact"/>
                    <w:jc w:val="center"/>
                    <w:textAlignment w:val="baseline"/>
                    <w:rPr>
                      <w:color w:val="FF0000"/>
                      <w:sz w:val="22"/>
                      <w:szCs w:val="22"/>
                    </w:rPr>
                  </w:pPr>
                  <w:r>
                    <w:rPr>
                      <w:color w:val="FF0000"/>
                      <w:sz w:val="22"/>
                      <w:szCs w:val="22"/>
                    </w:rPr>
                    <w:t>1次/年</w:t>
                  </w:r>
                </w:p>
              </w:tc>
              <w:tc>
                <w:tcPr>
                  <w:tcW w:w="2771" w:type="dxa"/>
                  <w:vMerge w:val="restart"/>
                  <w:vAlign w:val="center"/>
                </w:tcPr>
                <w:p w14:paraId="77811BC5">
                  <w:pPr>
                    <w:jc w:val="center"/>
                    <w:rPr>
                      <w:color w:val="FF0000"/>
                      <w:sz w:val="22"/>
                      <w:szCs w:val="22"/>
                    </w:rPr>
                  </w:pPr>
                  <w:r>
                    <w:rPr>
                      <w:rFonts w:hint="eastAsia"/>
                      <w:color w:val="FF0000"/>
                      <w:sz w:val="22"/>
                      <w:szCs w:val="22"/>
                    </w:rPr>
                    <w:t>《加油站大气污染物排放标准》（GB 20952-2020）、《挥发性有机物无组织排放控制标准》（GB37822-2019）</w:t>
                  </w:r>
                </w:p>
              </w:tc>
            </w:tr>
            <w:tr w14:paraId="5772CC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625" w:type="dxa"/>
                  <w:vMerge w:val="continue"/>
                  <w:vAlign w:val="center"/>
                </w:tcPr>
                <w:p w14:paraId="143D5497">
                  <w:pPr>
                    <w:autoSpaceDE w:val="0"/>
                    <w:autoSpaceDN w:val="0"/>
                    <w:adjustRightInd w:val="0"/>
                    <w:snapToGrid w:val="0"/>
                    <w:spacing w:line="300" w:lineRule="exact"/>
                    <w:jc w:val="center"/>
                    <w:textAlignment w:val="baseline"/>
                    <w:rPr>
                      <w:color w:val="FF0000"/>
                      <w:sz w:val="22"/>
                      <w:szCs w:val="22"/>
                    </w:rPr>
                  </w:pPr>
                </w:p>
              </w:tc>
              <w:tc>
                <w:tcPr>
                  <w:tcW w:w="1461" w:type="dxa"/>
                  <w:vAlign w:val="center"/>
                </w:tcPr>
                <w:p w14:paraId="0FE2EEBD">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企业边界</w:t>
                  </w:r>
                </w:p>
              </w:tc>
              <w:tc>
                <w:tcPr>
                  <w:tcW w:w="1316" w:type="dxa"/>
                  <w:vAlign w:val="center"/>
                </w:tcPr>
                <w:p w14:paraId="0FED7FE3">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挥发性有机物</w:t>
                  </w:r>
                </w:p>
              </w:tc>
              <w:tc>
                <w:tcPr>
                  <w:tcW w:w="876" w:type="dxa"/>
                  <w:vAlign w:val="center"/>
                </w:tcPr>
                <w:p w14:paraId="254FD5EC">
                  <w:pPr>
                    <w:jc w:val="center"/>
                    <w:rPr>
                      <w:color w:val="FF0000"/>
                      <w:sz w:val="22"/>
                      <w:szCs w:val="22"/>
                    </w:rPr>
                  </w:pPr>
                  <w:r>
                    <w:rPr>
                      <w:color w:val="FF0000"/>
                      <w:sz w:val="22"/>
                      <w:szCs w:val="22"/>
                    </w:rPr>
                    <w:t>1次</w:t>
                  </w:r>
                </w:p>
              </w:tc>
              <w:tc>
                <w:tcPr>
                  <w:tcW w:w="877" w:type="dxa"/>
                  <w:vAlign w:val="center"/>
                </w:tcPr>
                <w:p w14:paraId="02CE89E4">
                  <w:pPr>
                    <w:jc w:val="center"/>
                    <w:rPr>
                      <w:color w:val="FF0000"/>
                      <w:sz w:val="22"/>
                      <w:szCs w:val="22"/>
                    </w:rPr>
                  </w:pPr>
                  <w:r>
                    <w:rPr>
                      <w:color w:val="FF0000"/>
                      <w:sz w:val="22"/>
                      <w:szCs w:val="22"/>
                    </w:rPr>
                    <w:t>1次/年</w:t>
                  </w:r>
                </w:p>
              </w:tc>
              <w:tc>
                <w:tcPr>
                  <w:tcW w:w="2771" w:type="dxa"/>
                  <w:vMerge w:val="continue"/>
                  <w:vAlign w:val="center"/>
                </w:tcPr>
                <w:p w14:paraId="488CAA6C">
                  <w:pPr>
                    <w:jc w:val="center"/>
                    <w:rPr>
                      <w:color w:val="FF0000"/>
                      <w:sz w:val="22"/>
                      <w:szCs w:val="22"/>
                    </w:rPr>
                  </w:pPr>
                </w:p>
              </w:tc>
            </w:tr>
            <w:tr w14:paraId="7B55E7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09" w:hRule="atLeast"/>
                <w:jc w:val="center"/>
              </w:trPr>
              <w:tc>
                <w:tcPr>
                  <w:tcW w:w="625" w:type="dxa"/>
                  <w:vMerge w:val="continue"/>
                  <w:vAlign w:val="center"/>
                </w:tcPr>
                <w:p w14:paraId="4DDC6A41">
                  <w:pPr>
                    <w:autoSpaceDE w:val="0"/>
                    <w:autoSpaceDN w:val="0"/>
                    <w:adjustRightInd w:val="0"/>
                    <w:snapToGrid w:val="0"/>
                    <w:spacing w:line="300" w:lineRule="exact"/>
                    <w:jc w:val="center"/>
                    <w:textAlignment w:val="baseline"/>
                    <w:rPr>
                      <w:color w:val="FF0000"/>
                      <w:sz w:val="22"/>
                      <w:szCs w:val="22"/>
                    </w:rPr>
                  </w:pPr>
                </w:p>
              </w:tc>
              <w:tc>
                <w:tcPr>
                  <w:tcW w:w="1461" w:type="dxa"/>
                  <w:vAlign w:val="center"/>
                </w:tcPr>
                <w:p w14:paraId="6F7E31A6">
                  <w:pPr>
                    <w:autoSpaceDE w:val="0"/>
                    <w:autoSpaceDN w:val="0"/>
                    <w:adjustRightInd w:val="0"/>
                    <w:snapToGrid w:val="0"/>
                    <w:spacing w:line="300" w:lineRule="exact"/>
                    <w:jc w:val="center"/>
                    <w:textAlignment w:val="baseline"/>
                    <w:rPr>
                      <w:rFonts w:hint="default" w:eastAsia="宋体"/>
                      <w:color w:val="FF0000"/>
                      <w:sz w:val="22"/>
                      <w:szCs w:val="22"/>
                      <w:lang w:val="en-US" w:eastAsia="zh-CN"/>
                    </w:rPr>
                  </w:pPr>
                  <w:r>
                    <w:rPr>
                      <w:rFonts w:hint="eastAsia"/>
                      <w:color w:val="FF0000"/>
                      <w:sz w:val="22"/>
                      <w:szCs w:val="22"/>
                      <w:lang w:val="en-US" w:eastAsia="zh-CN"/>
                    </w:rPr>
                    <w:t>厂内监测点</w:t>
                  </w:r>
                </w:p>
              </w:tc>
              <w:tc>
                <w:tcPr>
                  <w:tcW w:w="1316" w:type="dxa"/>
                  <w:vAlign w:val="center"/>
                </w:tcPr>
                <w:p w14:paraId="1546C440">
                  <w:pPr>
                    <w:autoSpaceDE w:val="0"/>
                    <w:autoSpaceDN w:val="0"/>
                    <w:adjustRightInd w:val="0"/>
                    <w:snapToGrid w:val="0"/>
                    <w:spacing w:line="300" w:lineRule="exact"/>
                    <w:jc w:val="center"/>
                    <w:textAlignment w:val="baseline"/>
                    <w:rPr>
                      <w:rFonts w:hint="eastAsia"/>
                      <w:color w:val="FF0000"/>
                      <w:sz w:val="22"/>
                      <w:szCs w:val="22"/>
                    </w:rPr>
                  </w:pPr>
                  <w:r>
                    <w:rPr>
                      <w:rFonts w:hint="eastAsia"/>
                      <w:color w:val="FF0000"/>
                      <w:sz w:val="22"/>
                      <w:szCs w:val="22"/>
                    </w:rPr>
                    <w:t>挥发性有机物</w:t>
                  </w:r>
                </w:p>
              </w:tc>
              <w:tc>
                <w:tcPr>
                  <w:tcW w:w="876" w:type="dxa"/>
                  <w:vAlign w:val="center"/>
                </w:tcPr>
                <w:p w14:paraId="5184D1EF">
                  <w:pPr>
                    <w:jc w:val="center"/>
                    <w:rPr>
                      <w:color w:val="FF0000"/>
                      <w:sz w:val="22"/>
                      <w:szCs w:val="22"/>
                    </w:rPr>
                  </w:pPr>
                  <w:r>
                    <w:rPr>
                      <w:color w:val="FF0000"/>
                      <w:sz w:val="22"/>
                      <w:szCs w:val="22"/>
                    </w:rPr>
                    <w:t>1次</w:t>
                  </w:r>
                </w:p>
              </w:tc>
              <w:tc>
                <w:tcPr>
                  <w:tcW w:w="877" w:type="dxa"/>
                  <w:vAlign w:val="center"/>
                </w:tcPr>
                <w:p w14:paraId="34761556">
                  <w:pPr>
                    <w:jc w:val="center"/>
                    <w:rPr>
                      <w:color w:val="FF0000"/>
                      <w:sz w:val="22"/>
                      <w:szCs w:val="22"/>
                    </w:rPr>
                  </w:pPr>
                  <w:r>
                    <w:rPr>
                      <w:color w:val="FF0000"/>
                      <w:sz w:val="22"/>
                      <w:szCs w:val="22"/>
                    </w:rPr>
                    <w:t>1次/年</w:t>
                  </w:r>
                </w:p>
              </w:tc>
              <w:tc>
                <w:tcPr>
                  <w:tcW w:w="2771" w:type="dxa"/>
                  <w:vMerge w:val="continue"/>
                  <w:vAlign w:val="center"/>
                </w:tcPr>
                <w:p w14:paraId="5FEF0AEA">
                  <w:pPr>
                    <w:jc w:val="center"/>
                    <w:rPr>
                      <w:color w:val="FF0000"/>
                      <w:sz w:val="22"/>
                      <w:szCs w:val="22"/>
                    </w:rPr>
                  </w:pPr>
                </w:p>
              </w:tc>
            </w:tr>
            <w:tr w14:paraId="14C3DE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09" w:hRule="atLeast"/>
                <w:jc w:val="center"/>
              </w:trPr>
              <w:tc>
                <w:tcPr>
                  <w:tcW w:w="625" w:type="dxa"/>
                  <w:vMerge w:val="continue"/>
                  <w:vAlign w:val="center"/>
                </w:tcPr>
                <w:p w14:paraId="51DDA0D1">
                  <w:pPr>
                    <w:autoSpaceDE w:val="0"/>
                    <w:autoSpaceDN w:val="0"/>
                    <w:adjustRightInd w:val="0"/>
                    <w:snapToGrid w:val="0"/>
                    <w:spacing w:line="300" w:lineRule="exact"/>
                    <w:jc w:val="center"/>
                    <w:textAlignment w:val="baseline"/>
                    <w:rPr>
                      <w:color w:val="FF0000"/>
                      <w:sz w:val="22"/>
                      <w:szCs w:val="22"/>
                    </w:rPr>
                  </w:pPr>
                </w:p>
              </w:tc>
              <w:tc>
                <w:tcPr>
                  <w:tcW w:w="1461" w:type="dxa"/>
                  <w:vAlign w:val="center"/>
                </w:tcPr>
                <w:p w14:paraId="1E8F97B0">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油气回收系统密闭点</w:t>
                  </w:r>
                </w:p>
              </w:tc>
              <w:tc>
                <w:tcPr>
                  <w:tcW w:w="1316" w:type="dxa"/>
                  <w:vAlign w:val="center"/>
                </w:tcPr>
                <w:p w14:paraId="05BAEBDF">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挥发性有机物</w:t>
                  </w:r>
                </w:p>
              </w:tc>
              <w:tc>
                <w:tcPr>
                  <w:tcW w:w="876" w:type="dxa"/>
                  <w:vAlign w:val="center"/>
                </w:tcPr>
                <w:p w14:paraId="6EF76E93">
                  <w:pPr>
                    <w:jc w:val="center"/>
                    <w:rPr>
                      <w:color w:val="FF0000"/>
                      <w:sz w:val="22"/>
                      <w:szCs w:val="22"/>
                    </w:rPr>
                  </w:pPr>
                  <w:r>
                    <w:rPr>
                      <w:rFonts w:hint="eastAsia"/>
                      <w:color w:val="FF0000"/>
                      <w:sz w:val="22"/>
                      <w:szCs w:val="22"/>
                    </w:rPr>
                    <w:t>1次</w:t>
                  </w:r>
                </w:p>
              </w:tc>
              <w:tc>
                <w:tcPr>
                  <w:tcW w:w="877" w:type="dxa"/>
                  <w:vAlign w:val="center"/>
                </w:tcPr>
                <w:p w14:paraId="2559EFD2">
                  <w:pPr>
                    <w:jc w:val="center"/>
                    <w:rPr>
                      <w:color w:val="FF0000"/>
                      <w:sz w:val="22"/>
                      <w:szCs w:val="22"/>
                    </w:rPr>
                  </w:pPr>
                  <w:r>
                    <w:rPr>
                      <w:rFonts w:hint="eastAsia"/>
                      <w:color w:val="FF0000"/>
                      <w:sz w:val="22"/>
                      <w:szCs w:val="22"/>
                    </w:rPr>
                    <w:t>1次/年</w:t>
                  </w:r>
                </w:p>
              </w:tc>
              <w:tc>
                <w:tcPr>
                  <w:tcW w:w="2771" w:type="dxa"/>
                  <w:vMerge w:val="continue"/>
                  <w:vAlign w:val="center"/>
                </w:tcPr>
                <w:p w14:paraId="06520CDB">
                  <w:pPr>
                    <w:jc w:val="center"/>
                    <w:rPr>
                      <w:color w:val="FF0000"/>
                      <w:sz w:val="22"/>
                      <w:szCs w:val="22"/>
                    </w:rPr>
                  </w:pPr>
                </w:p>
              </w:tc>
            </w:tr>
          </w:tbl>
          <w:p w14:paraId="35B4FB2E">
            <w:pPr>
              <w:adjustRightInd w:val="0"/>
              <w:snapToGrid w:val="0"/>
              <w:spacing w:line="460" w:lineRule="exact"/>
              <w:rPr>
                <w:rFonts w:hint="eastAsia"/>
                <w:b w:val="0"/>
                <w:bCs/>
                <w:sz w:val="26"/>
                <w:szCs w:val="26"/>
              </w:rPr>
            </w:pPr>
            <w:r>
              <w:rPr>
                <w:rFonts w:hint="eastAsia"/>
                <w:b w:val="0"/>
                <w:bCs/>
                <w:sz w:val="26"/>
                <w:szCs w:val="26"/>
              </w:rPr>
              <w:t>（</w:t>
            </w:r>
            <w:r>
              <w:rPr>
                <w:rFonts w:hint="eastAsia"/>
                <w:b w:val="0"/>
                <w:bCs/>
                <w:sz w:val="26"/>
                <w:szCs w:val="26"/>
                <w:lang w:val="en-US" w:eastAsia="zh-CN"/>
              </w:rPr>
              <w:t>4</w:t>
            </w:r>
            <w:r>
              <w:rPr>
                <w:rFonts w:hint="eastAsia"/>
                <w:b w:val="0"/>
                <w:bCs/>
                <w:sz w:val="26"/>
                <w:szCs w:val="26"/>
              </w:rPr>
              <w:t>）环境影响分析</w:t>
            </w:r>
          </w:p>
          <w:p w14:paraId="601DD13E">
            <w:pPr>
              <w:adjustRightInd w:val="0"/>
              <w:snapToGrid w:val="0"/>
              <w:spacing w:line="460" w:lineRule="exact"/>
              <w:ind w:firstLine="520" w:firstLineChars="200"/>
              <w:rPr>
                <w:b/>
                <w:sz w:val="26"/>
                <w:szCs w:val="26"/>
              </w:rPr>
            </w:pPr>
            <w:r>
              <w:rPr>
                <w:rFonts w:hint="eastAsia"/>
                <w:b w:val="0"/>
                <w:bCs/>
                <w:sz w:val="26"/>
                <w:szCs w:val="26"/>
              </w:rPr>
              <w:t>本项目所在地属于环境空气二类区，监测点处特征污染因子满足相关空气标准要求，项目所在地具有一定的环境容量可接纳加油站特征污染物的排放。项目废气主要为加油、卸油及储存过程油气挥发产生的非甲烷总烃，汽油卸油挥发油气经卸油油气回收系统处理，加油挥发油气由加油油气回收系统处理，设置三次油气回收处理系统，处理措施均为《排污许可证申请与核发技术规范 储油库、加油站》（HJ 1118-2020）中废气治理可行性措施，可有效减少非甲烷总烃的排放，非甲烷总烃排放浓度能满足《加油站大气污染物排放标准》(GB20952-2020)、《挥发性有机物无组织排放控制标准》（GB37822-2019）限值要求，实现达标排放。</w:t>
            </w:r>
          </w:p>
          <w:p w14:paraId="440C41F2">
            <w:pPr>
              <w:adjustRightInd w:val="0"/>
              <w:snapToGrid w:val="0"/>
              <w:spacing w:line="460" w:lineRule="exact"/>
              <w:rPr>
                <w:b/>
                <w:sz w:val="26"/>
                <w:szCs w:val="26"/>
              </w:rPr>
            </w:pPr>
            <w:r>
              <w:rPr>
                <w:b/>
                <w:sz w:val="26"/>
                <w:szCs w:val="26"/>
              </w:rPr>
              <w:t>4.2.2废水影响分析及其防治措施</w:t>
            </w:r>
          </w:p>
          <w:p w14:paraId="342402B3">
            <w:pPr>
              <w:adjustRightInd w:val="0"/>
              <w:snapToGrid w:val="0"/>
              <w:spacing w:line="460" w:lineRule="exact"/>
              <w:ind w:firstLine="520" w:firstLineChars="200"/>
              <w:rPr>
                <w:rFonts w:hint="default" w:eastAsia="宋体"/>
                <w:bCs/>
                <w:sz w:val="26"/>
                <w:szCs w:val="26"/>
                <w:lang w:val="en-US" w:eastAsia="zh-CN"/>
              </w:rPr>
            </w:pPr>
            <w:r>
              <w:rPr>
                <w:bCs/>
                <w:sz w:val="26"/>
                <w:szCs w:val="26"/>
              </w:rPr>
              <w:t>（1）废水</w:t>
            </w:r>
            <w:r>
              <w:rPr>
                <w:rFonts w:hint="eastAsia"/>
                <w:bCs/>
                <w:sz w:val="26"/>
                <w:szCs w:val="26"/>
                <w:lang w:val="en-US" w:eastAsia="zh-CN"/>
              </w:rPr>
              <w:t>产排污分析</w:t>
            </w:r>
          </w:p>
          <w:p w14:paraId="6488587A">
            <w:pPr>
              <w:pStyle w:val="64"/>
              <w:spacing w:line="460" w:lineRule="exact"/>
            </w:pPr>
            <w:r>
              <w:rPr>
                <w:rFonts w:hint="eastAsia"/>
              </w:rPr>
              <w:t>①生活污水</w:t>
            </w:r>
          </w:p>
          <w:p w14:paraId="3D7A2404">
            <w:pPr>
              <w:pStyle w:val="64"/>
              <w:spacing w:line="460" w:lineRule="exact"/>
              <w:rPr>
                <w:szCs w:val="26"/>
              </w:rPr>
            </w:pPr>
            <w:r>
              <w:rPr>
                <w:rFonts w:hint="eastAsia"/>
                <w:szCs w:val="26"/>
              </w:rPr>
              <w:t>本项目营运期生活污水主要是员工生活污水、乘驾人员产生的污水。加油站</w:t>
            </w:r>
            <w:r>
              <w:rPr>
                <w:rFonts w:hint="eastAsia"/>
                <w:szCs w:val="26"/>
                <w:lang w:val="en-US" w:eastAsia="zh-CN"/>
              </w:rPr>
              <w:t>改</w:t>
            </w:r>
            <w:r>
              <w:rPr>
                <w:rFonts w:hint="eastAsia"/>
                <w:szCs w:val="26"/>
              </w:rPr>
              <w:t>扩建前后劳动定员不变，司乘人员</w:t>
            </w:r>
            <w:r>
              <w:rPr>
                <w:rFonts w:hint="eastAsia"/>
                <w:szCs w:val="26"/>
                <w:lang w:val="en-US" w:eastAsia="zh-CN"/>
              </w:rPr>
              <w:t>数量将会有部分增加</w:t>
            </w:r>
            <w:r>
              <w:rPr>
                <w:rFonts w:hint="eastAsia"/>
                <w:szCs w:val="26"/>
              </w:rPr>
              <w:t>。</w:t>
            </w:r>
          </w:p>
          <w:p w14:paraId="59B1CC2C">
            <w:pPr>
              <w:pStyle w:val="64"/>
              <w:spacing w:line="460" w:lineRule="exact"/>
              <w:rPr>
                <w:szCs w:val="26"/>
              </w:rPr>
            </w:pPr>
            <w:r>
              <w:rPr>
                <w:rFonts w:hint="default" w:ascii="Times New Roman" w:hAnsi="Times New Roman" w:cs="Times New Roman"/>
                <w:color w:val="auto"/>
                <w:sz w:val="26"/>
                <w:szCs w:val="26"/>
              </w:rPr>
              <w:t>项目用水定额参照《重庆市第二三产业用水定额</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2020年版</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渝水</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rPr>
              <w:t>2021</w:t>
            </w:r>
            <w:r>
              <w:rPr>
                <w:rFonts w:hint="eastAsia" w:ascii="微软雅黑" w:hAnsi="微软雅黑" w:eastAsia="微软雅黑" w:cs="微软雅黑"/>
                <w:color w:val="auto"/>
                <w:sz w:val="26"/>
                <w:szCs w:val="26"/>
              </w:rPr>
              <w:t>〕</w:t>
            </w:r>
            <w:r>
              <w:rPr>
                <w:rFonts w:hint="default" w:ascii="Times New Roman" w:hAnsi="Times New Roman" w:cs="Times New Roman"/>
                <w:color w:val="auto"/>
                <w:sz w:val="26"/>
                <w:szCs w:val="26"/>
              </w:rPr>
              <w:t>56号</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以及《建筑给水排水设计标准》（GB50015-20</w:t>
            </w:r>
            <w:r>
              <w:rPr>
                <w:rFonts w:hint="default" w:ascii="Times New Roman" w:hAnsi="Times New Roman" w:cs="Times New Roman"/>
                <w:color w:val="auto"/>
                <w:sz w:val="26"/>
                <w:szCs w:val="26"/>
                <w:lang w:val="en-US" w:eastAsia="zh-CN"/>
              </w:rPr>
              <w:t>19</w:t>
            </w:r>
            <w:r>
              <w:rPr>
                <w:rFonts w:hint="default" w:ascii="Times New Roman" w:hAnsi="Times New Roman" w:cs="Times New Roman"/>
                <w:color w:val="auto"/>
                <w:sz w:val="26"/>
                <w:szCs w:val="26"/>
              </w:rPr>
              <w:t>）</w:t>
            </w:r>
            <w:r>
              <w:rPr>
                <w:rFonts w:hint="eastAsia"/>
                <w:szCs w:val="26"/>
              </w:rPr>
              <w:t>等相关规范要求，结合加油站实际情况考虑，</w:t>
            </w:r>
            <w:r>
              <w:rPr>
                <w:rFonts w:hint="eastAsia"/>
                <w:szCs w:val="26"/>
                <w:lang w:val="en-US" w:eastAsia="zh-CN"/>
              </w:rPr>
              <w:t>本项目改扩建后劳动定员</w:t>
            </w:r>
            <w:r>
              <w:rPr>
                <w:rFonts w:hint="eastAsia"/>
                <w:color w:val="auto"/>
                <w:szCs w:val="26"/>
                <w:lang w:val="en-US" w:eastAsia="zh-CN"/>
              </w:rPr>
              <w:t>为7</w:t>
            </w:r>
            <w:r>
              <w:rPr>
                <w:rFonts w:hint="eastAsia"/>
                <w:color w:val="0000FF"/>
                <w:szCs w:val="26"/>
                <w:lang w:val="en-US" w:eastAsia="zh-CN"/>
              </w:rPr>
              <w:t>人（</w:t>
            </w:r>
            <w:r>
              <w:rPr>
                <w:rFonts w:hint="eastAsia"/>
                <w:szCs w:val="26"/>
                <w:lang w:val="en-US" w:eastAsia="zh-CN"/>
              </w:rPr>
              <w:t>涉及工作生活及住宿），职工用水量按150L/人·d，改</w:t>
            </w:r>
            <w:r>
              <w:rPr>
                <w:rFonts w:hint="eastAsia"/>
                <w:szCs w:val="26"/>
              </w:rPr>
              <w:t>扩建后</w:t>
            </w:r>
            <w:r>
              <w:rPr>
                <w:rFonts w:hint="eastAsia"/>
                <w:szCs w:val="26"/>
                <w:lang w:val="en-US" w:eastAsia="zh-CN"/>
              </w:rPr>
              <w:t>每天进站的</w:t>
            </w:r>
            <w:r>
              <w:rPr>
                <w:rFonts w:hint="eastAsia"/>
                <w:szCs w:val="26"/>
              </w:rPr>
              <w:t>乘驾人员约</w:t>
            </w:r>
            <w:r>
              <w:rPr>
                <w:rFonts w:hint="eastAsia"/>
                <w:szCs w:val="26"/>
                <w:lang w:val="en-US" w:eastAsia="zh-CN"/>
              </w:rPr>
              <w:t>39</w:t>
            </w:r>
            <w:r>
              <w:rPr>
                <w:szCs w:val="26"/>
              </w:rPr>
              <w:t>0</w:t>
            </w:r>
            <w:r>
              <w:rPr>
                <w:rFonts w:hint="eastAsia"/>
                <w:szCs w:val="26"/>
              </w:rPr>
              <w:t>人，人均用水标准约</w:t>
            </w:r>
            <w:r>
              <w:rPr>
                <w:rFonts w:hint="eastAsia"/>
                <w:szCs w:val="26"/>
                <w:lang w:val="en-US" w:eastAsia="zh-CN"/>
              </w:rPr>
              <w:t>5</w:t>
            </w:r>
            <w:r>
              <w:rPr>
                <w:rFonts w:hint="eastAsia"/>
                <w:szCs w:val="26"/>
              </w:rPr>
              <w:t>L/</w:t>
            </w:r>
            <w:r>
              <w:rPr>
                <w:rFonts w:hint="eastAsia"/>
                <w:szCs w:val="26"/>
                <w:lang w:eastAsia="zh-CN"/>
              </w:rPr>
              <w:t>（</w:t>
            </w:r>
            <w:r>
              <w:rPr>
                <w:rFonts w:hint="eastAsia"/>
                <w:szCs w:val="26"/>
              </w:rPr>
              <w:t>人</w:t>
            </w:r>
            <w:r>
              <w:rPr>
                <w:szCs w:val="26"/>
              </w:rPr>
              <w:t>·</w:t>
            </w:r>
            <w:r>
              <w:rPr>
                <w:rFonts w:hint="eastAsia"/>
                <w:szCs w:val="26"/>
              </w:rPr>
              <w:t>d</w:t>
            </w:r>
            <w:r>
              <w:rPr>
                <w:rFonts w:hint="eastAsia"/>
                <w:szCs w:val="26"/>
                <w:lang w:eastAsia="zh-CN"/>
              </w:rPr>
              <w:t>）</w:t>
            </w:r>
            <w:r>
              <w:rPr>
                <w:rFonts w:hint="eastAsia"/>
                <w:szCs w:val="26"/>
              </w:rPr>
              <w:t>，生活污水排水量按用水量的90%计算。则本项目</w:t>
            </w:r>
            <w:r>
              <w:rPr>
                <w:rFonts w:hint="eastAsia"/>
                <w:szCs w:val="26"/>
                <w:lang w:val="en-US" w:eastAsia="zh-CN"/>
              </w:rPr>
              <w:t>改扩建后生活用水量合计为3.0</w:t>
            </w:r>
            <w:r>
              <w:rPr>
                <w:rFonts w:hint="eastAsia"/>
                <w:szCs w:val="26"/>
              </w:rPr>
              <w:t>m</w:t>
            </w:r>
            <w:r>
              <w:rPr>
                <w:rFonts w:hint="eastAsia"/>
                <w:szCs w:val="26"/>
                <w:vertAlign w:val="superscript"/>
              </w:rPr>
              <w:t>3</w:t>
            </w:r>
            <w:r>
              <w:rPr>
                <w:rFonts w:hint="eastAsia"/>
                <w:szCs w:val="26"/>
              </w:rPr>
              <w:t>/d</w:t>
            </w:r>
            <w:r>
              <w:rPr>
                <w:rFonts w:hint="eastAsia"/>
                <w:szCs w:val="26"/>
                <w:lang w:eastAsia="zh-CN"/>
              </w:rPr>
              <w:t>，</w:t>
            </w:r>
            <w:r>
              <w:rPr>
                <w:rFonts w:hint="eastAsia"/>
                <w:szCs w:val="26"/>
              </w:rPr>
              <w:t>生活污水产生量</w:t>
            </w:r>
            <w:r>
              <w:rPr>
                <w:rFonts w:hint="eastAsia"/>
                <w:szCs w:val="26"/>
                <w:lang w:val="en-US" w:eastAsia="zh-CN"/>
              </w:rPr>
              <w:t>2.7</w:t>
            </w:r>
            <w:r>
              <w:rPr>
                <w:rFonts w:hint="eastAsia"/>
                <w:szCs w:val="26"/>
              </w:rPr>
              <w:t>m</w:t>
            </w:r>
            <w:r>
              <w:rPr>
                <w:rFonts w:hint="eastAsia"/>
                <w:szCs w:val="26"/>
                <w:vertAlign w:val="superscript"/>
              </w:rPr>
              <w:t>3</w:t>
            </w:r>
            <w:r>
              <w:rPr>
                <w:rFonts w:hint="eastAsia"/>
                <w:szCs w:val="26"/>
              </w:rPr>
              <w:t>/d</w:t>
            </w:r>
            <w:r>
              <w:rPr>
                <w:rFonts w:hint="eastAsia"/>
                <w:szCs w:val="26"/>
                <w:lang w:eastAsia="zh-CN"/>
              </w:rPr>
              <w:t>（</w:t>
            </w:r>
            <w:r>
              <w:rPr>
                <w:rFonts w:hint="eastAsia"/>
                <w:szCs w:val="26"/>
                <w:lang w:val="en-US" w:eastAsia="zh-CN"/>
              </w:rPr>
              <w:t>985.5</w:t>
            </w:r>
            <w:r>
              <w:rPr>
                <w:szCs w:val="26"/>
              </w:rPr>
              <w:t>t</w:t>
            </w:r>
            <w:r>
              <w:rPr>
                <w:rFonts w:hint="eastAsia"/>
                <w:szCs w:val="26"/>
              </w:rPr>
              <w:t>/a</w:t>
            </w:r>
            <w:r>
              <w:rPr>
                <w:rFonts w:hint="eastAsia"/>
                <w:szCs w:val="26"/>
                <w:lang w:eastAsia="zh-CN"/>
              </w:rPr>
              <w:t>）</w:t>
            </w:r>
            <w:r>
              <w:rPr>
                <w:rFonts w:hint="eastAsia"/>
                <w:szCs w:val="26"/>
              </w:rPr>
              <w:t>，通过</w:t>
            </w:r>
            <w:r>
              <w:rPr>
                <w:rFonts w:hint="eastAsia"/>
                <w:szCs w:val="26"/>
                <w:lang w:val="en-US" w:eastAsia="zh-CN"/>
              </w:rPr>
              <w:t>厂区</w:t>
            </w:r>
            <w:r>
              <w:rPr>
                <w:rFonts w:hint="eastAsia"/>
                <w:szCs w:val="26"/>
              </w:rPr>
              <w:t>东侧</w:t>
            </w:r>
            <w:r>
              <w:rPr>
                <w:rFonts w:hint="eastAsia"/>
                <w:szCs w:val="26"/>
                <w:lang w:val="en-US" w:eastAsia="zh-CN"/>
              </w:rPr>
              <w:t>绿化带内</w:t>
            </w:r>
            <w:r>
              <w:rPr>
                <w:rFonts w:hint="eastAsia"/>
                <w:szCs w:val="26"/>
              </w:rPr>
              <w:t>的</w:t>
            </w:r>
            <w:r>
              <w:rPr>
                <w:rFonts w:hint="eastAsia"/>
                <w:szCs w:val="26"/>
                <w:lang w:eastAsia="zh-CN"/>
              </w:rPr>
              <w:t>化粪池</w:t>
            </w:r>
            <w:r>
              <w:rPr>
                <w:rFonts w:hint="eastAsia"/>
                <w:szCs w:val="26"/>
              </w:rPr>
              <w:t>进行处理，主要污染因子为COD、BOD</w:t>
            </w:r>
            <w:r>
              <w:rPr>
                <w:rFonts w:hint="eastAsia"/>
                <w:szCs w:val="26"/>
                <w:vertAlign w:val="subscript"/>
              </w:rPr>
              <w:t>5</w:t>
            </w:r>
            <w:r>
              <w:rPr>
                <w:rFonts w:hint="eastAsia"/>
                <w:szCs w:val="26"/>
              </w:rPr>
              <w:t>、SS、氨氮，本项目生活污水中COD</w:t>
            </w:r>
            <w:r>
              <w:rPr>
                <w:rFonts w:hint="eastAsia"/>
                <w:szCs w:val="26"/>
                <w:lang w:val="en-US" w:eastAsia="zh-CN"/>
              </w:rPr>
              <w:t>浓度</w:t>
            </w:r>
            <w:r>
              <w:rPr>
                <w:rFonts w:hint="eastAsia"/>
                <w:szCs w:val="26"/>
              </w:rPr>
              <w:t>取</w:t>
            </w:r>
            <w:r>
              <w:rPr>
                <w:rFonts w:hint="eastAsia"/>
                <w:szCs w:val="26"/>
                <w:lang w:val="en-US" w:eastAsia="zh-CN"/>
              </w:rPr>
              <w:t>6</w:t>
            </w:r>
            <w:r>
              <w:rPr>
                <w:rFonts w:hint="eastAsia"/>
                <w:szCs w:val="26"/>
              </w:rPr>
              <w:t>00mg/L，BOD</w:t>
            </w:r>
            <w:r>
              <w:rPr>
                <w:rFonts w:hint="eastAsia"/>
                <w:szCs w:val="26"/>
                <w:vertAlign w:val="subscript"/>
              </w:rPr>
              <w:t>5</w:t>
            </w:r>
            <w:r>
              <w:rPr>
                <w:rFonts w:hint="eastAsia"/>
                <w:szCs w:val="26"/>
              </w:rPr>
              <w:t>取</w:t>
            </w:r>
            <w:r>
              <w:rPr>
                <w:szCs w:val="26"/>
              </w:rPr>
              <w:t>4</w:t>
            </w:r>
            <w:r>
              <w:rPr>
                <w:rFonts w:hint="eastAsia"/>
                <w:szCs w:val="26"/>
              </w:rPr>
              <w:t>00mg/L，SS取</w:t>
            </w:r>
            <w:r>
              <w:rPr>
                <w:szCs w:val="26"/>
              </w:rPr>
              <w:t>40</w:t>
            </w:r>
            <w:r>
              <w:rPr>
                <w:rFonts w:hint="eastAsia"/>
                <w:szCs w:val="26"/>
              </w:rPr>
              <w:t>0mg/L，NH</w:t>
            </w:r>
            <w:r>
              <w:rPr>
                <w:rFonts w:hint="eastAsia"/>
                <w:szCs w:val="26"/>
                <w:vertAlign w:val="subscript"/>
              </w:rPr>
              <w:t>3</w:t>
            </w:r>
            <w:r>
              <w:rPr>
                <w:rFonts w:hint="eastAsia"/>
                <w:szCs w:val="26"/>
              </w:rPr>
              <w:t>-N取</w:t>
            </w:r>
            <w:r>
              <w:rPr>
                <w:szCs w:val="26"/>
              </w:rPr>
              <w:t>50</w:t>
            </w:r>
            <w:r>
              <w:rPr>
                <w:rFonts w:hint="eastAsia"/>
                <w:szCs w:val="26"/>
              </w:rPr>
              <w:t>mg/L</w:t>
            </w:r>
            <w:r>
              <w:rPr>
                <w:rFonts w:hint="eastAsia"/>
                <w:szCs w:val="26"/>
                <w:lang w:eastAsia="zh-CN"/>
              </w:rPr>
              <w:t>，</w:t>
            </w:r>
            <w:r>
              <w:rPr>
                <w:rFonts w:hint="eastAsia"/>
                <w:szCs w:val="26"/>
                <w:lang w:val="en-US" w:eastAsia="zh-CN"/>
              </w:rPr>
              <w:t>以上浓度值参照《室外排水设计标准》（GB50014-2021）和《环境工程技术手册-废水污染控制技术手册》进行核算后综合取值</w:t>
            </w:r>
            <w:r>
              <w:rPr>
                <w:rFonts w:hint="eastAsia"/>
                <w:szCs w:val="26"/>
              </w:rPr>
              <w:t>。</w:t>
            </w:r>
          </w:p>
          <w:p w14:paraId="14F28702">
            <w:pPr>
              <w:pStyle w:val="64"/>
            </w:pPr>
            <w:r>
              <w:rPr>
                <w:rFonts w:hint="eastAsia"/>
              </w:rPr>
              <w:t>②场地冲洗废水</w:t>
            </w:r>
          </w:p>
          <w:p w14:paraId="37321518">
            <w:pPr>
              <w:pStyle w:val="64"/>
              <w:spacing w:line="460" w:lineRule="exact"/>
              <w:rPr>
                <w:szCs w:val="26"/>
              </w:rPr>
            </w:pPr>
            <w:r>
              <w:rPr>
                <w:rFonts w:hint="eastAsia"/>
                <w:lang w:val="en-US" w:eastAsia="zh-CN"/>
              </w:rPr>
              <w:t>本项目</w:t>
            </w:r>
            <w:r>
              <w:rPr>
                <w:rFonts w:hint="eastAsia"/>
              </w:rPr>
              <w:t>场地冲洗按3天/次考虑，场地冲洗用水主要是卸油区、加油区，每次冲洗废水量约为2L/m</w:t>
            </w:r>
            <w:r>
              <w:rPr>
                <w:rFonts w:hint="eastAsia"/>
                <w:vertAlign w:val="superscript"/>
              </w:rPr>
              <w:t>2</w:t>
            </w:r>
            <w:r>
              <w:rPr>
                <w:rFonts w:hint="eastAsia"/>
                <w:lang w:val="en-US" w:eastAsia="zh-CN"/>
              </w:rPr>
              <w:t>·</w:t>
            </w:r>
            <w:r>
              <w:rPr>
                <w:rFonts w:hint="eastAsia"/>
              </w:rPr>
              <w:t>次，冲洗面积约为</w:t>
            </w:r>
            <w:r>
              <w:rPr>
                <w:rFonts w:hint="eastAsia"/>
                <w:lang w:val="en-US" w:eastAsia="zh-CN"/>
              </w:rPr>
              <w:t>900</w:t>
            </w:r>
            <w:r>
              <w:rPr>
                <w:rFonts w:hint="eastAsia"/>
              </w:rPr>
              <w:t>m</w:t>
            </w:r>
            <w:r>
              <w:rPr>
                <w:rFonts w:hint="eastAsia"/>
                <w:vertAlign w:val="superscript"/>
              </w:rPr>
              <w:t>2</w:t>
            </w:r>
            <w:r>
              <w:rPr>
                <w:rFonts w:hint="eastAsia"/>
              </w:rPr>
              <w:t>，则项目场地冲洗用水量为</w:t>
            </w:r>
            <w:r>
              <w:rPr>
                <w:rFonts w:hint="eastAsia"/>
                <w:lang w:val="en-US" w:eastAsia="zh-CN"/>
              </w:rPr>
              <w:t>219.0</w:t>
            </w:r>
            <w:r>
              <w:rPr>
                <w:rFonts w:hint="eastAsia"/>
              </w:rPr>
              <w:t>m</w:t>
            </w:r>
            <w:r>
              <w:rPr>
                <w:rFonts w:hint="eastAsia"/>
                <w:vertAlign w:val="superscript"/>
              </w:rPr>
              <w:t>3</w:t>
            </w:r>
            <w:r>
              <w:rPr>
                <w:rFonts w:hint="eastAsia"/>
              </w:rPr>
              <w:t>/a</w:t>
            </w:r>
            <w:r>
              <w:rPr>
                <w:rFonts w:hint="eastAsia"/>
                <w:lang w:eastAsia="zh-CN"/>
              </w:rPr>
              <w:t>（</w:t>
            </w:r>
            <w:r>
              <w:rPr>
                <w:rFonts w:hint="eastAsia"/>
                <w:lang w:val="en-US" w:eastAsia="zh-CN"/>
              </w:rPr>
              <w:t>0.60</w:t>
            </w:r>
            <w:r>
              <w:rPr>
                <w:rFonts w:hint="eastAsia"/>
              </w:rPr>
              <w:t>m</w:t>
            </w:r>
            <w:r>
              <w:rPr>
                <w:rFonts w:hint="eastAsia"/>
                <w:vertAlign w:val="superscript"/>
              </w:rPr>
              <w:t>3</w:t>
            </w:r>
            <w:r>
              <w:rPr>
                <w:rFonts w:hint="eastAsia"/>
              </w:rPr>
              <w:t>/</w:t>
            </w:r>
            <w:r>
              <w:rPr>
                <w:rFonts w:hint="eastAsia"/>
                <w:lang w:val="en-US" w:eastAsia="zh-CN"/>
              </w:rPr>
              <w:t>d</w:t>
            </w:r>
            <w:r>
              <w:rPr>
                <w:rFonts w:hint="eastAsia"/>
                <w:lang w:eastAsia="zh-CN"/>
              </w:rPr>
              <w:t>）</w:t>
            </w:r>
            <w:r>
              <w:rPr>
                <w:rFonts w:hint="eastAsia"/>
              </w:rPr>
              <w:t>，</w:t>
            </w:r>
            <w:r>
              <w:rPr>
                <w:rFonts w:hint="eastAsia" w:ascii="Times New Roman" w:hAnsi="Times New Roman" w:cs="Times New Roman"/>
                <w:color w:val="auto"/>
                <w:sz w:val="26"/>
                <w:szCs w:val="26"/>
                <w:lang w:val="en-US" w:eastAsia="zh-CN"/>
              </w:rPr>
              <w:t>产污系数按0.9计，则场地冲洗废水</w:t>
            </w:r>
            <w:r>
              <w:rPr>
                <w:rFonts w:hint="eastAsia"/>
              </w:rPr>
              <w:t>量为</w:t>
            </w:r>
            <w:r>
              <w:rPr>
                <w:rFonts w:hint="eastAsia"/>
                <w:lang w:val="en-US" w:eastAsia="zh-CN"/>
              </w:rPr>
              <w:t>197.1</w:t>
            </w:r>
            <w:r>
              <w:rPr>
                <w:rFonts w:hint="eastAsia"/>
              </w:rPr>
              <w:t>m</w:t>
            </w:r>
            <w:r>
              <w:rPr>
                <w:rFonts w:hint="eastAsia"/>
                <w:vertAlign w:val="superscript"/>
              </w:rPr>
              <w:t>3</w:t>
            </w:r>
            <w:r>
              <w:rPr>
                <w:rFonts w:hint="eastAsia"/>
              </w:rPr>
              <w:t>/a</w:t>
            </w:r>
            <w:r>
              <w:rPr>
                <w:rFonts w:hint="eastAsia"/>
                <w:lang w:eastAsia="zh-CN"/>
              </w:rPr>
              <w:t>（</w:t>
            </w:r>
            <w:r>
              <w:rPr>
                <w:rFonts w:hint="eastAsia"/>
                <w:lang w:val="en-US" w:eastAsia="zh-CN"/>
              </w:rPr>
              <w:t>0.54</w:t>
            </w:r>
            <w:r>
              <w:rPr>
                <w:rFonts w:hint="eastAsia"/>
              </w:rPr>
              <w:t>m</w:t>
            </w:r>
            <w:r>
              <w:rPr>
                <w:rFonts w:hint="eastAsia"/>
                <w:vertAlign w:val="superscript"/>
              </w:rPr>
              <w:t>3</w:t>
            </w:r>
            <w:r>
              <w:rPr>
                <w:rFonts w:hint="eastAsia"/>
              </w:rPr>
              <w:t>/</w:t>
            </w:r>
            <w:r>
              <w:rPr>
                <w:rFonts w:hint="eastAsia"/>
                <w:lang w:val="en-US" w:eastAsia="zh-CN"/>
              </w:rPr>
              <w:t>d</w:t>
            </w:r>
            <w:r>
              <w:rPr>
                <w:rFonts w:hint="eastAsia"/>
                <w:lang w:eastAsia="zh-CN"/>
              </w:rPr>
              <w:t>）</w:t>
            </w:r>
            <w:r>
              <w:rPr>
                <w:rFonts w:hint="eastAsia"/>
              </w:rPr>
              <w:t>，类比同类项目，主要污染物SS</w:t>
            </w:r>
            <w:r>
              <w:rPr>
                <w:rFonts w:hint="eastAsia"/>
                <w:lang w:val="en-US" w:eastAsia="zh-CN"/>
              </w:rPr>
              <w:t>取</w:t>
            </w:r>
            <w:r>
              <w:rPr>
                <w:rFonts w:hint="eastAsia"/>
              </w:rPr>
              <w:t>400mg/L、石油类</w:t>
            </w:r>
            <w:r>
              <w:rPr>
                <w:rFonts w:hint="eastAsia"/>
                <w:lang w:val="en-US" w:eastAsia="zh-CN"/>
              </w:rPr>
              <w:t>取</w:t>
            </w:r>
            <w:r>
              <w:rPr>
                <w:rFonts w:hint="eastAsia"/>
              </w:rPr>
              <w:t>30mg/L。</w:t>
            </w:r>
          </w:p>
          <w:p w14:paraId="17600A7F">
            <w:pPr>
              <w:pStyle w:val="64"/>
              <w:spacing w:line="460" w:lineRule="exact"/>
              <w:rPr>
                <w:color w:val="FF0000"/>
              </w:rPr>
            </w:pPr>
            <w:r>
              <w:rPr>
                <w:rFonts w:hint="eastAsia"/>
                <w:color w:val="FF0000"/>
              </w:rPr>
              <w:t>③洗车废水</w:t>
            </w:r>
          </w:p>
          <w:p w14:paraId="5A7F5645">
            <w:pPr>
              <w:pStyle w:val="64"/>
              <w:spacing w:line="460" w:lineRule="exact"/>
            </w:pPr>
            <w:r>
              <w:rPr>
                <w:rFonts w:hint="eastAsia"/>
                <w:color w:val="FF0000"/>
              </w:rPr>
              <w:t>项目自动洗车间单洗1台小型车用水量为2</w:t>
            </w:r>
            <w:r>
              <w:rPr>
                <w:color w:val="FF0000"/>
              </w:rPr>
              <w:t>0L</w:t>
            </w:r>
            <w:r>
              <w:rPr>
                <w:rFonts w:hint="eastAsia"/>
                <w:color w:val="FF0000"/>
              </w:rPr>
              <w:t>，</w:t>
            </w:r>
            <w:r>
              <w:rPr>
                <w:rFonts w:hint="eastAsia"/>
                <w:color w:val="FF0000"/>
                <w:lang w:val="en-US" w:eastAsia="zh-CN"/>
              </w:rPr>
              <w:t>改扩建后新增的洗车间</w:t>
            </w:r>
            <w:r>
              <w:rPr>
                <w:rFonts w:hint="eastAsia"/>
                <w:color w:val="FF0000"/>
              </w:rPr>
              <w:t>每天洗车频次预计</w:t>
            </w:r>
            <w:r>
              <w:rPr>
                <w:rFonts w:hint="eastAsia"/>
                <w:color w:val="FF0000"/>
                <w:lang w:val="en-US" w:eastAsia="zh-CN"/>
              </w:rPr>
              <w:t>为3</w:t>
            </w:r>
            <w:r>
              <w:rPr>
                <w:color w:val="FF0000"/>
              </w:rPr>
              <w:t>0</w:t>
            </w:r>
            <w:r>
              <w:rPr>
                <w:rFonts w:hint="eastAsia"/>
                <w:color w:val="FF0000"/>
              </w:rPr>
              <w:t>次，项目洗车用水最大</w:t>
            </w:r>
            <w:r>
              <w:rPr>
                <w:rFonts w:hint="eastAsia"/>
                <w:color w:val="FF0000"/>
                <w:lang w:val="en-US" w:eastAsia="zh-CN"/>
              </w:rPr>
              <w:t>用水</w:t>
            </w:r>
            <w:r>
              <w:rPr>
                <w:rFonts w:hint="eastAsia"/>
                <w:color w:val="FF0000"/>
              </w:rPr>
              <w:t>量约为</w:t>
            </w:r>
            <w:r>
              <w:rPr>
                <w:rFonts w:hint="eastAsia"/>
                <w:color w:val="FF0000"/>
                <w:lang w:val="en-US" w:eastAsia="zh-CN"/>
              </w:rPr>
              <w:t>0.6</w:t>
            </w:r>
            <w:r>
              <w:rPr>
                <w:rFonts w:hint="eastAsia"/>
                <w:color w:val="FF0000"/>
              </w:rPr>
              <w:t>m</w:t>
            </w:r>
            <w:r>
              <w:rPr>
                <w:color w:val="FF0000"/>
                <w:vertAlign w:val="superscript"/>
              </w:rPr>
              <w:t>3</w:t>
            </w:r>
            <w:r>
              <w:rPr>
                <w:color w:val="FF0000"/>
              </w:rPr>
              <w:t>/</w:t>
            </w:r>
            <w:r>
              <w:rPr>
                <w:rFonts w:hint="eastAsia"/>
                <w:color w:val="FF0000"/>
                <w:lang w:val="en-US" w:eastAsia="zh-CN"/>
              </w:rPr>
              <w:t>d</w:t>
            </w:r>
            <w:r>
              <w:rPr>
                <w:rFonts w:hint="eastAsia"/>
                <w:color w:val="FF0000"/>
              </w:rPr>
              <w:t>，</w:t>
            </w:r>
            <w:r>
              <w:rPr>
                <w:rFonts w:hint="eastAsia"/>
                <w:color w:val="FF0000"/>
                <w:lang w:val="en-US" w:eastAsia="zh-CN"/>
              </w:rPr>
              <w:t>产生的洗车废水经洗车机自带的三级隔油沉淀池（处理能力为1m</w:t>
            </w:r>
            <w:r>
              <w:rPr>
                <w:rFonts w:hint="eastAsia"/>
                <w:color w:val="FF0000"/>
                <w:vertAlign w:val="superscript"/>
                <w:lang w:val="en-US" w:eastAsia="zh-CN"/>
              </w:rPr>
              <w:t>3</w:t>
            </w:r>
            <w:r>
              <w:rPr>
                <w:rFonts w:hint="eastAsia"/>
                <w:color w:val="FF0000"/>
                <w:lang w:val="en-US" w:eastAsia="zh-CN"/>
              </w:rPr>
              <w:t>/d）处理达标后循环回用于洗车，循环回用后定期（循环一个月）</w:t>
            </w:r>
            <w:r>
              <w:rPr>
                <w:rFonts w:hint="eastAsia"/>
                <w:color w:val="FF0000"/>
                <w:sz w:val="26"/>
                <w:szCs w:val="26"/>
                <w:lang w:val="en-US" w:eastAsia="zh-CN"/>
              </w:rPr>
              <w:t>外排至加油站设置的三段式隔油沉淀池达标处理后汇入市政污水管网，考虑挥发等因素，</w:t>
            </w:r>
            <w:r>
              <w:rPr>
                <w:rFonts w:hint="eastAsia"/>
                <w:color w:val="FF0000"/>
              </w:rPr>
              <w:t>排污系数取0</w:t>
            </w:r>
            <w:r>
              <w:rPr>
                <w:color w:val="FF0000"/>
              </w:rPr>
              <w:t>.9</w:t>
            </w:r>
            <w:r>
              <w:rPr>
                <w:rFonts w:hint="eastAsia"/>
                <w:color w:val="FF0000"/>
              </w:rPr>
              <w:t>，则洗车废水</w:t>
            </w:r>
            <w:r>
              <w:rPr>
                <w:rFonts w:hint="eastAsia"/>
                <w:color w:val="FF0000"/>
                <w:lang w:val="en-US" w:eastAsia="zh-CN"/>
              </w:rPr>
              <w:t>排放</w:t>
            </w:r>
            <w:r>
              <w:rPr>
                <w:rFonts w:hint="eastAsia"/>
                <w:color w:val="FF0000"/>
              </w:rPr>
              <w:t>量约为</w:t>
            </w:r>
            <w:r>
              <w:rPr>
                <w:rFonts w:hint="eastAsia"/>
                <w:color w:val="FF0000"/>
                <w:lang w:val="en-US" w:eastAsia="zh-CN"/>
              </w:rPr>
              <w:t>0.54</w:t>
            </w:r>
            <w:r>
              <w:rPr>
                <w:rFonts w:hint="eastAsia"/>
                <w:color w:val="FF0000"/>
              </w:rPr>
              <w:t>m</w:t>
            </w:r>
            <w:r>
              <w:rPr>
                <w:color w:val="FF0000"/>
                <w:vertAlign w:val="superscript"/>
              </w:rPr>
              <w:t>3</w:t>
            </w:r>
            <w:r>
              <w:rPr>
                <w:color w:val="FF0000"/>
              </w:rPr>
              <w:t>/</w:t>
            </w:r>
            <w:r>
              <w:rPr>
                <w:rFonts w:hint="eastAsia"/>
                <w:color w:val="FF0000"/>
                <w:lang w:val="en-US" w:eastAsia="zh-CN"/>
              </w:rPr>
              <w:t>次</w:t>
            </w:r>
            <w:r>
              <w:rPr>
                <w:rFonts w:hint="eastAsia"/>
                <w:color w:val="FF0000"/>
              </w:rPr>
              <w:t>（</w:t>
            </w:r>
            <w:r>
              <w:rPr>
                <w:rFonts w:hint="eastAsia"/>
                <w:color w:val="FF0000"/>
                <w:lang w:val="en-US" w:eastAsia="zh-CN"/>
              </w:rPr>
              <w:t>即约为0.02m</w:t>
            </w:r>
            <w:r>
              <w:rPr>
                <w:rFonts w:hint="eastAsia"/>
                <w:color w:val="FF0000"/>
                <w:vertAlign w:val="superscript"/>
                <w:lang w:val="en-US" w:eastAsia="zh-CN"/>
              </w:rPr>
              <w:t>3</w:t>
            </w:r>
            <w:r>
              <w:rPr>
                <w:color w:val="FF0000"/>
              </w:rPr>
              <w:t>/</w:t>
            </w:r>
            <w:r>
              <w:rPr>
                <w:rFonts w:hint="eastAsia"/>
                <w:color w:val="FF0000"/>
                <w:lang w:val="en-US" w:eastAsia="zh-CN"/>
              </w:rPr>
              <w:t>d</w:t>
            </w:r>
            <w:r>
              <w:rPr>
                <w:rFonts w:hint="eastAsia"/>
                <w:color w:val="FF0000"/>
              </w:rPr>
              <w:t>）。</w:t>
            </w:r>
          </w:p>
          <w:p w14:paraId="718774B6">
            <w:pPr>
              <w:pStyle w:val="64"/>
            </w:pPr>
            <w:r>
              <w:rPr>
                <w:rFonts w:hint="eastAsia"/>
              </w:rPr>
              <w:t>④加油棚外</w:t>
            </w:r>
            <w:r>
              <w:rPr>
                <w:rFonts w:hint="eastAsia"/>
                <w:lang w:val="en-US" w:eastAsia="zh-CN"/>
              </w:rPr>
              <w:t>场地</w:t>
            </w:r>
            <w:r>
              <w:rPr>
                <w:rFonts w:hint="eastAsia"/>
              </w:rPr>
              <w:t>初期雨水</w:t>
            </w:r>
          </w:p>
          <w:p w14:paraId="42BEBA96">
            <w:pPr>
              <w:pStyle w:val="64"/>
              <w:rPr>
                <w:rFonts w:hint="default" w:eastAsia="宋体"/>
                <w:szCs w:val="26"/>
                <w:lang w:val="en-US" w:eastAsia="zh-CN"/>
              </w:rPr>
            </w:pPr>
            <w:r>
              <w:rPr>
                <w:rFonts w:hint="eastAsia"/>
                <w:szCs w:val="26"/>
                <w:lang w:val="en-US" w:eastAsia="zh-CN"/>
              </w:rPr>
              <w:t>本项目改扩建后场地初期雨水</w:t>
            </w:r>
            <w:r>
              <w:rPr>
                <w:rFonts w:hint="default" w:ascii="Times New Roman" w:hAnsi="Times New Roman" w:eastAsia="宋体" w:cs="Times New Roman"/>
                <w:color w:val="auto"/>
                <w:sz w:val="26"/>
                <w:szCs w:val="26"/>
                <w:lang w:val="en-US" w:eastAsia="zh-CN"/>
              </w:rPr>
              <w:t>通过</w:t>
            </w:r>
            <w:r>
              <w:rPr>
                <w:rFonts w:hint="eastAsia" w:ascii="Times New Roman" w:hAnsi="Times New Roman" w:eastAsia="宋体" w:cs="Times New Roman"/>
                <w:color w:val="auto"/>
                <w:sz w:val="26"/>
                <w:szCs w:val="26"/>
                <w:lang w:val="en-US" w:eastAsia="zh-CN"/>
              </w:rPr>
              <w:t>场地内</w:t>
            </w:r>
            <w:r>
              <w:rPr>
                <w:rFonts w:hint="default" w:ascii="Times New Roman" w:hAnsi="Times New Roman" w:eastAsia="宋体" w:cs="Times New Roman"/>
                <w:color w:val="auto"/>
                <w:sz w:val="26"/>
                <w:szCs w:val="26"/>
                <w:lang w:val="en-US" w:eastAsia="zh-CN"/>
              </w:rPr>
              <w:t>污染区</w:t>
            </w:r>
            <w:r>
              <w:rPr>
                <w:rFonts w:hint="eastAsia" w:ascii="Times New Roman" w:hAnsi="Times New Roman" w:eastAsia="宋体" w:cs="Times New Roman"/>
                <w:color w:val="auto"/>
                <w:sz w:val="26"/>
                <w:szCs w:val="26"/>
                <w:lang w:val="en-US" w:eastAsia="zh-CN"/>
              </w:rPr>
              <w:t>（罩棚外）</w:t>
            </w:r>
            <w:r>
              <w:rPr>
                <w:rFonts w:hint="default" w:ascii="Times New Roman" w:hAnsi="Times New Roman" w:eastAsia="宋体" w:cs="Times New Roman"/>
                <w:color w:val="auto"/>
                <w:sz w:val="26"/>
                <w:szCs w:val="26"/>
                <w:lang w:val="en-US" w:eastAsia="zh-CN"/>
              </w:rPr>
              <w:t>设置的地沟，有组织收集到厂内</w:t>
            </w:r>
            <w:r>
              <w:rPr>
                <w:rFonts w:hint="eastAsia" w:ascii="Times New Roman" w:hAnsi="Times New Roman" w:eastAsia="宋体" w:cs="Times New Roman"/>
                <w:color w:val="auto"/>
                <w:sz w:val="26"/>
                <w:szCs w:val="26"/>
                <w:lang w:val="en-US" w:eastAsia="zh-CN"/>
              </w:rPr>
              <w:t>拟建</w:t>
            </w:r>
            <w:r>
              <w:rPr>
                <w:rFonts w:hint="default" w:ascii="Times New Roman" w:hAnsi="Times New Roman" w:eastAsia="宋体" w:cs="Times New Roman"/>
                <w:color w:val="auto"/>
                <w:sz w:val="26"/>
                <w:szCs w:val="26"/>
                <w:lang w:val="en-US" w:eastAsia="zh-CN"/>
              </w:rPr>
              <w:t>的</w:t>
            </w:r>
            <w:r>
              <w:rPr>
                <w:rFonts w:hint="eastAsia" w:ascii="Times New Roman" w:hAnsi="Times New Roman" w:eastAsia="宋体" w:cs="Times New Roman"/>
                <w:color w:val="auto"/>
                <w:sz w:val="26"/>
                <w:szCs w:val="26"/>
                <w:lang w:val="en-US" w:eastAsia="zh-CN"/>
              </w:rPr>
              <w:t>隔油沉淀池（兼作</w:t>
            </w:r>
            <w:r>
              <w:rPr>
                <w:rFonts w:hint="default" w:ascii="Times New Roman" w:hAnsi="Times New Roman" w:eastAsia="宋体" w:cs="Times New Roman"/>
                <w:color w:val="auto"/>
                <w:sz w:val="26"/>
                <w:szCs w:val="26"/>
                <w:lang w:val="en-US" w:eastAsia="zh-CN"/>
              </w:rPr>
              <w:t>初期雨水池</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中。初期雨水池前设有</w:t>
            </w:r>
            <w:r>
              <w:rPr>
                <w:rFonts w:hint="eastAsia" w:ascii="Times New Roman" w:hAnsi="Times New Roman" w:eastAsia="宋体" w:cs="Times New Roman"/>
                <w:color w:val="auto"/>
                <w:sz w:val="26"/>
                <w:szCs w:val="26"/>
                <w:lang w:val="en-US" w:eastAsia="zh-CN"/>
              </w:rPr>
              <w:t>雨污</w:t>
            </w:r>
            <w:r>
              <w:rPr>
                <w:rFonts w:hint="default" w:ascii="Times New Roman" w:hAnsi="Times New Roman" w:eastAsia="宋体" w:cs="Times New Roman"/>
                <w:color w:val="auto"/>
                <w:sz w:val="26"/>
                <w:szCs w:val="26"/>
                <w:lang w:val="en-US" w:eastAsia="zh-CN"/>
              </w:rPr>
              <w:t>切换阀，可将后期雨水切换至雨水沟内。下雨结束后，初期雨水</w:t>
            </w:r>
            <w:r>
              <w:rPr>
                <w:rFonts w:hint="eastAsia" w:ascii="Times New Roman" w:hAnsi="Times New Roman" w:eastAsia="宋体" w:cs="Times New Roman"/>
                <w:color w:val="auto"/>
                <w:sz w:val="26"/>
                <w:szCs w:val="26"/>
                <w:lang w:val="en-US" w:eastAsia="zh-CN"/>
              </w:rPr>
              <w:t>经</w:t>
            </w:r>
            <w:r>
              <w:rPr>
                <w:rFonts w:hint="eastAsia" w:cs="Times New Roman"/>
                <w:color w:val="auto"/>
                <w:sz w:val="26"/>
                <w:szCs w:val="26"/>
                <w:lang w:val="en-US" w:eastAsia="zh-CN"/>
              </w:rPr>
              <w:t>三段式</w:t>
            </w:r>
            <w:r>
              <w:rPr>
                <w:rFonts w:hint="eastAsia" w:ascii="Times New Roman" w:hAnsi="Times New Roman" w:eastAsia="宋体" w:cs="Times New Roman"/>
                <w:color w:val="auto"/>
                <w:sz w:val="26"/>
                <w:szCs w:val="26"/>
                <w:lang w:val="en-US" w:eastAsia="zh-CN"/>
              </w:rPr>
              <w:t>隔油沉淀后汇入市政污水管网</w:t>
            </w:r>
            <w:r>
              <w:rPr>
                <w:rFonts w:hint="default" w:ascii="Times New Roman" w:hAnsi="Times New Roman" w:cs="Times New Roman"/>
                <w:color w:val="auto"/>
                <w:kern w:val="2"/>
                <w:sz w:val="26"/>
                <w:szCs w:val="26"/>
                <w:highlight w:val="none"/>
                <w:lang w:val="en-US" w:eastAsia="zh-CN" w:bidi="ar-SA"/>
              </w:rPr>
              <w:t>，后期雨水通过</w:t>
            </w:r>
            <w:r>
              <w:rPr>
                <w:rFonts w:hint="eastAsia" w:ascii="Times New Roman" w:hAnsi="Times New Roman" w:cs="Times New Roman"/>
                <w:color w:val="auto"/>
                <w:kern w:val="2"/>
                <w:sz w:val="26"/>
                <w:szCs w:val="26"/>
                <w:highlight w:val="none"/>
                <w:lang w:val="en-US" w:eastAsia="zh-CN" w:bidi="ar-SA"/>
              </w:rPr>
              <w:t>厂内雨水沟</w:t>
            </w:r>
            <w:r>
              <w:rPr>
                <w:rFonts w:hint="default" w:ascii="Times New Roman" w:hAnsi="Times New Roman" w:cs="Times New Roman"/>
                <w:color w:val="auto"/>
                <w:kern w:val="2"/>
                <w:sz w:val="26"/>
                <w:szCs w:val="26"/>
                <w:highlight w:val="none"/>
                <w:lang w:val="en-US" w:eastAsia="zh-CN" w:bidi="ar-SA"/>
              </w:rPr>
              <w:t>排至</w:t>
            </w:r>
            <w:r>
              <w:rPr>
                <w:rFonts w:hint="eastAsia" w:ascii="Times New Roman" w:hAnsi="Times New Roman" w:cs="Times New Roman"/>
                <w:color w:val="auto"/>
                <w:kern w:val="2"/>
                <w:sz w:val="26"/>
                <w:szCs w:val="26"/>
                <w:highlight w:val="none"/>
                <w:lang w:val="en-US" w:eastAsia="zh-CN" w:bidi="ar-SA"/>
              </w:rPr>
              <w:t>市政雨水管网</w:t>
            </w:r>
            <w:r>
              <w:rPr>
                <w:rFonts w:hint="default" w:ascii="Times New Roman" w:hAnsi="Times New Roman" w:cs="Times New Roman"/>
                <w:color w:val="auto"/>
                <w:kern w:val="2"/>
                <w:sz w:val="26"/>
                <w:szCs w:val="26"/>
                <w:highlight w:val="none"/>
                <w:lang w:val="en-US" w:eastAsia="zh-CN" w:bidi="ar-SA"/>
              </w:rPr>
              <w:t>。厂区初期雨水收集池所需容积计算过程如下：</w:t>
            </w:r>
          </w:p>
          <w:p w14:paraId="684C6BA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520" w:firstLineChars="200"/>
              <w:textAlignment w:val="auto"/>
              <w:rPr>
                <w:rFonts w:hint="default" w:ascii="Times New Roman" w:hAnsi="Times New Roman" w:cs="Times New Roman"/>
                <w:color w:val="auto"/>
                <w:kern w:val="2"/>
                <w:sz w:val="26"/>
                <w:szCs w:val="26"/>
                <w:highlight w:val="none"/>
                <w:lang w:val="en-US" w:eastAsia="zh-CN" w:bidi="ar-SA"/>
              </w:rPr>
            </w:pPr>
            <w:r>
              <w:rPr>
                <w:rFonts w:hint="eastAsia" w:ascii="Times New Roman" w:hAnsi="Times New Roman" w:cs="Times New Roman"/>
                <w:color w:val="auto"/>
                <w:kern w:val="2"/>
                <w:sz w:val="26"/>
                <w:szCs w:val="26"/>
                <w:highlight w:val="none"/>
                <w:lang w:val="en-US" w:eastAsia="zh-CN" w:bidi="ar-SA"/>
              </w:rPr>
              <w:t>项目位于</w:t>
            </w:r>
            <w:r>
              <w:rPr>
                <w:rFonts w:hint="default" w:ascii="Times New Roman" w:hAnsi="Times New Roman" w:cs="Times New Roman"/>
                <w:color w:val="auto"/>
                <w:kern w:val="2"/>
                <w:sz w:val="26"/>
                <w:szCs w:val="26"/>
                <w:highlight w:val="none"/>
                <w:lang w:val="en-US" w:eastAsia="zh-CN" w:bidi="ar-SA"/>
              </w:rPr>
              <w:t>重庆市</w:t>
            </w:r>
            <w:r>
              <w:rPr>
                <w:rFonts w:hint="eastAsia" w:ascii="Times New Roman" w:hAnsi="Times New Roman" w:cs="Times New Roman"/>
                <w:color w:val="auto"/>
                <w:kern w:val="2"/>
                <w:sz w:val="26"/>
                <w:szCs w:val="26"/>
                <w:highlight w:val="none"/>
                <w:lang w:val="en-US" w:eastAsia="zh-CN" w:bidi="ar-SA"/>
              </w:rPr>
              <w:t>九龙坡区（参照沙坪坝区，沙坪坝暴雨强度公式适用范围：长江和嘉陵江之间的地区，包括沙坪坝区、渝中区、九龙坡区、大渡口区和北碚区嘉陵江以南部分区域）</w:t>
            </w:r>
            <w:r>
              <w:rPr>
                <w:rFonts w:hint="default" w:ascii="Times New Roman" w:hAnsi="Times New Roman" w:cs="Times New Roman"/>
                <w:color w:val="auto"/>
                <w:kern w:val="2"/>
                <w:sz w:val="26"/>
                <w:szCs w:val="26"/>
                <w:highlight w:val="none"/>
                <w:lang w:val="en-US" w:eastAsia="zh-CN" w:bidi="ar-SA"/>
              </w:rPr>
              <w:t>暴雨强度计算公式为：</w:t>
            </w:r>
          </w:p>
          <w:p w14:paraId="3D221A08">
            <w:pPr>
              <w:tabs>
                <w:tab w:val="left" w:pos="2520"/>
                <w:tab w:val="left" w:pos="5250"/>
              </w:tabs>
              <w:spacing w:line="360" w:lineRule="auto"/>
              <w:jc w:val="center"/>
              <w:rPr>
                <w:rFonts w:hint="default" w:ascii="Times New Roman" w:hAnsi="Times New Roman" w:cs="Times New Roman"/>
                <w:color w:val="auto"/>
                <w:sz w:val="26"/>
                <w:szCs w:val="26"/>
              </w:rPr>
            </w:pPr>
            <w:r>
              <w:rPr>
                <w:rFonts w:ascii="Times New Roman" w:hAnsi="Times New Roman"/>
                <w:position w:val="-30"/>
                <w:sz w:val="24"/>
                <w:szCs w:val="24"/>
              </w:rPr>
              <w:object>
                <v:shape id="_x0000_i1027" o:spt="75" type="#_x0000_t75" style="height:35.7pt;width:125.2pt;" o:ole="t" filled="f" o:preferrelative="t" stroked="f" coordsize="21600,21600">
                  <v:path/>
                  <v:fill on="f" focussize="0,0"/>
                  <v:stroke on="f"/>
                  <v:imagedata r:id="rId41" o:title=""/>
                  <o:lock v:ext="edit" aspectratio="t"/>
                  <w10:wrap type="none"/>
                  <w10:anchorlock/>
                </v:shape>
                <o:OLEObject Type="Embed" ProgID="Msxml2.SAXXMLReader.5.0" ShapeID="_x0000_i1027" DrawAspect="Content" ObjectID="_1468075728" r:id="rId40">
                  <o:LockedField>false</o:LockedField>
                </o:OLEObject>
              </w:object>
            </w:r>
            <w:r>
              <w:rPr>
                <w:rFonts w:hint="default" w:ascii="Times New Roman" w:hAnsi="Times New Roman" w:cs="Times New Roman"/>
                <w:color w:val="auto"/>
                <w:position w:val="-28"/>
                <w:sz w:val="26"/>
                <w:szCs w:val="26"/>
              </w:rPr>
              <w:tab/>
            </w:r>
            <w:r>
              <w:rPr>
                <w:rFonts w:hint="default" w:ascii="Times New Roman" w:hAnsi="Times New Roman" w:cs="Times New Roman"/>
                <w:color w:val="auto"/>
                <w:sz w:val="26"/>
                <w:szCs w:val="26"/>
                <w:lang w:eastAsia="zh-CN"/>
              </w:rPr>
              <w:t>（</w:t>
            </w:r>
            <w:r>
              <w:rPr>
                <w:rFonts w:hint="default" w:ascii="Times New Roman" w:hAnsi="Times New Roman" w:cs="Times New Roman"/>
                <w:color w:val="auto"/>
                <w:sz w:val="26"/>
                <w:szCs w:val="26"/>
              </w:rPr>
              <w:t>升/秒•公顷</w:t>
            </w:r>
            <w:r>
              <w:rPr>
                <w:rFonts w:hint="default" w:ascii="Times New Roman" w:hAnsi="Times New Roman" w:cs="Times New Roman"/>
                <w:color w:val="auto"/>
                <w:sz w:val="26"/>
                <w:szCs w:val="26"/>
                <w:lang w:eastAsia="zh-CN"/>
              </w:rPr>
              <w:t>）</w:t>
            </w:r>
          </w:p>
          <w:p w14:paraId="151A412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其中：q——暴雨强度，L/s·hm</w:t>
            </w:r>
            <w:r>
              <w:rPr>
                <w:rFonts w:hint="default" w:ascii="Times New Roman" w:hAnsi="Times New Roman" w:cs="Times New Roman"/>
                <w:color w:val="auto"/>
                <w:kern w:val="2"/>
                <w:sz w:val="26"/>
                <w:szCs w:val="26"/>
                <w:highlight w:val="none"/>
                <w:vertAlign w:val="superscript"/>
                <w:lang w:val="en-US" w:eastAsia="zh-CN" w:bidi="ar-SA"/>
              </w:rPr>
              <w:t>2</w:t>
            </w:r>
            <w:r>
              <w:rPr>
                <w:rFonts w:hint="default" w:ascii="Times New Roman" w:hAnsi="Times New Roman" w:cs="Times New Roman"/>
                <w:color w:val="auto"/>
                <w:kern w:val="2"/>
                <w:sz w:val="26"/>
                <w:szCs w:val="26"/>
                <w:highlight w:val="none"/>
                <w:lang w:val="en-US" w:eastAsia="zh-CN" w:bidi="ar-SA"/>
              </w:rPr>
              <w:t>；</w:t>
            </w:r>
          </w:p>
          <w:p w14:paraId="5F57F56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780" w:firstLineChars="30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P——重现期，本次取值为</w:t>
            </w:r>
            <w:r>
              <w:rPr>
                <w:rFonts w:hint="eastAsia" w:ascii="Times New Roman" w:hAnsi="Times New Roman" w:cs="Times New Roman"/>
                <w:color w:val="auto"/>
                <w:kern w:val="2"/>
                <w:sz w:val="26"/>
                <w:szCs w:val="26"/>
                <w:highlight w:val="none"/>
                <w:lang w:val="en-US" w:eastAsia="zh-CN" w:bidi="ar-SA"/>
              </w:rPr>
              <w:t>1</w:t>
            </w:r>
            <w:r>
              <w:rPr>
                <w:rFonts w:hint="default" w:ascii="Times New Roman" w:hAnsi="Times New Roman" w:cs="Times New Roman"/>
                <w:color w:val="auto"/>
                <w:kern w:val="2"/>
                <w:sz w:val="26"/>
                <w:szCs w:val="26"/>
                <w:highlight w:val="none"/>
                <w:lang w:val="en-US" w:eastAsia="zh-CN" w:bidi="ar-SA"/>
              </w:rPr>
              <w:t>年；</w:t>
            </w:r>
          </w:p>
          <w:p w14:paraId="26319A7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780" w:firstLineChars="30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t——降雨历时，本次取15min。</w:t>
            </w:r>
          </w:p>
          <w:p w14:paraId="4C07BDD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517" w:leftChars="246" w:right="0" w:firstLine="0" w:firstLineChars="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根据上述暴雨强度公式，</w:t>
            </w:r>
            <w:r>
              <w:rPr>
                <w:rFonts w:hint="eastAsia" w:ascii="Times New Roman" w:hAnsi="Times New Roman" w:cs="Times New Roman"/>
                <w:color w:val="auto"/>
                <w:kern w:val="2"/>
                <w:sz w:val="26"/>
                <w:szCs w:val="26"/>
                <w:highlight w:val="none"/>
                <w:lang w:val="en-US" w:eastAsia="zh-CN" w:bidi="ar-SA"/>
              </w:rPr>
              <w:t>算得九龙坡区</w:t>
            </w:r>
            <w:r>
              <w:rPr>
                <w:rFonts w:hint="default" w:ascii="Times New Roman" w:hAnsi="Times New Roman" w:cs="Times New Roman"/>
                <w:color w:val="auto"/>
                <w:kern w:val="2"/>
                <w:sz w:val="26"/>
                <w:szCs w:val="26"/>
                <w:highlight w:val="none"/>
                <w:lang w:val="en-US" w:eastAsia="zh-CN" w:bidi="ar-SA"/>
              </w:rPr>
              <w:t>暴雨强度为</w:t>
            </w:r>
            <w:r>
              <w:rPr>
                <w:rFonts w:hint="eastAsia" w:ascii="Times New Roman" w:hAnsi="Times New Roman" w:cs="Times New Roman"/>
                <w:color w:val="auto"/>
                <w:kern w:val="2"/>
                <w:sz w:val="26"/>
                <w:szCs w:val="26"/>
                <w:highlight w:val="none"/>
                <w:lang w:val="en-US" w:eastAsia="zh-CN" w:bidi="ar-SA"/>
              </w:rPr>
              <w:t>188.15</w:t>
            </w:r>
            <w:r>
              <w:rPr>
                <w:rFonts w:hint="default" w:ascii="Times New Roman" w:hAnsi="Times New Roman" w:cs="Times New Roman"/>
                <w:color w:val="auto"/>
                <w:kern w:val="2"/>
                <w:sz w:val="26"/>
                <w:szCs w:val="26"/>
                <w:highlight w:val="none"/>
                <w:lang w:val="en-US" w:eastAsia="zh-CN" w:bidi="ar-SA"/>
              </w:rPr>
              <w:t>L/s·hm</w:t>
            </w:r>
            <w:r>
              <w:rPr>
                <w:rFonts w:hint="default" w:ascii="Times New Roman" w:hAnsi="Times New Roman" w:cs="Times New Roman"/>
                <w:color w:val="auto"/>
                <w:kern w:val="2"/>
                <w:sz w:val="26"/>
                <w:szCs w:val="26"/>
                <w:highlight w:val="none"/>
                <w:vertAlign w:val="superscript"/>
                <w:lang w:val="en-US" w:eastAsia="zh-CN" w:bidi="ar-SA"/>
              </w:rPr>
              <w:t>2</w:t>
            </w:r>
            <w:r>
              <w:rPr>
                <w:rFonts w:hint="default" w:ascii="Times New Roman" w:hAnsi="Times New Roman" w:cs="Times New Roman"/>
                <w:color w:val="auto"/>
                <w:kern w:val="2"/>
                <w:sz w:val="26"/>
                <w:szCs w:val="26"/>
                <w:highlight w:val="none"/>
                <w:lang w:val="en-US" w:eastAsia="zh-CN" w:bidi="ar-SA"/>
              </w:rPr>
              <w:t>。设计雨水流量计算公式：Q=φ×q×F</w:t>
            </w:r>
          </w:p>
          <w:p w14:paraId="11AC305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式中：Q——设计雨水流量，L/s；</w:t>
            </w:r>
          </w:p>
          <w:p w14:paraId="4BDE65A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780" w:firstLineChars="30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q——暴雨强度，L/（s•hm</w:t>
            </w:r>
            <w:r>
              <w:rPr>
                <w:rFonts w:hint="default" w:ascii="Times New Roman" w:hAnsi="Times New Roman" w:cs="Times New Roman"/>
                <w:color w:val="auto"/>
                <w:kern w:val="2"/>
                <w:sz w:val="26"/>
                <w:szCs w:val="26"/>
                <w:highlight w:val="none"/>
                <w:vertAlign w:val="superscript"/>
                <w:lang w:val="en-US" w:eastAsia="zh-CN" w:bidi="ar-SA"/>
              </w:rPr>
              <w:t>2</w:t>
            </w:r>
            <w:r>
              <w:rPr>
                <w:rFonts w:hint="default" w:ascii="Times New Roman" w:hAnsi="Times New Roman" w:cs="Times New Roman"/>
                <w:color w:val="auto"/>
                <w:kern w:val="2"/>
                <w:sz w:val="26"/>
                <w:szCs w:val="26"/>
                <w:highlight w:val="none"/>
                <w:lang w:val="en-US" w:eastAsia="zh-CN" w:bidi="ar-SA"/>
              </w:rPr>
              <w:t>）；</w:t>
            </w:r>
          </w:p>
          <w:p w14:paraId="1F02ECD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780" w:firstLineChars="30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F——汇水面积，hm</w:t>
            </w:r>
            <w:r>
              <w:rPr>
                <w:rFonts w:hint="default" w:ascii="Times New Roman" w:hAnsi="Times New Roman" w:cs="Times New Roman"/>
                <w:color w:val="auto"/>
                <w:kern w:val="2"/>
                <w:sz w:val="26"/>
                <w:szCs w:val="26"/>
                <w:highlight w:val="none"/>
                <w:vertAlign w:val="superscript"/>
                <w:lang w:val="en-US" w:eastAsia="zh-CN" w:bidi="ar-SA"/>
              </w:rPr>
              <w:t>2</w:t>
            </w:r>
            <w:r>
              <w:rPr>
                <w:rFonts w:hint="default" w:ascii="Times New Roman" w:hAnsi="Times New Roman" w:cs="Times New Roman"/>
                <w:color w:val="auto"/>
                <w:kern w:val="2"/>
                <w:sz w:val="26"/>
                <w:szCs w:val="26"/>
                <w:highlight w:val="none"/>
                <w:lang w:val="en-US" w:eastAsia="zh-CN" w:bidi="ar-SA"/>
              </w:rPr>
              <w:t>；</w:t>
            </w:r>
          </w:p>
          <w:p w14:paraId="6070906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right="0" w:firstLine="780" w:firstLineChars="300"/>
              <w:textAlignment w:val="auto"/>
              <w:rPr>
                <w:rFonts w:hint="default" w:ascii="Times New Roman" w:hAnsi="Times New Roman" w:cs="Times New Roman"/>
                <w:color w:val="auto"/>
                <w:kern w:val="2"/>
                <w:sz w:val="26"/>
                <w:szCs w:val="26"/>
                <w:highlight w:val="none"/>
                <w:lang w:val="en-US" w:eastAsia="zh-CN" w:bidi="ar-SA"/>
              </w:rPr>
            </w:pPr>
            <w:r>
              <w:rPr>
                <w:rFonts w:hint="default" w:ascii="Times New Roman" w:hAnsi="Times New Roman" w:cs="Times New Roman"/>
                <w:color w:val="auto"/>
                <w:kern w:val="2"/>
                <w:sz w:val="26"/>
                <w:szCs w:val="26"/>
                <w:highlight w:val="none"/>
                <w:lang w:val="en-US" w:eastAsia="zh-CN" w:bidi="ar-SA"/>
              </w:rPr>
              <w:t>φ——综合径流系数。</w:t>
            </w:r>
          </w:p>
          <w:p w14:paraId="013E1B51">
            <w:pPr>
              <w:pStyle w:val="64"/>
              <w:keepNext w:val="0"/>
              <w:keepLines w:val="0"/>
              <w:pageBreakBefore w:val="0"/>
              <w:widowControl w:val="0"/>
              <w:kinsoku/>
              <w:wordWrap/>
              <w:overflowPunct/>
              <w:topLinePunct w:val="0"/>
              <w:autoSpaceDE/>
              <w:autoSpaceDN/>
              <w:bidi w:val="0"/>
              <w:snapToGrid w:val="0"/>
              <w:spacing w:line="460" w:lineRule="exact"/>
              <w:textAlignment w:val="auto"/>
              <w:rPr>
                <w:rFonts w:hint="eastAsia"/>
                <w:szCs w:val="26"/>
              </w:rPr>
            </w:pPr>
            <w:r>
              <w:rPr>
                <w:rFonts w:hint="eastAsia"/>
              </w:rPr>
              <w:t>加油棚外</w:t>
            </w:r>
            <w:r>
              <w:rPr>
                <w:rFonts w:hint="eastAsia"/>
                <w:lang w:val="en-US" w:eastAsia="zh-CN"/>
              </w:rPr>
              <w:t>场地污染区</w:t>
            </w:r>
            <w:r>
              <w:rPr>
                <w:rFonts w:hint="eastAsia" w:ascii="Times New Roman" w:hAnsi="Times New Roman" w:cs="Times New Roman"/>
                <w:color w:val="auto"/>
                <w:kern w:val="2"/>
                <w:sz w:val="26"/>
                <w:szCs w:val="26"/>
                <w:highlight w:val="none"/>
                <w:lang w:val="en-US" w:eastAsia="zh-CN" w:bidi="ar-SA"/>
              </w:rPr>
              <w:t>汇水总面积（刨除厂内绿化面积等）约为220m</w:t>
            </w:r>
            <w:r>
              <w:rPr>
                <w:rFonts w:hint="eastAsia" w:ascii="Times New Roman" w:hAnsi="Times New Roman" w:cs="Times New Roman"/>
                <w:color w:val="auto"/>
                <w:kern w:val="2"/>
                <w:sz w:val="26"/>
                <w:szCs w:val="26"/>
                <w:highlight w:val="none"/>
                <w:vertAlign w:val="superscript"/>
                <w:lang w:val="en-US" w:eastAsia="zh-CN" w:bidi="ar-SA"/>
              </w:rPr>
              <w:t>2</w:t>
            </w:r>
            <w:r>
              <w:rPr>
                <w:rFonts w:hint="eastAsia" w:ascii="Times New Roman" w:hAnsi="Times New Roman" w:cs="Times New Roman"/>
                <w:color w:val="auto"/>
                <w:kern w:val="2"/>
                <w:sz w:val="26"/>
                <w:szCs w:val="26"/>
                <w:highlight w:val="none"/>
                <w:lang w:val="en-US" w:eastAsia="zh-CN" w:bidi="ar-SA"/>
              </w:rPr>
              <w:t>，</w:t>
            </w:r>
            <w:r>
              <w:rPr>
                <w:rFonts w:hint="eastAsia" w:ascii="Times New Roman" w:hAnsi="Times New Roman" w:cs="Times New Roman"/>
                <w:color w:val="auto"/>
                <w:kern w:val="2"/>
                <w:sz w:val="26"/>
                <w:szCs w:val="26"/>
                <w:highlight w:val="none"/>
                <w:vertAlign w:val="baseline"/>
                <w:lang w:val="en-US" w:eastAsia="zh-CN" w:bidi="ar-SA"/>
              </w:rPr>
              <w:t>即按0.022hm</w:t>
            </w:r>
            <w:r>
              <w:rPr>
                <w:rFonts w:hint="eastAsia" w:ascii="Times New Roman" w:hAnsi="Times New Roman" w:cs="Times New Roman"/>
                <w:color w:val="auto"/>
                <w:kern w:val="2"/>
                <w:sz w:val="26"/>
                <w:szCs w:val="26"/>
                <w:highlight w:val="none"/>
                <w:vertAlign w:val="superscript"/>
                <w:lang w:val="en-US" w:eastAsia="zh-CN" w:bidi="ar-SA"/>
              </w:rPr>
              <w:t>2</w:t>
            </w:r>
            <w:r>
              <w:rPr>
                <w:rFonts w:hint="eastAsia" w:ascii="Times New Roman" w:hAnsi="Times New Roman" w:cs="Times New Roman"/>
                <w:color w:val="auto"/>
                <w:kern w:val="2"/>
                <w:sz w:val="26"/>
                <w:szCs w:val="26"/>
                <w:highlight w:val="none"/>
                <w:vertAlign w:val="baseline"/>
                <w:lang w:val="en-US" w:eastAsia="zh-CN" w:bidi="ar-SA"/>
              </w:rPr>
              <w:t>核算</w:t>
            </w:r>
            <w:r>
              <w:rPr>
                <w:rFonts w:hint="default" w:ascii="Times New Roman" w:hAnsi="Times New Roman" w:cs="Times New Roman"/>
                <w:color w:val="auto"/>
                <w:kern w:val="2"/>
                <w:sz w:val="26"/>
                <w:szCs w:val="26"/>
                <w:highlight w:val="none"/>
                <w:lang w:val="en-US" w:eastAsia="zh-CN" w:bidi="ar-SA"/>
              </w:rPr>
              <w:t>，径流系数取0.9，</w:t>
            </w:r>
            <w:r>
              <w:rPr>
                <w:rFonts w:hint="eastAsia" w:ascii="Times New Roman" w:hAnsi="Times New Roman" w:cs="Times New Roman"/>
                <w:color w:val="auto"/>
                <w:kern w:val="2"/>
                <w:sz w:val="26"/>
                <w:szCs w:val="26"/>
                <w:highlight w:val="none"/>
                <w:lang w:val="en-US" w:eastAsia="zh-CN" w:bidi="ar-SA"/>
              </w:rPr>
              <w:t>算得</w:t>
            </w:r>
            <w:r>
              <w:rPr>
                <w:rFonts w:hint="default" w:ascii="Times New Roman" w:hAnsi="Times New Roman" w:cs="Times New Roman"/>
                <w:color w:val="auto"/>
                <w:kern w:val="2"/>
                <w:sz w:val="26"/>
                <w:szCs w:val="26"/>
                <w:highlight w:val="none"/>
                <w:lang w:val="en-US" w:eastAsia="zh-CN" w:bidi="ar-SA"/>
              </w:rPr>
              <w:t>设计雨水流量为</w:t>
            </w:r>
            <w:r>
              <w:rPr>
                <w:rFonts w:hint="eastAsia" w:ascii="Times New Roman" w:hAnsi="Times New Roman" w:cs="Times New Roman"/>
                <w:color w:val="auto"/>
                <w:kern w:val="2"/>
                <w:sz w:val="26"/>
                <w:szCs w:val="26"/>
                <w:highlight w:val="none"/>
                <w:lang w:val="en-US" w:eastAsia="zh-CN" w:bidi="ar-SA"/>
              </w:rPr>
              <w:t>3.73</w:t>
            </w:r>
            <w:r>
              <w:rPr>
                <w:rFonts w:hint="default" w:ascii="Times New Roman" w:hAnsi="Times New Roman" w:cs="Times New Roman"/>
                <w:color w:val="auto"/>
                <w:kern w:val="2"/>
                <w:sz w:val="26"/>
                <w:szCs w:val="26"/>
                <w:highlight w:val="none"/>
                <w:lang w:val="en-US" w:eastAsia="zh-CN" w:bidi="ar-SA"/>
              </w:rPr>
              <w:t>L/s，则暴雨时15min内收集的初期雨水水量为</w:t>
            </w:r>
            <w:r>
              <w:rPr>
                <w:rFonts w:hint="eastAsia" w:ascii="Times New Roman" w:hAnsi="Times New Roman" w:cs="Times New Roman"/>
                <w:color w:val="auto"/>
                <w:kern w:val="2"/>
                <w:sz w:val="26"/>
                <w:szCs w:val="26"/>
                <w:highlight w:val="none"/>
                <w:lang w:val="en-US" w:eastAsia="zh-CN" w:bidi="ar-SA"/>
              </w:rPr>
              <w:t>3.35</w:t>
            </w:r>
            <w:r>
              <w:rPr>
                <w:rFonts w:hint="default" w:ascii="Times New Roman" w:hAnsi="Times New Roman" w:cs="Times New Roman"/>
                <w:color w:val="auto"/>
                <w:kern w:val="2"/>
                <w:sz w:val="26"/>
                <w:szCs w:val="26"/>
                <w:highlight w:val="none"/>
                <w:lang w:val="en-US" w:eastAsia="zh-CN" w:bidi="ar-SA"/>
              </w:rPr>
              <w:t>m</w:t>
            </w:r>
            <w:r>
              <w:rPr>
                <w:rFonts w:hint="default" w:ascii="Times New Roman" w:hAnsi="Times New Roman" w:cs="Times New Roman"/>
                <w:color w:val="auto"/>
                <w:kern w:val="2"/>
                <w:sz w:val="26"/>
                <w:szCs w:val="26"/>
                <w:highlight w:val="none"/>
                <w:vertAlign w:val="superscript"/>
                <w:lang w:val="en-US" w:eastAsia="zh-CN" w:bidi="ar-SA"/>
              </w:rPr>
              <w:t>3</w:t>
            </w:r>
            <w:r>
              <w:rPr>
                <w:rFonts w:hint="default" w:ascii="Times New Roman" w:hAnsi="Times New Roman" w:cs="Times New Roman"/>
                <w:color w:val="auto"/>
                <w:kern w:val="2"/>
                <w:sz w:val="26"/>
                <w:szCs w:val="26"/>
                <w:highlight w:val="none"/>
                <w:vertAlign w:val="baseline"/>
                <w:lang w:val="en-US" w:eastAsia="zh-CN" w:bidi="ar-SA"/>
              </w:rPr>
              <w:t>/次</w:t>
            </w:r>
            <w:r>
              <w:rPr>
                <w:rFonts w:hint="default" w:ascii="Times New Roman" w:hAnsi="Times New Roman" w:cs="Times New Roman"/>
                <w:color w:val="auto"/>
                <w:kern w:val="2"/>
                <w:sz w:val="26"/>
                <w:szCs w:val="26"/>
                <w:highlight w:val="none"/>
                <w:lang w:val="en-US" w:eastAsia="zh-CN" w:bidi="ar-SA"/>
              </w:rPr>
              <w:t>，考虑到一定的余量</w:t>
            </w:r>
            <w:r>
              <w:rPr>
                <w:rFonts w:hint="eastAsia" w:ascii="Times New Roman" w:hAnsi="Times New Roman" w:cs="Times New Roman"/>
                <w:color w:val="auto"/>
                <w:kern w:val="2"/>
                <w:sz w:val="26"/>
                <w:szCs w:val="26"/>
                <w:highlight w:val="none"/>
                <w:lang w:val="en-US" w:eastAsia="zh-CN" w:bidi="ar-SA"/>
              </w:rPr>
              <w:t>（调整系数取1.1）</w:t>
            </w:r>
            <w:r>
              <w:rPr>
                <w:rFonts w:hint="default" w:ascii="Times New Roman" w:hAnsi="Times New Roman" w:cs="Times New Roman"/>
                <w:color w:val="auto"/>
                <w:kern w:val="2"/>
                <w:sz w:val="26"/>
                <w:szCs w:val="26"/>
                <w:highlight w:val="none"/>
                <w:lang w:val="en-US" w:eastAsia="zh-CN" w:bidi="ar-SA"/>
              </w:rPr>
              <w:t>，因此确定本项目所需初期雨水池有效容积为</w:t>
            </w:r>
            <w:r>
              <w:rPr>
                <w:rFonts w:hint="eastAsia" w:ascii="Times New Roman" w:hAnsi="Times New Roman" w:cs="Times New Roman"/>
                <w:color w:val="auto"/>
                <w:kern w:val="2"/>
                <w:sz w:val="26"/>
                <w:szCs w:val="26"/>
                <w:highlight w:val="none"/>
                <w:lang w:val="en-US" w:eastAsia="zh-CN" w:bidi="ar-SA"/>
              </w:rPr>
              <w:t>3.69</w:t>
            </w:r>
            <w:r>
              <w:rPr>
                <w:rFonts w:hint="default" w:ascii="Times New Roman" w:hAnsi="Times New Roman" w:cs="Times New Roman"/>
                <w:color w:val="auto"/>
                <w:kern w:val="2"/>
                <w:sz w:val="26"/>
                <w:szCs w:val="26"/>
                <w:highlight w:val="none"/>
                <w:lang w:val="en-US" w:eastAsia="zh-CN" w:bidi="ar-SA"/>
              </w:rPr>
              <w:t>m</w:t>
            </w:r>
            <w:r>
              <w:rPr>
                <w:rFonts w:hint="default" w:ascii="Times New Roman" w:hAnsi="Times New Roman" w:cs="Times New Roman"/>
                <w:color w:val="auto"/>
                <w:kern w:val="2"/>
                <w:sz w:val="26"/>
                <w:szCs w:val="26"/>
                <w:highlight w:val="none"/>
                <w:vertAlign w:val="superscript"/>
                <w:lang w:val="en-US" w:eastAsia="zh-CN" w:bidi="ar-SA"/>
              </w:rPr>
              <w:t>3</w:t>
            </w:r>
            <w:r>
              <w:rPr>
                <w:rFonts w:hint="eastAsia" w:ascii="Times New Roman" w:hAnsi="Times New Roman" w:cs="Times New Roman"/>
                <w:color w:val="auto"/>
                <w:kern w:val="2"/>
                <w:sz w:val="26"/>
                <w:szCs w:val="26"/>
                <w:highlight w:val="none"/>
                <w:vertAlign w:val="baseline"/>
                <w:lang w:val="en-US" w:eastAsia="zh-CN" w:bidi="ar-SA"/>
              </w:rPr>
              <w:t>。</w:t>
            </w:r>
            <w:r>
              <w:rPr>
                <w:rFonts w:hint="eastAsia" w:ascii="Times New Roman" w:hAnsi="Times New Roman" w:cs="Times New Roman"/>
                <w:color w:val="auto"/>
                <w:sz w:val="26"/>
                <w:szCs w:val="26"/>
                <w:vertAlign w:val="baseline"/>
                <w:lang w:val="en-US" w:eastAsia="zh-CN"/>
              </w:rPr>
              <w:t>项目拟新建1座有效容积为5.4m</w:t>
            </w:r>
            <w:r>
              <w:rPr>
                <w:rFonts w:hint="eastAsia" w:ascii="Times New Roman" w:hAnsi="Times New Roman" w:cs="Times New Roman"/>
                <w:color w:val="auto"/>
                <w:sz w:val="26"/>
                <w:szCs w:val="26"/>
                <w:vertAlign w:val="superscript"/>
                <w:lang w:val="en-US" w:eastAsia="zh-CN"/>
              </w:rPr>
              <w:t>3</w:t>
            </w:r>
            <w:r>
              <w:rPr>
                <w:rFonts w:hint="eastAsia" w:ascii="Times New Roman" w:hAnsi="Times New Roman" w:cs="Times New Roman"/>
                <w:color w:val="auto"/>
                <w:sz w:val="26"/>
                <w:szCs w:val="26"/>
                <w:vertAlign w:val="baseline"/>
                <w:lang w:val="en-US" w:eastAsia="zh-CN"/>
              </w:rPr>
              <w:t>的</w:t>
            </w:r>
            <w:r>
              <w:rPr>
                <w:rFonts w:hint="eastAsia" w:ascii="Times New Roman" w:hAnsi="Times New Roman" w:eastAsia="宋体" w:cs="Times New Roman"/>
                <w:color w:val="auto"/>
                <w:sz w:val="26"/>
                <w:szCs w:val="26"/>
                <w:lang w:val="en-US" w:eastAsia="zh-CN"/>
              </w:rPr>
              <w:t>隔油沉淀池（兼作</w:t>
            </w:r>
            <w:r>
              <w:rPr>
                <w:rFonts w:hint="default" w:ascii="Times New Roman" w:hAnsi="Times New Roman" w:eastAsia="宋体" w:cs="Times New Roman"/>
                <w:color w:val="auto"/>
                <w:sz w:val="26"/>
                <w:szCs w:val="26"/>
                <w:lang w:val="en-US" w:eastAsia="zh-CN"/>
              </w:rPr>
              <w:t>初期雨水池</w:t>
            </w:r>
            <w:r>
              <w:rPr>
                <w:rFonts w:hint="eastAsia" w:ascii="Times New Roman" w:hAnsi="Times New Roman" w:eastAsia="宋体" w:cs="Times New Roman"/>
                <w:color w:val="auto"/>
                <w:sz w:val="26"/>
                <w:szCs w:val="26"/>
                <w:lang w:val="en-US" w:eastAsia="zh-CN"/>
              </w:rPr>
              <w:t>）</w:t>
            </w:r>
            <w:r>
              <w:rPr>
                <w:rFonts w:hint="eastAsia" w:ascii="Times New Roman" w:hAnsi="Times New Roman" w:cs="Times New Roman"/>
                <w:color w:val="auto"/>
                <w:sz w:val="26"/>
                <w:szCs w:val="26"/>
                <w:vertAlign w:val="baseline"/>
                <w:lang w:val="en-US" w:eastAsia="zh-CN"/>
              </w:rPr>
              <w:t>，用以收集项目产生的生产废水和初期雨水</w:t>
            </w:r>
            <w:r>
              <w:rPr>
                <w:rFonts w:hint="eastAsia" w:cs="Times New Roman"/>
                <w:color w:val="auto"/>
                <w:sz w:val="26"/>
                <w:szCs w:val="26"/>
                <w:vertAlign w:val="baseline"/>
                <w:lang w:val="en-US" w:eastAsia="zh-CN"/>
              </w:rPr>
              <w:t>（最大收集废水量为0.54m</w:t>
            </w:r>
            <w:r>
              <w:rPr>
                <w:rFonts w:hint="eastAsia" w:cs="Times New Roman"/>
                <w:color w:val="auto"/>
                <w:sz w:val="26"/>
                <w:szCs w:val="26"/>
                <w:vertAlign w:val="superscript"/>
                <w:lang w:val="en-US" w:eastAsia="zh-CN"/>
              </w:rPr>
              <w:t>3</w:t>
            </w:r>
            <w:r>
              <w:rPr>
                <w:rFonts w:hint="eastAsia" w:cs="Times New Roman"/>
                <w:color w:val="auto"/>
                <w:sz w:val="26"/>
                <w:szCs w:val="26"/>
                <w:vertAlign w:val="baseline"/>
                <w:lang w:val="en-US" w:eastAsia="zh-CN"/>
              </w:rPr>
              <w:t>+0.54m</w:t>
            </w:r>
            <w:r>
              <w:rPr>
                <w:rFonts w:hint="eastAsia" w:cs="Times New Roman"/>
                <w:color w:val="auto"/>
                <w:sz w:val="26"/>
                <w:szCs w:val="26"/>
                <w:vertAlign w:val="superscript"/>
                <w:lang w:val="en-US" w:eastAsia="zh-CN"/>
              </w:rPr>
              <w:t>3</w:t>
            </w:r>
            <w:r>
              <w:rPr>
                <w:rFonts w:hint="eastAsia" w:cs="Times New Roman"/>
                <w:color w:val="auto"/>
                <w:sz w:val="26"/>
                <w:szCs w:val="26"/>
                <w:vertAlign w:val="baseline"/>
                <w:lang w:val="en-US" w:eastAsia="zh-CN"/>
              </w:rPr>
              <w:t>+3.69m</w:t>
            </w:r>
            <w:r>
              <w:rPr>
                <w:rFonts w:hint="eastAsia" w:cs="Times New Roman"/>
                <w:color w:val="auto"/>
                <w:sz w:val="26"/>
                <w:szCs w:val="26"/>
                <w:vertAlign w:val="superscript"/>
                <w:lang w:val="en-US" w:eastAsia="zh-CN"/>
              </w:rPr>
              <w:t>3</w:t>
            </w:r>
            <w:r>
              <w:rPr>
                <w:rFonts w:hint="eastAsia" w:cs="Times New Roman"/>
                <w:color w:val="auto"/>
                <w:sz w:val="26"/>
                <w:szCs w:val="26"/>
                <w:vertAlign w:val="baseline"/>
                <w:lang w:val="en-US" w:eastAsia="zh-CN"/>
              </w:rPr>
              <w:t>=4.77m</w:t>
            </w:r>
            <w:r>
              <w:rPr>
                <w:rFonts w:hint="eastAsia" w:cs="Times New Roman"/>
                <w:color w:val="auto"/>
                <w:sz w:val="26"/>
                <w:szCs w:val="26"/>
                <w:vertAlign w:val="superscript"/>
                <w:lang w:val="en-US" w:eastAsia="zh-CN"/>
              </w:rPr>
              <w:t>3</w:t>
            </w:r>
            <w:r>
              <w:rPr>
                <w:rFonts w:hint="eastAsia" w:cs="Times New Roman"/>
                <w:color w:val="auto"/>
                <w:sz w:val="26"/>
                <w:szCs w:val="26"/>
                <w:vertAlign w:val="baseline"/>
                <w:lang w:val="en-US" w:eastAsia="zh-CN"/>
              </w:rPr>
              <w:t>＜5.4m</w:t>
            </w:r>
            <w:r>
              <w:rPr>
                <w:rFonts w:hint="eastAsia" w:cs="Times New Roman"/>
                <w:color w:val="auto"/>
                <w:sz w:val="26"/>
                <w:szCs w:val="26"/>
                <w:vertAlign w:val="superscript"/>
                <w:lang w:val="en-US" w:eastAsia="zh-CN"/>
              </w:rPr>
              <w:t>3</w:t>
            </w:r>
            <w:r>
              <w:rPr>
                <w:rFonts w:hint="eastAsia" w:cs="Times New Roman"/>
                <w:color w:val="auto"/>
                <w:sz w:val="26"/>
                <w:szCs w:val="26"/>
                <w:vertAlign w:val="baseline"/>
                <w:lang w:val="en-US" w:eastAsia="zh-CN"/>
              </w:rPr>
              <w:t>）</w:t>
            </w:r>
            <w:r>
              <w:rPr>
                <w:rFonts w:hint="eastAsia" w:ascii="Times New Roman" w:hAnsi="Times New Roman" w:cs="Times New Roman"/>
                <w:color w:val="auto"/>
                <w:sz w:val="26"/>
                <w:szCs w:val="26"/>
                <w:vertAlign w:val="baseline"/>
                <w:lang w:val="en-US" w:eastAsia="zh-CN"/>
              </w:rPr>
              <w:t>，经隔油沉淀后与经化粪池处理后的生活污水一并汇入市政污水管网</w:t>
            </w:r>
            <w:r>
              <w:rPr>
                <w:rFonts w:hint="eastAsia" w:cs="Times New Roman"/>
                <w:color w:val="auto"/>
                <w:sz w:val="26"/>
                <w:szCs w:val="26"/>
                <w:vertAlign w:val="baseline"/>
                <w:lang w:val="en-US" w:eastAsia="zh-CN"/>
              </w:rPr>
              <w:t>，加油站新建设置的三段式隔油沉淀池处理规模和收集规模均满足要求</w:t>
            </w:r>
            <w:r>
              <w:rPr>
                <w:rFonts w:hint="eastAsia" w:ascii="Times New Roman" w:hAnsi="Times New Roman" w:cs="Times New Roman"/>
                <w:color w:val="auto"/>
                <w:sz w:val="26"/>
                <w:szCs w:val="26"/>
                <w:vertAlign w:val="baseline"/>
                <w:lang w:val="en-US" w:eastAsia="zh-CN"/>
              </w:rPr>
              <w:t>。</w:t>
            </w:r>
          </w:p>
          <w:p w14:paraId="78B728A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eastAsia="宋体"/>
                <w:sz w:val="26"/>
                <w:szCs w:val="26"/>
                <w:lang w:val="en-US" w:eastAsia="zh-CN"/>
              </w:rPr>
            </w:pPr>
            <w:r>
              <w:rPr>
                <w:rFonts w:hint="eastAsia"/>
                <w:sz w:val="26"/>
                <w:szCs w:val="26"/>
                <w:lang w:eastAsia="zh-CN"/>
              </w:rPr>
              <w:t>（</w:t>
            </w:r>
            <w:r>
              <w:rPr>
                <w:rFonts w:hint="eastAsia"/>
                <w:sz w:val="26"/>
                <w:szCs w:val="26"/>
                <w:lang w:val="en-US" w:eastAsia="zh-CN"/>
              </w:rPr>
              <w:t>2</w:t>
            </w:r>
            <w:r>
              <w:rPr>
                <w:rFonts w:hint="eastAsia"/>
                <w:sz w:val="26"/>
                <w:szCs w:val="26"/>
                <w:lang w:eastAsia="zh-CN"/>
              </w:rPr>
              <w:t>）</w:t>
            </w:r>
            <w:r>
              <w:rPr>
                <w:rFonts w:hint="eastAsia"/>
                <w:sz w:val="26"/>
                <w:szCs w:val="26"/>
                <w:lang w:val="en-US" w:eastAsia="zh-CN"/>
              </w:rPr>
              <w:t>废水污染防治措施</w:t>
            </w:r>
          </w:p>
          <w:p w14:paraId="1C811B2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sz w:val="26"/>
                <w:szCs w:val="26"/>
              </w:rPr>
            </w:pPr>
            <w:r>
              <w:rPr>
                <w:rFonts w:hint="eastAsia"/>
                <w:sz w:val="26"/>
                <w:szCs w:val="26"/>
              </w:rPr>
              <w:t>生活污水处理达《污水综合排放标准》（GB8978-1996）三级标准后排入市政污水管网；加油区、卸油区场地冲洗水及初期雨水经U型截流沟排入隔油池经隔油池处理后排入市政污水管网；洗车废水经</w:t>
            </w:r>
            <w:r>
              <w:rPr>
                <w:rFonts w:hint="eastAsia"/>
                <w:sz w:val="26"/>
                <w:szCs w:val="26"/>
                <w:lang w:val="en-US" w:eastAsia="zh-CN"/>
              </w:rPr>
              <w:t>循环回用后定期外排至加油站设置的三段式隔油沉淀池达标处理后汇入市政污水管网</w:t>
            </w:r>
            <w:r>
              <w:rPr>
                <w:rFonts w:hint="eastAsia"/>
                <w:sz w:val="26"/>
                <w:szCs w:val="26"/>
              </w:rPr>
              <w:t>。站内废水预处理达标后进入大九污水处理厂处理达 《城镇污水处理厂污染物排放标准》（GB18918-2002）一级A标准后排入长江。</w:t>
            </w:r>
          </w:p>
          <w:p w14:paraId="0B4D287D">
            <w:pPr>
              <w:pStyle w:val="7"/>
              <w:jc w:val="center"/>
              <w:rPr>
                <w:rFonts w:hint="eastAsia"/>
                <w:sz w:val="26"/>
                <w:szCs w:val="26"/>
              </w:rPr>
            </w:pPr>
            <w:r>
              <w:rPr>
                <w:rFonts w:hint="eastAsia"/>
                <w:sz w:val="26"/>
                <w:szCs w:val="26"/>
              </w:rPr>
              <w:object>
                <v:shape id="_x0000_i1028" o:spt="75" type="#_x0000_t75" style="height:102.75pt;width:303.75pt;" o:ole="t" filled="f" o:preferrelative="t" stroked="f" coordsize="21600,21600">
                  <v:path/>
                  <v:fill on="f" focussize="0,0"/>
                  <v:stroke on="f"/>
                  <v:imagedata r:id="rId43" o:title=""/>
                  <o:lock v:ext="edit" aspectratio="f"/>
                  <w10:wrap type="none"/>
                  <w10:anchorlock/>
                </v:shape>
                <o:OLEObject Type="Embed" ProgID="Visio.Drawing.11" ShapeID="_x0000_i1028" DrawAspect="Content" ObjectID="_1468075729" r:id="rId42">
                  <o:LockedField>false</o:LockedField>
                </o:OLEObject>
              </w:object>
            </w:r>
          </w:p>
          <w:p w14:paraId="1B1493FE">
            <w:pPr>
              <w:pStyle w:val="4"/>
              <w:keepNext/>
              <w:pageBreakBefore w:val="0"/>
              <w:widowControl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cs="Times New Roman"/>
                <w:b w:val="0"/>
                <w:bCs w:val="0"/>
                <w:color w:val="auto"/>
                <w:sz w:val="22"/>
                <w:szCs w:val="22"/>
                <w:lang w:val="en-US" w:eastAsia="zh-CN"/>
              </w:rPr>
            </w:pPr>
            <w:r>
              <w:rPr>
                <w:rFonts w:hint="eastAsia" w:cs="Times New Roman"/>
                <w:b w:val="0"/>
                <w:bCs w:val="0"/>
                <w:color w:val="auto"/>
                <w:sz w:val="22"/>
                <w:szCs w:val="22"/>
                <w:lang w:val="en-US" w:eastAsia="zh-CN"/>
              </w:rPr>
              <w:t>图4.2-1  项目废水处置方式示意图</w:t>
            </w:r>
          </w:p>
          <w:p w14:paraId="4B9B3EB5">
            <w:pPr>
              <w:pStyle w:val="4"/>
              <w:keepNext/>
              <w:pageBreakBefore w:val="0"/>
              <w:widowControl w:val="0"/>
              <w:kinsoku/>
              <w:wordWrap/>
              <w:overflowPunct/>
              <w:topLinePunct w:val="0"/>
              <w:autoSpaceDE/>
              <w:autoSpaceDN/>
              <w:bidi w:val="0"/>
              <w:adjustRightInd/>
              <w:spacing w:before="0" w:after="0" w:line="460" w:lineRule="exact"/>
              <w:ind w:right="0" w:firstLine="520" w:firstLineChars="200"/>
              <w:textAlignment w:val="auto"/>
              <w:rPr>
                <w:rFonts w:hint="default" w:ascii="Times New Roman" w:hAnsi="Times New Roman" w:cs="Times New Roman"/>
                <w:b w:val="0"/>
                <w:bCs w:val="0"/>
                <w:color w:val="auto"/>
                <w:sz w:val="26"/>
                <w:szCs w:val="26"/>
                <w:lang w:val="en-US" w:eastAsia="zh-CN"/>
              </w:rPr>
            </w:pPr>
            <w:r>
              <w:rPr>
                <w:rFonts w:hint="eastAsia" w:ascii="Times New Roman" w:hAnsi="Times New Roman" w:cs="Times New Roman"/>
                <w:b w:val="0"/>
                <w:bCs w:val="0"/>
                <w:color w:val="auto"/>
                <w:sz w:val="26"/>
                <w:szCs w:val="26"/>
                <w:lang w:val="en-US" w:eastAsia="zh-CN"/>
              </w:rPr>
              <w:t>①生活污水处理措施合理性及去向可行性</w:t>
            </w:r>
          </w:p>
          <w:p w14:paraId="37889BB8">
            <w:pPr>
              <w:pStyle w:val="4"/>
              <w:keepNext/>
              <w:pageBreakBefore w:val="0"/>
              <w:widowControl w:val="0"/>
              <w:kinsoku/>
              <w:wordWrap/>
              <w:overflowPunct/>
              <w:topLinePunct w:val="0"/>
              <w:autoSpaceDE/>
              <w:autoSpaceDN/>
              <w:bidi w:val="0"/>
              <w:adjustRightInd/>
              <w:spacing w:before="0" w:after="0" w:line="460" w:lineRule="exact"/>
              <w:ind w:right="0" w:firstLine="520" w:firstLineChars="200"/>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项目</w:t>
            </w:r>
            <w:r>
              <w:rPr>
                <w:rFonts w:hint="eastAsia" w:ascii="Times New Roman" w:hAnsi="Times New Roman" w:cs="Times New Roman"/>
                <w:b w:val="0"/>
                <w:bCs w:val="0"/>
                <w:color w:val="auto"/>
                <w:sz w:val="26"/>
                <w:szCs w:val="26"/>
                <w:lang w:val="en-US" w:eastAsia="zh-CN"/>
              </w:rPr>
              <w:t>员工生活及驾乘人员产生的</w:t>
            </w:r>
            <w:r>
              <w:rPr>
                <w:rFonts w:hint="default" w:ascii="Times New Roman" w:hAnsi="Times New Roman" w:cs="Times New Roman"/>
                <w:b w:val="0"/>
                <w:bCs w:val="0"/>
                <w:color w:val="auto"/>
                <w:sz w:val="26"/>
                <w:szCs w:val="26"/>
                <w:lang w:val="en-US" w:eastAsia="zh-CN"/>
              </w:rPr>
              <w:t>生活污水，合计约</w:t>
            </w:r>
            <w:r>
              <w:rPr>
                <w:rFonts w:hint="eastAsia" w:ascii="Times New Roman" w:hAnsi="Times New Roman" w:cs="Times New Roman"/>
                <w:b w:val="0"/>
                <w:bCs w:val="0"/>
                <w:color w:val="auto"/>
                <w:sz w:val="26"/>
                <w:szCs w:val="26"/>
                <w:lang w:val="en-US" w:eastAsia="zh-CN"/>
              </w:rPr>
              <w:t>2.7</w:t>
            </w:r>
            <w:r>
              <w:rPr>
                <w:rFonts w:hint="default" w:ascii="Times New Roman" w:hAnsi="Times New Roman" w:cs="Times New Roman"/>
                <w:b w:val="0"/>
                <w:bCs w:val="0"/>
                <w:color w:val="auto"/>
                <w:sz w:val="26"/>
                <w:szCs w:val="26"/>
                <w:lang w:val="en-US" w:eastAsia="zh-CN"/>
              </w:rPr>
              <w:t>m</w:t>
            </w:r>
            <w:r>
              <w:rPr>
                <w:rFonts w:hint="default" w:ascii="Times New Roman" w:hAnsi="Times New Roman" w:cs="Times New Roman"/>
                <w:b w:val="0"/>
                <w:bCs w:val="0"/>
                <w:color w:val="auto"/>
                <w:sz w:val="26"/>
                <w:szCs w:val="26"/>
                <w:vertAlign w:val="superscript"/>
                <w:lang w:val="en-US" w:eastAsia="zh-CN"/>
              </w:rPr>
              <w:t>3</w:t>
            </w:r>
            <w:r>
              <w:rPr>
                <w:rFonts w:hint="default" w:ascii="Times New Roman" w:hAnsi="Times New Roman" w:cs="Times New Roman"/>
                <w:b w:val="0"/>
                <w:bCs w:val="0"/>
                <w:color w:val="auto"/>
                <w:sz w:val="26"/>
                <w:szCs w:val="26"/>
                <w:lang w:val="en-US" w:eastAsia="zh-CN"/>
              </w:rPr>
              <w:t>/d，主要污染物主要为COD、BOD</w:t>
            </w:r>
            <w:r>
              <w:rPr>
                <w:rFonts w:hint="default" w:ascii="Times New Roman" w:hAnsi="Times New Roman" w:cs="Times New Roman"/>
                <w:b w:val="0"/>
                <w:bCs w:val="0"/>
                <w:color w:val="auto"/>
                <w:sz w:val="26"/>
                <w:szCs w:val="26"/>
                <w:vertAlign w:val="subscript"/>
                <w:lang w:val="en-US" w:eastAsia="zh-CN"/>
              </w:rPr>
              <w:t>5</w:t>
            </w:r>
            <w:r>
              <w:rPr>
                <w:rFonts w:hint="default" w:ascii="Times New Roman" w:hAnsi="Times New Roman" w:cs="Times New Roman"/>
                <w:b w:val="0"/>
                <w:bCs w:val="0"/>
                <w:color w:val="auto"/>
                <w:sz w:val="26"/>
                <w:szCs w:val="26"/>
                <w:lang w:val="en-US" w:eastAsia="zh-CN"/>
              </w:rPr>
              <w:t>、SS、氨氮等常规污染物，具有良好的可生化性，</w:t>
            </w:r>
            <w:r>
              <w:rPr>
                <w:rFonts w:hint="eastAsia" w:cs="Times New Roman"/>
                <w:b w:val="0"/>
                <w:bCs w:val="0"/>
                <w:color w:val="auto"/>
                <w:sz w:val="26"/>
                <w:szCs w:val="26"/>
                <w:lang w:val="en-US" w:eastAsia="zh-CN"/>
              </w:rPr>
              <w:t>化粪池</w:t>
            </w:r>
            <w:r>
              <w:rPr>
                <w:rFonts w:hint="default" w:ascii="Times New Roman" w:hAnsi="Times New Roman" w:cs="Times New Roman"/>
                <w:b w:val="0"/>
                <w:bCs w:val="0"/>
                <w:color w:val="auto"/>
                <w:sz w:val="26"/>
                <w:szCs w:val="26"/>
                <w:lang w:val="en-US" w:eastAsia="zh-CN"/>
              </w:rPr>
              <w:t>采用水解酸化工艺，属于可行技术，出水水质满足《污水综合排放标准》（GB8978-1996）三级排放标准。因此本项目废水污染防治措施可行。</w:t>
            </w:r>
          </w:p>
          <w:p w14:paraId="23551002">
            <w:pPr>
              <w:pStyle w:val="4"/>
              <w:keepNext/>
              <w:pageBreakBefore w:val="0"/>
              <w:widowControl w:val="0"/>
              <w:kinsoku/>
              <w:wordWrap/>
              <w:overflowPunct/>
              <w:topLinePunct w:val="0"/>
              <w:autoSpaceDE/>
              <w:autoSpaceDN/>
              <w:bidi w:val="0"/>
              <w:adjustRightInd/>
              <w:spacing w:before="0" w:after="0" w:line="460" w:lineRule="exact"/>
              <w:ind w:right="0" w:firstLine="520" w:firstLineChars="200"/>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项目新建1座</w:t>
            </w:r>
            <w:r>
              <w:rPr>
                <w:rFonts w:hint="eastAsia" w:cs="Times New Roman"/>
                <w:b w:val="0"/>
                <w:bCs w:val="0"/>
                <w:color w:val="auto"/>
                <w:sz w:val="26"/>
                <w:szCs w:val="26"/>
                <w:lang w:val="en-US" w:eastAsia="zh-CN"/>
              </w:rPr>
              <w:t>化粪池</w:t>
            </w:r>
            <w:r>
              <w:rPr>
                <w:rFonts w:hint="default" w:ascii="Times New Roman" w:hAnsi="Times New Roman" w:cs="Times New Roman"/>
                <w:b w:val="0"/>
                <w:bCs w:val="0"/>
                <w:color w:val="auto"/>
                <w:sz w:val="26"/>
                <w:szCs w:val="26"/>
                <w:lang w:val="en-US" w:eastAsia="zh-CN"/>
              </w:rPr>
              <w:t>，</w:t>
            </w:r>
            <w:r>
              <w:rPr>
                <w:rFonts w:hint="eastAsia" w:ascii="Times New Roman" w:hAnsi="Times New Roman" w:cs="Times New Roman"/>
                <w:b w:val="0"/>
                <w:bCs w:val="0"/>
                <w:color w:val="auto"/>
                <w:sz w:val="26"/>
                <w:szCs w:val="26"/>
                <w:lang w:val="en-US" w:eastAsia="zh-CN"/>
              </w:rPr>
              <w:t>有效</w:t>
            </w:r>
            <w:r>
              <w:rPr>
                <w:rFonts w:hint="default" w:ascii="Times New Roman" w:hAnsi="Times New Roman" w:cs="Times New Roman"/>
                <w:b w:val="0"/>
                <w:bCs w:val="0"/>
                <w:color w:val="auto"/>
                <w:sz w:val="26"/>
                <w:szCs w:val="26"/>
                <w:lang w:val="en-US" w:eastAsia="zh-CN"/>
              </w:rPr>
              <w:t>容积约为</w:t>
            </w:r>
            <w:r>
              <w:rPr>
                <w:rFonts w:hint="eastAsia" w:ascii="Times New Roman" w:hAnsi="Times New Roman" w:cs="Times New Roman"/>
                <w:b w:val="0"/>
                <w:bCs w:val="0"/>
                <w:color w:val="auto"/>
                <w:sz w:val="26"/>
                <w:szCs w:val="26"/>
                <w:lang w:val="en-US" w:eastAsia="zh-CN"/>
              </w:rPr>
              <w:t>4</w:t>
            </w:r>
            <w:r>
              <w:rPr>
                <w:rFonts w:hint="default" w:ascii="Times New Roman" w:hAnsi="Times New Roman" w:cs="Times New Roman"/>
                <w:b w:val="0"/>
                <w:bCs w:val="0"/>
                <w:color w:val="auto"/>
                <w:sz w:val="26"/>
                <w:szCs w:val="26"/>
                <w:lang w:val="en-US" w:eastAsia="zh-CN"/>
              </w:rPr>
              <w:t>m</w:t>
            </w:r>
            <w:r>
              <w:rPr>
                <w:rFonts w:hint="default" w:ascii="Times New Roman" w:hAnsi="Times New Roman" w:cs="Times New Roman"/>
                <w:b w:val="0"/>
                <w:bCs w:val="0"/>
                <w:color w:val="auto"/>
                <w:sz w:val="26"/>
                <w:szCs w:val="26"/>
                <w:vertAlign w:val="superscript"/>
                <w:lang w:val="en-US" w:eastAsia="zh-CN"/>
              </w:rPr>
              <w:t>3</w:t>
            </w:r>
            <w:r>
              <w:rPr>
                <w:rFonts w:hint="default" w:ascii="Times New Roman" w:hAnsi="Times New Roman" w:cs="Times New Roman"/>
                <w:b w:val="0"/>
                <w:bCs w:val="0"/>
                <w:color w:val="auto"/>
                <w:sz w:val="26"/>
                <w:szCs w:val="26"/>
                <w:lang w:val="en-US" w:eastAsia="zh-CN"/>
              </w:rPr>
              <w:t>；本项目生活污水产生量为</w:t>
            </w:r>
            <w:r>
              <w:rPr>
                <w:rFonts w:hint="eastAsia" w:ascii="Times New Roman" w:hAnsi="Times New Roman" w:cs="Times New Roman"/>
                <w:b w:val="0"/>
                <w:bCs w:val="0"/>
                <w:color w:val="auto"/>
                <w:sz w:val="26"/>
                <w:szCs w:val="26"/>
                <w:lang w:val="en-US" w:eastAsia="zh-CN"/>
              </w:rPr>
              <w:t>2.7</w:t>
            </w:r>
            <w:r>
              <w:rPr>
                <w:rFonts w:hint="default" w:ascii="Times New Roman" w:hAnsi="Times New Roman" w:cs="Times New Roman"/>
                <w:b w:val="0"/>
                <w:bCs w:val="0"/>
                <w:color w:val="auto"/>
                <w:sz w:val="26"/>
                <w:szCs w:val="26"/>
                <w:lang w:val="en-US" w:eastAsia="zh-CN"/>
              </w:rPr>
              <w:t>m</w:t>
            </w:r>
            <w:r>
              <w:rPr>
                <w:rFonts w:hint="default" w:ascii="Times New Roman" w:hAnsi="Times New Roman" w:cs="Times New Roman"/>
                <w:b w:val="0"/>
                <w:bCs w:val="0"/>
                <w:color w:val="auto"/>
                <w:sz w:val="26"/>
                <w:szCs w:val="26"/>
                <w:vertAlign w:val="superscript"/>
                <w:lang w:val="en-US" w:eastAsia="zh-CN"/>
              </w:rPr>
              <w:t>3</w:t>
            </w:r>
            <w:r>
              <w:rPr>
                <w:rFonts w:hint="default" w:ascii="Times New Roman" w:hAnsi="Times New Roman" w:cs="Times New Roman"/>
                <w:b w:val="0"/>
                <w:bCs w:val="0"/>
                <w:color w:val="auto"/>
                <w:sz w:val="26"/>
                <w:szCs w:val="26"/>
                <w:lang w:val="en-US" w:eastAsia="zh-CN"/>
              </w:rPr>
              <w:t>/d，结合本项目产生的生活污水及</w:t>
            </w:r>
            <w:r>
              <w:rPr>
                <w:rFonts w:hint="eastAsia" w:cs="Times New Roman"/>
                <w:b w:val="0"/>
                <w:bCs w:val="0"/>
                <w:color w:val="auto"/>
                <w:sz w:val="26"/>
                <w:szCs w:val="26"/>
                <w:lang w:val="en-US" w:eastAsia="zh-CN"/>
              </w:rPr>
              <w:t>化粪池</w:t>
            </w:r>
            <w:r>
              <w:rPr>
                <w:rFonts w:hint="default" w:ascii="Times New Roman" w:hAnsi="Times New Roman" w:cs="Times New Roman"/>
                <w:b w:val="0"/>
                <w:bCs w:val="0"/>
                <w:color w:val="auto"/>
                <w:sz w:val="26"/>
                <w:szCs w:val="26"/>
                <w:lang w:val="en-US" w:eastAsia="zh-CN"/>
              </w:rPr>
              <w:t>的处理能力可知，仅占拟建</w:t>
            </w:r>
            <w:r>
              <w:rPr>
                <w:rFonts w:hint="eastAsia" w:cs="Times New Roman"/>
                <w:b w:val="0"/>
                <w:bCs w:val="0"/>
                <w:color w:val="auto"/>
                <w:sz w:val="26"/>
                <w:szCs w:val="26"/>
                <w:lang w:val="en-US" w:eastAsia="zh-CN"/>
              </w:rPr>
              <w:t>化粪池</w:t>
            </w:r>
            <w:r>
              <w:rPr>
                <w:rFonts w:hint="default" w:ascii="Times New Roman" w:hAnsi="Times New Roman" w:cs="Times New Roman"/>
                <w:b w:val="0"/>
                <w:bCs w:val="0"/>
                <w:color w:val="auto"/>
                <w:sz w:val="26"/>
                <w:szCs w:val="26"/>
                <w:lang w:val="en-US" w:eastAsia="zh-CN"/>
              </w:rPr>
              <w:t>处理能力的</w:t>
            </w:r>
            <w:r>
              <w:rPr>
                <w:rFonts w:hint="eastAsia" w:ascii="Times New Roman" w:hAnsi="Times New Roman" w:cs="Times New Roman"/>
                <w:b w:val="0"/>
                <w:bCs w:val="0"/>
                <w:color w:val="auto"/>
                <w:sz w:val="26"/>
                <w:szCs w:val="26"/>
                <w:lang w:val="en-US" w:eastAsia="zh-CN"/>
              </w:rPr>
              <w:t>67.5</w:t>
            </w:r>
            <w:r>
              <w:rPr>
                <w:rFonts w:hint="default" w:ascii="Times New Roman" w:hAnsi="Times New Roman" w:cs="Times New Roman"/>
                <w:b w:val="0"/>
                <w:bCs w:val="0"/>
                <w:color w:val="auto"/>
                <w:sz w:val="26"/>
                <w:szCs w:val="26"/>
                <w:lang w:val="en-US" w:eastAsia="zh-CN"/>
              </w:rPr>
              <w:t>%，有足够处理余量。</w:t>
            </w:r>
          </w:p>
          <w:p w14:paraId="6499EED0">
            <w:pPr>
              <w:pStyle w:val="4"/>
              <w:keepNext/>
              <w:pageBreakBefore w:val="0"/>
              <w:widowControl w:val="0"/>
              <w:kinsoku/>
              <w:wordWrap/>
              <w:overflowPunct/>
              <w:topLinePunct w:val="0"/>
              <w:autoSpaceDE/>
              <w:autoSpaceDN/>
              <w:bidi w:val="0"/>
              <w:adjustRightInd/>
              <w:spacing w:before="0" w:after="0" w:line="460" w:lineRule="exact"/>
              <w:ind w:right="0" w:firstLine="520" w:firstLineChars="200"/>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该</w:t>
            </w:r>
            <w:r>
              <w:rPr>
                <w:rFonts w:hint="eastAsia" w:cs="Times New Roman"/>
                <w:b w:val="0"/>
                <w:bCs w:val="0"/>
                <w:color w:val="auto"/>
                <w:sz w:val="26"/>
                <w:szCs w:val="26"/>
                <w:lang w:val="en-US" w:eastAsia="zh-CN"/>
              </w:rPr>
              <w:t>化粪池</w:t>
            </w:r>
            <w:r>
              <w:rPr>
                <w:rFonts w:hint="default" w:ascii="Times New Roman" w:hAnsi="Times New Roman" w:cs="Times New Roman"/>
                <w:b w:val="0"/>
                <w:bCs w:val="0"/>
                <w:color w:val="auto"/>
                <w:sz w:val="26"/>
                <w:szCs w:val="26"/>
                <w:lang w:val="en-US" w:eastAsia="zh-CN"/>
              </w:rPr>
              <w:t>将随主体工程同步建设完成，因此本项目生活废水经拟建的</w:t>
            </w:r>
            <w:r>
              <w:rPr>
                <w:rFonts w:hint="eastAsia" w:ascii="Times New Roman" w:hAnsi="Times New Roman" w:cs="Times New Roman"/>
                <w:b w:val="0"/>
                <w:bCs w:val="0"/>
                <w:color w:val="auto"/>
                <w:sz w:val="26"/>
                <w:szCs w:val="26"/>
                <w:lang w:val="en-US" w:eastAsia="zh-CN"/>
              </w:rPr>
              <w:t>化粪池</w:t>
            </w:r>
            <w:r>
              <w:rPr>
                <w:rFonts w:hint="default" w:ascii="Times New Roman" w:hAnsi="Times New Roman" w:cs="Times New Roman"/>
                <w:b w:val="0"/>
                <w:bCs w:val="0"/>
                <w:color w:val="auto"/>
                <w:sz w:val="26"/>
                <w:szCs w:val="26"/>
                <w:lang w:val="en-US" w:eastAsia="zh-CN"/>
              </w:rPr>
              <w:t>进行生活废水处理可行。</w:t>
            </w:r>
          </w:p>
          <w:p w14:paraId="7A3E1936">
            <w:pPr>
              <w:pStyle w:val="78"/>
              <w:pageBreakBefore w:val="0"/>
              <w:kinsoku/>
              <w:wordWrap/>
              <w:overflowPunct/>
              <w:topLinePunct w:val="0"/>
              <w:autoSpaceDE/>
              <w:autoSpaceDN/>
              <w:bidi w:val="0"/>
              <w:adjustRightInd/>
              <w:spacing w:line="460" w:lineRule="exact"/>
              <w:ind w:right="0" w:firstLine="520" w:firstLineChars="20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sz w:val="26"/>
                <w:szCs w:val="26"/>
                <w:lang w:val="en-US" w:eastAsia="zh-CN"/>
              </w:rPr>
              <w:t>②</w:t>
            </w:r>
            <w:r>
              <w:rPr>
                <w:rFonts w:hint="eastAsia" w:cs="Times New Roman"/>
                <w:b w:val="0"/>
                <w:bCs w:val="0"/>
                <w:color w:val="auto"/>
                <w:sz w:val="26"/>
                <w:szCs w:val="26"/>
                <w:lang w:val="en-US" w:eastAsia="zh-CN"/>
              </w:rPr>
              <w:t>生产</w:t>
            </w:r>
            <w:r>
              <w:rPr>
                <w:rFonts w:hint="default" w:ascii="Times New Roman" w:hAnsi="Times New Roman" w:eastAsia="宋体" w:cs="Times New Roman"/>
                <w:b w:val="0"/>
                <w:bCs w:val="0"/>
                <w:color w:val="auto"/>
                <w:lang w:val="en-US" w:eastAsia="zh-CN"/>
              </w:rPr>
              <w:t>废水处理后</w:t>
            </w:r>
            <w:r>
              <w:rPr>
                <w:rFonts w:hint="eastAsia" w:cs="Times New Roman"/>
                <w:b w:val="0"/>
                <w:bCs w:val="0"/>
                <w:color w:val="auto"/>
                <w:lang w:val="en-US" w:eastAsia="zh-CN"/>
              </w:rPr>
              <w:t>达标排放</w:t>
            </w:r>
            <w:r>
              <w:rPr>
                <w:rFonts w:hint="default" w:ascii="Times New Roman" w:hAnsi="Times New Roman" w:eastAsia="宋体" w:cs="Times New Roman"/>
                <w:b w:val="0"/>
                <w:bCs w:val="0"/>
                <w:color w:val="auto"/>
                <w:lang w:val="en-US" w:eastAsia="zh-CN"/>
              </w:rPr>
              <w:t>的可行性及可靠性</w:t>
            </w:r>
          </w:p>
          <w:p w14:paraId="2966D2DF">
            <w:pPr>
              <w:pageBreakBefore w:val="0"/>
              <w:widowControl w:val="0"/>
              <w:kinsoku/>
              <w:wordWrap/>
              <w:overflowPunct/>
              <w:topLinePunct w:val="0"/>
              <w:autoSpaceDE/>
              <w:autoSpaceDN/>
              <w:bidi w:val="0"/>
              <w:adjustRightInd/>
              <w:snapToGrid w:val="0"/>
              <w:spacing w:line="460" w:lineRule="exact"/>
              <w:ind w:right="0" w:firstLine="520" w:firstLineChars="200"/>
              <w:jc w:val="both"/>
              <w:textAlignment w:val="auto"/>
              <w:rPr>
                <w:rFonts w:hint="default" w:ascii="Times New Roman" w:hAnsi="Times New Roman" w:eastAsia="宋体" w:cs="Times New Roman"/>
                <w:bCs/>
                <w:snapToGrid w:val="0"/>
                <w:color w:val="auto"/>
                <w:kern w:val="2"/>
                <w:sz w:val="26"/>
                <w:szCs w:val="20"/>
                <w:lang w:val="en-US" w:eastAsia="zh-CN" w:bidi="ar-SA"/>
              </w:rPr>
            </w:pPr>
            <w:r>
              <w:rPr>
                <w:rFonts w:hint="default" w:ascii="Times New Roman" w:hAnsi="Times New Roman" w:eastAsia="宋体" w:cs="Times New Roman"/>
                <w:bCs/>
                <w:snapToGrid w:val="0"/>
                <w:color w:val="FF0000"/>
                <w:kern w:val="2"/>
                <w:sz w:val="26"/>
                <w:szCs w:val="20"/>
                <w:lang w:val="en-US" w:eastAsia="zh-CN" w:bidi="ar-SA"/>
              </w:rPr>
              <w:t>本项目</w:t>
            </w:r>
            <w:r>
              <w:rPr>
                <w:rFonts w:hint="default" w:ascii="Times New Roman" w:hAnsi="Times New Roman" w:eastAsia="宋体" w:cs="Times New Roman"/>
                <w:bCs/>
                <w:color w:val="FF0000"/>
                <w:kern w:val="2"/>
                <w:sz w:val="26"/>
                <w:szCs w:val="26"/>
                <w:lang w:val="en-US" w:eastAsia="zh-CN" w:bidi="ar-SA"/>
              </w:rPr>
              <w:t>项目</w:t>
            </w:r>
            <w:r>
              <w:rPr>
                <w:rFonts w:hint="eastAsia" w:ascii="Times New Roman" w:hAnsi="Times New Roman" w:eastAsia="宋体" w:cs="Times New Roman"/>
                <w:bCs/>
                <w:color w:val="FF0000"/>
                <w:kern w:val="2"/>
                <w:sz w:val="26"/>
                <w:szCs w:val="26"/>
                <w:lang w:val="en-US" w:eastAsia="zh-CN" w:bidi="ar-SA"/>
              </w:rPr>
              <w:t>场地冲洗产生的冲洗</w:t>
            </w:r>
            <w:r>
              <w:rPr>
                <w:rFonts w:hint="default" w:ascii="Times New Roman" w:hAnsi="Times New Roman" w:eastAsia="宋体" w:cs="Times New Roman"/>
                <w:bCs/>
                <w:color w:val="FF0000"/>
                <w:kern w:val="2"/>
                <w:sz w:val="26"/>
                <w:szCs w:val="26"/>
                <w:lang w:val="en-US" w:eastAsia="zh-CN" w:bidi="ar-SA"/>
              </w:rPr>
              <w:t>废水</w:t>
            </w:r>
            <w:r>
              <w:rPr>
                <w:rFonts w:hint="eastAsia" w:cs="Times New Roman"/>
                <w:bCs/>
                <w:color w:val="FF0000"/>
                <w:kern w:val="2"/>
                <w:sz w:val="26"/>
                <w:szCs w:val="26"/>
                <w:lang w:val="en-US" w:eastAsia="zh-CN" w:bidi="ar-SA"/>
              </w:rPr>
              <w:t>、洗车废水循环回用后定期</w:t>
            </w:r>
            <w:r>
              <w:rPr>
                <w:rFonts w:hint="default" w:ascii="Times New Roman" w:hAnsi="Times New Roman" w:eastAsia="宋体" w:cs="Times New Roman"/>
                <w:bCs/>
                <w:color w:val="FF0000"/>
                <w:kern w:val="2"/>
                <w:sz w:val="26"/>
                <w:szCs w:val="26"/>
                <w:lang w:val="en-US" w:eastAsia="zh-CN" w:bidi="ar-SA"/>
              </w:rPr>
              <w:t>接入设置的</w:t>
            </w:r>
            <w:r>
              <w:rPr>
                <w:rFonts w:hint="eastAsia" w:cs="Times New Roman"/>
                <w:bCs/>
                <w:color w:val="FF0000"/>
                <w:kern w:val="2"/>
                <w:sz w:val="26"/>
                <w:szCs w:val="26"/>
                <w:lang w:val="en-US" w:eastAsia="zh-CN" w:bidi="ar-SA"/>
              </w:rPr>
              <w:t>三段式</w:t>
            </w:r>
            <w:r>
              <w:rPr>
                <w:rFonts w:hint="default" w:ascii="Times New Roman" w:hAnsi="Times New Roman" w:eastAsia="宋体" w:cs="Times New Roman"/>
                <w:bCs/>
                <w:color w:val="FF0000"/>
                <w:kern w:val="2"/>
                <w:sz w:val="26"/>
                <w:szCs w:val="26"/>
                <w:lang w:val="en-US" w:eastAsia="zh-CN" w:bidi="ar-SA"/>
              </w:rPr>
              <w:t>隔油沉淀池处理后</w:t>
            </w:r>
            <w:r>
              <w:rPr>
                <w:rFonts w:hint="eastAsia" w:ascii="Times New Roman" w:hAnsi="Times New Roman" w:eastAsia="宋体" w:cs="Times New Roman"/>
                <w:bCs/>
                <w:color w:val="FF0000"/>
                <w:kern w:val="2"/>
                <w:sz w:val="26"/>
                <w:szCs w:val="26"/>
                <w:lang w:val="en-US" w:eastAsia="zh-CN" w:bidi="ar-SA"/>
              </w:rPr>
              <w:t>与处理达标后的生活污水一并汇入市政污水管网接入大九污水处理厂深度处理</w:t>
            </w:r>
            <w:r>
              <w:rPr>
                <w:rFonts w:hint="default" w:ascii="Times New Roman" w:hAnsi="Times New Roman" w:eastAsia="宋体" w:cs="Times New Roman"/>
                <w:bCs/>
                <w:snapToGrid w:val="0"/>
                <w:color w:val="FF0000"/>
                <w:kern w:val="2"/>
                <w:sz w:val="26"/>
                <w:szCs w:val="20"/>
                <w:lang w:val="en-US" w:eastAsia="zh-CN" w:bidi="ar-SA"/>
              </w:rPr>
              <w:t>。</w:t>
            </w:r>
            <w:r>
              <w:rPr>
                <w:rFonts w:hint="default" w:ascii="Times New Roman" w:hAnsi="Times New Roman" w:eastAsia="宋体" w:cs="Times New Roman"/>
                <w:b w:val="0"/>
                <w:bCs/>
                <w:color w:val="FF0000"/>
                <w:kern w:val="2"/>
                <w:sz w:val="26"/>
                <w:szCs w:val="26"/>
                <w:highlight w:val="none"/>
                <w:lang w:val="en-US" w:eastAsia="zh-CN" w:bidi="ar-SA"/>
              </w:rPr>
              <w:t>项目产生的</w:t>
            </w:r>
            <w:r>
              <w:rPr>
                <w:rFonts w:hint="eastAsia" w:ascii="Times New Roman" w:hAnsi="Times New Roman" w:eastAsia="宋体" w:cs="Times New Roman"/>
                <w:b w:val="0"/>
                <w:bCs/>
                <w:color w:val="FF0000"/>
                <w:kern w:val="2"/>
                <w:sz w:val="26"/>
                <w:szCs w:val="26"/>
                <w:highlight w:val="none"/>
                <w:lang w:val="en-US" w:eastAsia="zh-CN" w:bidi="ar-SA"/>
              </w:rPr>
              <w:t>场地冲洗废水</w:t>
            </w:r>
            <w:r>
              <w:rPr>
                <w:rFonts w:hint="default" w:ascii="Times New Roman" w:hAnsi="Times New Roman" w:eastAsia="宋体" w:cs="Times New Roman"/>
                <w:b w:val="0"/>
                <w:bCs/>
                <w:color w:val="FF0000"/>
                <w:kern w:val="2"/>
                <w:sz w:val="26"/>
                <w:szCs w:val="26"/>
                <w:highlight w:val="none"/>
                <w:lang w:val="en-US" w:eastAsia="zh-CN" w:bidi="ar-SA"/>
              </w:rPr>
              <w:t>产生量为</w:t>
            </w:r>
            <w:r>
              <w:rPr>
                <w:rFonts w:hint="eastAsia" w:cs="Times New Roman"/>
                <w:b w:val="0"/>
                <w:bCs/>
                <w:color w:val="FF0000"/>
                <w:kern w:val="2"/>
                <w:sz w:val="26"/>
                <w:szCs w:val="26"/>
                <w:highlight w:val="none"/>
                <w:lang w:val="en-US" w:eastAsia="zh-CN" w:bidi="ar-SA"/>
              </w:rPr>
              <w:t>0.54</w:t>
            </w:r>
            <w:r>
              <w:rPr>
                <w:rFonts w:hint="default" w:ascii="Times New Roman" w:hAnsi="Times New Roman" w:eastAsia="宋体" w:cs="Times New Roman"/>
                <w:b w:val="0"/>
                <w:bCs/>
                <w:color w:val="FF0000"/>
                <w:kern w:val="2"/>
                <w:sz w:val="26"/>
                <w:szCs w:val="26"/>
                <w:highlight w:val="none"/>
                <w:lang w:val="en-US" w:eastAsia="zh-CN" w:bidi="ar-SA"/>
              </w:rPr>
              <w:t>m</w:t>
            </w:r>
            <w:r>
              <w:rPr>
                <w:rFonts w:hint="default" w:ascii="Times New Roman" w:hAnsi="Times New Roman" w:eastAsia="宋体" w:cs="Times New Roman"/>
                <w:b w:val="0"/>
                <w:bCs/>
                <w:color w:val="FF0000"/>
                <w:kern w:val="2"/>
                <w:sz w:val="26"/>
                <w:szCs w:val="26"/>
                <w:highlight w:val="none"/>
                <w:vertAlign w:val="superscript"/>
                <w:lang w:val="en-US" w:eastAsia="zh-CN" w:bidi="ar-SA"/>
              </w:rPr>
              <w:t>3</w:t>
            </w:r>
            <w:r>
              <w:rPr>
                <w:rFonts w:hint="default" w:ascii="Times New Roman" w:hAnsi="Times New Roman" w:eastAsia="宋体" w:cs="Times New Roman"/>
                <w:b w:val="0"/>
                <w:bCs/>
                <w:color w:val="FF0000"/>
                <w:kern w:val="2"/>
                <w:sz w:val="26"/>
                <w:szCs w:val="26"/>
                <w:highlight w:val="none"/>
                <w:vertAlign w:val="baseline"/>
                <w:lang w:val="en-US" w:eastAsia="zh-CN" w:bidi="ar-SA"/>
              </w:rPr>
              <w:t>/</w:t>
            </w:r>
            <w:r>
              <w:rPr>
                <w:rFonts w:hint="eastAsia" w:ascii="Times New Roman" w:hAnsi="Times New Roman" w:eastAsia="宋体" w:cs="Times New Roman"/>
                <w:b w:val="0"/>
                <w:bCs/>
                <w:color w:val="FF0000"/>
                <w:kern w:val="2"/>
                <w:sz w:val="26"/>
                <w:szCs w:val="26"/>
                <w:highlight w:val="none"/>
                <w:vertAlign w:val="baseline"/>
                <w:lang w:val="en-US" w:eastAsia="zh-CN" w:bidi="ar-SA"/>
              </w:rPr>
              <w:t>d</w:t>
            </w:r>
            <w:r>
              <w:rPr>
                <w:rFonts w:hint="default" w:ascii="Times New Roman" w:hAnsi="Times New Roman" w:eastAsia="宋体" w:cs="Times New Roman"/>
                <w:b w:val="0"/>
                <w:bCs/>
                <w:color w:val="FF0000"/>
                <w:kern w:val="2"/>
                <w:sz w:val="26"/>
                <w:szCs w:val="26"/>
                <w:highlight w:val="none"/>
                <w:lang w:val="en-US" w:eastAsia="zh-CN" w:bidi="ar-SA"/>
              </w:rPr>
              <w:t>，</w:t>
            </w:r>
            <w:r>
              <w:rPr>
                <w:rFonts w:hint="eastAsia" w:cs="Times New Roman"/>
                <w:b w:val="0"/>
                <w:bCs/>
                <w:color w:val="FF0000"/>
                <w:kern w:val="2"/>
                <w:sz w:val="26"/>
                <w:szCs w:val="26"/>
                <w:highlight w:val="none"/>
                <w:lang w:val="en-US" w:eastAsia="zh-CN" w:bidi="ar-SA"/>
              </w:rPr>
              <w:t>洗车废水定期排放量为0.54</w:t>
            </w:r>
            <w:r>
              <w:rPr>
                <w:rFonts w:hint="default" w:ascii="Times New Roman" w:hAnsi="Times New Roman" w:eastAsia="宋体" w:cs="Times New Roman"/>
                <w:b w:val="0"/>
                <w:bCs/>
                <w:color w:val="FF0000"/>
                <w:kern w:val="2"/>
                <w:sz w:val="26"/>
                <w:szCs w:val="26"/>
                <w:highlight w:val="none"/>
                <w:lang w:val="en-US" w:eastAsia="zh-CN" w:bidi="ar-SA"/>
              </w:rPr>
              <w:t>m</w:t>
            </w:r>
            <w:r>
              <w:rPr>
                <w:rFonts w:hint="default" w:ascii="Times New Roman" w:hAnsi="Times New Roman" w:eastAsia="宋体" w:cs="Times New Roman"/>
                <w:b w:val="0"/>
                <w:bCs/>
                <w:color w:val="FF0000"/>
                <w:kern w:val="2"/>
                <w:sz w:val="26"/>
                <w:szCs w:val="26"/>
                <w:highlight w:val="none"/>
                <w:vertAlign w:val="superscript"/>
                <w:lang w:val="en-US" w:eastAsia="zh-CN" w:bidi="ar-SA"/>
              </w:rPr>
              <w:t>3</w:t>
            </w:r>
            <w:r>
              <w:rPr>
                <w:rFonts w:hint="default" w:ascii="Times New Roman" w:hAnsi="Times New Roman" w:eastAsia="宋体" w:cs="Times New Roman"/>
                <w:b w:val="0"/>
                <w:bCs/>
                <w:color w:val="FF0000"/>
                <w:kern w:val="2"/>
                <w:sz w:val="26"/>
                <w:szCs w:val="26"/>
                <w:highlight w:val="none"/>
                <w:vertAlign w:val="baseline"/>
                <w:lang w:val="en-US" w:eastAsia="zh-CN" w:bidi="ar-SA"/>
              </w:rPr>
              <w:t>/</w:t>
            </w:r>
            <w:r>
              <w:rPr>
                <w:rFonts w:hint="eastAsia" w:ascii="Times New Roman" w:hAnsi="Times New Roman" w:eastAsia="宋体" w:cs="Times New Roman"/>
                <w:b w:val="0"/>
                <w:bCs/>
                <w:color w:val="FF0000"/>
                <w:kern w:val="2"/>
                <w:sz w:val="26"/>
                <w:szCs w:val="26"/>
                <w:highlight w:val="none"/>
                <w:vertAlign w:val="baseline"/>
                <w:lang w:val="en-US" w:eastAsia="zh-CN" w:bidi="ar-SA"/>
              </w:rPr>
              <w:t>d，加上初期雨水所需容积为3.69</w:t>
            </w:r>
            <w:r>
              <w:rPr>
                <w:rFonts w:hint="default" w:ascii="Times New Roman" w:hAnsi="Times New Roman" w:eastAsia="宋体" w:cs="Times New Roman"/>
                <w:b w:val="0"/>
                <w:bCs/>
                <w:color w:val="FF0000"/>
                <w:kern w:val="2"/>
                <w:sz w:val="26"/>
                <w:szCs w:val="26"/>
                <w:highlight w:val="none"/>
                <w:lang w:val="en-US" w:eastAsia="zh-CN" w:bidi="ar-SA"/>
              </w:rPr>
              <w:t>m</w:t>
            </w:r>
            <w:r>
              <w:rPr>
                <w:rFonts w:hint="default" w:ascii="Times New Roman" w:hAnsi="Times New Roman" w:eastAsia="宋体" w:cs="Times New Roman"/>
                <w:b w:val="0"/>
                <w:bCs/>
                <w:color w:val="FF0000"/>
                <w:kern w:val="2"/>
                <w:sz w:val="26"/>
                <w:szCs w:val="26"/>
                <w:highlight w:val="none"/>
                <w:vertAlign w:val="superscript"/>
                <w:lang w:val="en-US" w:eastAsia="zh-CN" w:bidi="ar-SA"/>
              </w:rPr>
              <w:t>3</w:t>
            </w:r>
            <w:r>
              <w:rPr>
                <w:rFonts w:hint="eastAsia" w:ascii="Times New Roman" w:hAnsi="Times New Roman" w:eastAsia="宋体" w:cs="Times New Roman"/>
                <w:b w:val="0"/>
                <w:bCs/>
                <w:color w:val="FF0000"/>
                <w:kern w:val="2"/>
                <w:sz w:val="26"/>
                <w:szCs w:val="26"/>
                <w:highlight w:val="none"/>
                <w:vertAlign w:val="baseline"/>
                <w:lang w:val="en-US" w:eastAsia="zh-CN" w:bidi="ar-SA"/>
              </w:rPr>
              <w:t>，合计所需容量为4.77m</w:t>
            </w:r>
            <w:r>
              <w:rPr>
                <w:rFonts w:hint="eastAsia" w:ascii="Times New Roman" w:hAnsi="Times New Roman" w:eastAsia="宋体" w:cs="Times New Roman"/>
                <w:b w:val="0"/>
                <w:bCs/>
                <w:color w:val="FF0000"/>
                <w:kern w:val="2"/>
                <w:sz w:val="26"/>
                <w:szCs w:val="26"/>
                <w:highlight w:val="none"/>
                <w:vertAlign w:val="superscript"/>
                <w:lang w:val="en-US" w:eastAsia="zh-CN" w:bidi="ar-SA"/>
              </w:rPr>
              <w:t>3</w:t>
            </w:r>
            <w:r>
              <w:rPr>
                <w:rFonts w:hint="eastAsia" w:ascii="Times New Roman" w:hAnsi="Times New Roman" w:eastAsia="宋体" w:cs="Times New Roman"/>
                <w:b w:val="0"/>
                <w:bCs/>
                <w:color w:val="FF0000"/>
                <w:kern w:val="2"/>
                <w:sz w:val="26"/>
                <w:szCs w:val="26"/>
                <w:highlight w:val="none"/>
                <w:vertAlign w:val="baseline"/>
                <w:lang w:val="en-US" w:eastAsia="zh-CN" w:bidi="ar-SA"/>
              </w:rPr>
              <w:t>，</w:t>
            </w:r>
            <w:r>
              <w:rPr>
                <w:rFonts w:hint="default" w:ascii="Times New Roman" w:hAnsi="Times New Roman" w:eastAsia="宋体" w:cs="Times New Roman"/>
                <w:b w:val="0"/>
                <w:bCs/>
                <w:color w:val="FF0000"/>
                <w:kern w:val="2"/>
                <w:sz w:val="26"/>
                <w:szCs w:val="26"/>
                <w:highlight w:val="none"/>
                <w:lang w:val="en-US" w:eastAsia="zh-CN" w:bidi="ar-SA"/>
              </w:rPr>
              <w:t>小于拟设置的</w:t>
            </w:r>
            <w:r>
              <w:rPr>
                <w:rFonts w:hint="eastAsia" w:ascii="Times New Roman" w:hAnsi="Times New Roman" w:eastAsia="宋体" w:cs="Times New Roman"/>
                <w:b w:val="0"/>
                <w:bCs/>
                <w:color w:val="FF0000"/>
                <w:kern w:val="2"/>
                <w:sz w:val="26"/>
                <w:szCs w:val="26"/>
                <w:highlight w:val="none"/>
                <w:lang w:val="en-US" w:eastAsia="zh-CN" w:bidi="ar-SA"/>
              </w:rPr>
              <w:t>隔油沉淀池</w:t>
            </w:r>
            <w:r>
              <w:rPr>
                <w:rFonts w:hint="default" w:ascii="Times New Roman" w:hAnsi="Times New Roman" w:eastAsia="宋体" w:cs="Times New Roman"/>
                <w:b w:val="0"/>
                <w:bCs/>
                <w:color w:val="FF0000"/>
                <w:kern w:val="2"/>
                <w:sz w:val="26"/>
                <w:szCs w:val="26"/>
                <w:highlight w:val="none"/>
                <w:lang w:val="en-US" w:eastAsia="zh-CN" w:bidi="ar-SA"/>
              </w:rPr>
              <w:t>容积（</w:t>
            </w:r>
            <w:r>
              <w:rPr>
                <w:rFonts w:hint="eastAsia" w:ascii="Times New Roman" w:hAnsi="Times New Roman" w:eastAsia="宋体" w:cs="Times New Roman"/>
                <w:b w:val="0"/>
                <w:bCs/>
                <w:color w:val="FF0000"/>
                <w:kern w:val="2"/>
                <w:sz w:val="26"/>
                <w:szCs w:val="26"/>
                <w:highlight w:val="none"/>
                <w:lang w:val="en-US" w:eastAsia="zh-CN" w:bidi="ar-SA"/>
              </w:rPr>
              <w:t>5.4</w:t>
            </w:r>
            <w:r>
              <w:rPr>
                <w:rFonts w:hint="default" w:ascii="Times New Roman" w:hAnsi="Times New Roman" w:eastAsia="宋体" w:cs="Times New Roman"/>
                <w:b w:val="0"/>
                <w:bCs/>
                <w:color w:val="FF0000"/>
                <w:kern w:val="2"/>
                <w:sz w:val="26"/>
                <w:szCs w:val="26"/>
                <w:highlight w:val="none"/>
                <w:lang w:val="en-US" w:eastAsia="zh-CN" w:bidi="ar-SA"/>
              </w:rPr>
              <w:t>m</w:t>
            </w:r>
            <w:r>
              <w:rPr>
                <w:rFonts w:hint="default" w:ascii="Times New Roman" w:hAnsi="Times New Roman" w:eastAsia="宋体" w:cs="Times New Roman"/>
                <w:b w:val="0"/>
                <w:bCs/>
                <w:color w:val="FF0000"/>
                <w:kern w:val="2"/>
                <w:sz w:val="26"/>
                <w:szCs w:val="26"/>
                <w:highlight w:val="none"/>
                <w:vertAlign w:val="superscript"/>
                <w:lang w:val="en-US" w:eastAsia="zh-CN" w:bidi="ar-SA"/>
              </w:rPr>
              <w:t>3</w:t>
            </w:r>
            <w:r>
              <w:rPr>
                <w:rFonts w:hint="eastAsia" w:ascii="Times New Roman" w:hAnsi="Times New Roman" w:eastAsia="宋体" w:cs="Times New Roman"/>
                <w:b w:val="0"/>
                <w:bCs/>
                <w:color w:val="FF0000"/>
                <w:kern w:val="2"/>
                <w:sz w:val="26"/>
                <w:szCs w:val="26"/>
                <w:highlight w:val="none"/>
                <w:vertAlign w:val="baseline"/>
                <w:lang w:val="en-US" w:eastAsia="zh-CN" w:bidi="ar-SA"/>
              </w:rPr>
              <w:t>，兼作初期雨水池</w:t>
            </w:r>
            <w:r>
              <w:rPr>
                <w:rFonts w:hint="eastAsia" w:cs="Times New Roman"/>
                <w:b w:val="0"/>
                <w:bCs/>
                <w:color w:val="FF0000"/>
                <w:kern w:val="2"/>
                <w:sz w:val="26"/>
                <w:szCs w:val="26"/>
                <w:highlight w:val="none"/>
                <w:vertAlign w:val="baseline"/>
                <w:lang w:val="en-US" w:eastAsia="zh-CN" w:bidi="ar-SA"/>
              </w:rPr>
              <w:t>可行</w:t>
            </w:r>
            <w:r>
              <w:rPr>
                <w:rFonts w:hint="default" w:ascii="Times New Roman" w:hAnsi="Times New Roman" w:eastAsia="宋体" w:cs="Times New Roman"/>
                <w:b w:val="0"/>
                <w:bCs/>
                <w:color w:val="FF0000"/>
                <w:kern w:val="2"/>
                <w:sz w:val="26"/>
                <w:szCs w:val="26"/>
                <w:highlight w:val="none"/>
                <w:lang w:val="en-US" w:eastAsia="zh-CN" w:bidi="ar-SA"/>
              </w:rPr>
              <w:t>），因此项目拟设置的</w:t>
            </w:r>
            <w:r>
              <w:rPr>
                <w:rFonts w:hint="eastAsia" w:ascii="Times New Roman" w:hAnsi="Times New Roman" w:eastAsia="宋体" w:cs="Times New Roman"/>
                <w:b w:val="0"/>
                <w:bCs/>
                <w:color w:val="FF0000"/>
                <w:kern w:val="2"/>
                <w:sz w:val="26"/>
                <w:szCs w:val="26"/>
                <w:highlight w:val="none"/>
                <w:lang w:val="en-US" w:eastAsia="zh-CN" w:bidi="ar-SA"/>
              </w:rPr>
              <w:t>隔油沉淀池</w:t>
            </w:r>
            <w:r>
              <w:rPr>
                <w:rFonts w:hint="default" w:ascii="Times New Roman" w:hAnsi="Times New Roman" w:eastAsia="宋体" w:cs="Times New Roman"/>
                <w:b w:val="0"/>
                <w:bCs/>
                <w:color w:val="FF0000"/>
                <w:kern w:val="2"/>
                <w:sz w:val="26"/>
                <w:szCs w:val="26"/>
                <w:highlight w:val="none"/>
                <w:lang w:val="en-US" w:eastAsia="zh-CN" w:bidi="ar-SA"/>
              </w:rPr>
              <w:t>池容积可满足项目生产废水的收集处理要求</w:t>
            </w:r>
            <w:r>
              <w:rPr>
                <w:rFonts w:hint="default" w:ascii="Times New Roman" w:hAnsi="Times New Roman" w:eastAsia="宋体" w:cs="Times New Roman"/>
                <w:b w:val="0"/>
                <w:bCs/>
                <w:color w:val="auto"/>
                <w:kern w:val="2"/>
                <w:sz w:val="26"/>
                <w:szCs w:val="26"/>
                <w:highlight w:val="none"/>
                <w:lang w:val="en-US" w:eastAsia="zh-CN" w:bidi="ar-SA"/>
              </w:rPr>
              <w:t>。</w:t>
            </w:r>
          </w:p>
          <w:p w14:paraId="44A2BD0C">
            <w:pPr>
              <w:pStyle w:val="7"/>
              <w:pageBreakBefore w:val="0"/>
              <w:kinsoku/>
              <w:wordWrap/>
              <w:overflowPunct/>
              <w:topLinePunct w:val="0"/>
              <w:autoSpaceDE/>
              <w:autoSpaceDN/>
              <w:bidi w:val="0"/>
              <w:adjustRightInd/>
              <w:spacing w:before="0" w:after="0" w:line="460" w:lineRule="exact"/>
              <w:ind w:right="0" w:firstLine="520" w:firstLineChars="200"/>
              <w:textAlignment w:val="auto"/>
              <w:rPr>
                <w:rFonts w:hint="eastAsia"/>
                <w:sz w:val="26"/>
                <w:szCs w:val="26"/>
              </w:rPr>
            </w:pPr>
            <w:r>
              <w:rPr>
                <w:rFonts w:hint="default" w:ascii="Times New Roman" w:hAnsi="Times New Roman" w:eastAsia="宋体" w:cs="Times New Roman"/>
                <w:b w:val="0"/>
                <w:bCs w:val="0"/>
                <w:color w:val="auto"/>
                <w:kern w:val="2"/>
                <w:sz w:val="26"/>
                <w:szCs w:val="26"/>
                <w:lang w:val="en-US" w:eastAsia="zh-CN" w:bidi="ar-SA"/>
              </w:rPr>
              <w:t>综上所述，本项目排放废水治理措施合理可行，可实现有效治理，对地表水环境影响很小，不会改变跳磴河的水域功能，项目废水对地表水体影响较小，环境可接受。</w:t>
            </w:r>
          </w:p>
          <w:p w14:paraId="2648E05C">
            <w:pPr>
              <w:pStyle w:val="4"/>
              <w:keepNext/>
              <w:pageBreakBefore w:val="0"/>
              <w:widowControl w:val="0"/>
              <w:kinsoku/>
              <w:wordWrap/>
              <w:overflowPunct/>
              <w:topLinePunct w:val="0"/>
              <w:autoSpaceDE/>
              <w:autoSpaceDN/>
              <w:bidi w:val="0"/>
              <w:adjustRightInd/>
              <w:spacing w:before="0" w:after="0" w:line="460" w:lineRule="exact"/>
              <w:ind w:right="0" w:firstLine="520" w:firstLineChars="200"/>
              <w:textAlignment w:val="auto"/>
              <w:rPr>
                <w:rFonts w:hint="default" w:ascii="Times New Roman" w:hAnsi="Times New Roman" w:cs="Times New Roman"/>
                <w:b w:val="0"/>
                <w:bCs w:val="0"/>
                <w:color w:val="auto"/>
                <w:sz w:val="26"/>
                <w:szCs w:val="26"/>
                <w:lang w:val="en-US" w:eastAsia="zh-CN"/>
              </w:rPr>
            </w:pPr>
            <w:r>
              <w:rPr>
                <w:rFonts w:hint="eastAsia"/>
                <w:b w:val="0"/>
                <w:bCs w:val="0"/>
                <w:sz w:val="26"/>
                <w:szCs w:val="26"/>
                <w:lang w:val="en-US" w:eastAsia="zh-CN"/>
              </w:rPr>
              <w:t>③</w:t>
            </w:r>
            <w:r>
              <w:rPr>
                <w:rFonts w:hint="default" w:ascii="Times New Roman" w:hAnsi="Times New Roman" w:cs="Times New Roman"/>
                <w:b w:val="0"/>
                <w:bCs w:val="0"/>
                <w:color w:val="auto"/>
                <w:sz w:val="26"/>
                <w:szCs w:val="26"/>
                <w:lang w:val="en-US" w:eastAsia="zh-CN"/>
              </w:rPr>
              <w:t>污水处理厂依托可行性分析</w:t>
            </w:r>
          </w:p>
          <w:p w14:paraId="53E10BFF">
            <w:pPr>
              <w:pStyle w:val="4"/>
              <w:keepNext/>
              <w:pageBreakBefore w:val="0"/>
              <w:widowControl w:val="0"/>
              <w:kinsoku/>
              <w:wordWrap/>
              <w:overflowPunct/>
              <w:topLinePunct w:val="0"/>
              <w:autoSpaceDE/>
              <w:autoSpaceDN/>
              <w:bidi w:val="0"/>
              <w:adjustRightInd/>
              <w:spacing w:before="0" w:after="0" w:line="460" w:lineRule="exact"/>
              <w:ind w:right="0" w:firstLine="520" w:firstLineChars="200"/>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大九污水处理厂位于跳磴镇沟口村，建成规模为7万m</w:t>
            </w:r>
            <w:r>
              <w:rPr>
                <w:rFonts w:hint="default" w:ascii="Times New Roman" w:hAnsi="Times New Roman" w:cs="Times New Roman"/>
                <w:b w:val="0"/>
                <w:bCs w:val="0"/>
                <w:color w:val="auto"/>
                <w:sz w:val="26"/>
                <w:szCs w:val="26"/>
                <w:vertAlign w:val="superscript"/>
                <w:lang w:val="en-US" w:eastAsia="zh-CN"/>
              </w:rPr>
              <w:t>3</w:t>
            </w:r>
            <w:r>
              <w:rPr>
                <w:rFonts w:hint="default" w:ascii="Times New Roman" w:hAnsi="Times New Roman" w:cs="Times New Roman"/>
                <w:b w:val="0"/>
                <w:bCs w:val="0"/>
                <w:color w:val="auto"/>
                <w:sz w:val="26"/>
                <w:szCs w:val="26"/>
                <w:lang w:val="en-US" w:eastAsia="zh-CN"/>
              </w:rPr>
              <w:t>/d，设计服务范围为大渡口区跳磴镇（主要为生活污水）、九龙坡区华岩镇和中梁山街道（包括工业废水和生活污水）</w:t>
            </w:r>
            <w:r>
              <w:rPr>
                <w:rFonts w:hint="eastAsia" w:ascii="Times New Roman" w:hAnsi="Times New Roman" w:cs="Times New Roman"/>
                <w:b w:val="0"/>
                <w:bCs w:val="0"/>
                <w:color w:val="auto"/>
                <w:sz w:val="26"/>
                <w:szCs w:val="26"/>
                <w:lang w:val="en-US" w:eastAsia="zh-CN"/>
              </w:rPr>
              <w:t>。大九污水处理厂采用CAST工艺，出水水质达到《城镇污水处理厂污染物排放标准》（GB18918-2002）一级A类标准，尾水排入跳磴河后下游约6.5km汇入长江。根据调查，大九污水处理厂目前实际基本满负荷运行。目前大九污水处理厂正在开展三期扩建工程的建设，扩建规模为3万m</w:t>
            </w:r>
            <w:r>
              <w:rPr>
                <w:rFonts w:hint="eastAsia" w:ascii="Times New Roman" w:hAnsi="Times New Roman" w:cs="Times New Roman"/>
                <w:b w:val="0"/>
                <w:bCs w:val="0"/>
                <w:color w:val="auto"/>
                <w:sz w:val="26"/>
                <w:szCs w:val="26"/>
                <w:vertAlign w:val="superscript"/>
                <w:lang w:val="en-US" w:eastAsia="zh-CN"/>
              </w:rPr>
              <w:t>3</w:t>
            </w:r>
            <w:r>
              <w:rPr>
                <w:rFonts w:hint="eastAsia" w:ascii="Times New Roman" w:hAnsi="Times New Roman" w:cs="Times New Roman"/>
                <w:b w:val="0"/>
                <w:bCs w:val="0"/>
                <w:color w:val="auto"/>
                <w:sz w:val="26"/>
                <w:szCs w:val="26"/>
                <w:lang w:val="en-US" w:eastAsia="zh-CN"/>
              </w:rPr>
              <w:t>/d，同时预留远景用地。大九污水处理厂现状安装有自动监测设备并与生态环境部门联网，运行稳定达标。</w:t>
            </w:r>
          </w:p>
          <w:p w14:paraId="6F4F270C">
            <w:pPr>
              <w:pStyle w:val="7"/>
              <w:pageBreakBefore w:val="0"/>
              <w:kinsoku/>
              <w:wordWrap/>
              <w:overflowPunct/>
              <w:topLinePunct w:val="0"/>
              <w:autoSpaceDE/>
              <w:autoSpaceDN/>
              <w:bidi w:val="0"/>
              <w:adjustRightInd/>
              <w:spacing w:before="0" w:after="0" w:line="460" w:lineRule="exact"/>
              <w:ind w:right="0" w:firstLine="520" w:firstLineChars="200"/>
              <w:textAlignment w:val="auto"/>
              <w:rPr>
                <w:rFonts w:hint="default" w:ascii="Times New Roman" w:hAnsi="Times New Roman" w:cs="Times New Roman"/>
                <w:b w:val="0"/>
                <w:bCs w:val="0"/>
                <w:color w:val="auto"/>
                <w:sz w:val="26"/>
                <w:szCs w:val="26"/>
                <w:lang w:val="en-US" w:eastAsia="zh-CN"/>
              </w:rPr>
            </w:pPr>
            <w:r>
              <w:rPr>
                <w:rFonts w:hint="default" w:ascii="Times New Roman" w:hAnsi="Times New Roman" w:cs="Times New Roman"/>
                <w:b w:val="0"/>
                <w:bCs w:val="0"/>
                <w:color w:val="auto"/>
                <w:sz w:val="26"/>
                <w:szCs w:val="26"/>
                <w:lang w:val="en-US" w:eastAsia="zh-CN"/>
              </w:rPr>
              <w:t>本项目</w:t>
            </w:r>
            <w:r>
              <w:rPr>
                <w:rFonts w:hint="eastAsia" w:ascii="Times New Roman" w:hAnsi="Times New Roman" w:cs="Times New Roman"/>
                <w:b w:val="0"/>
                <w:bCs w:val="0"/>
                <w:color w:val="auto"/>
                <w:sz w:val="26"/>
                <w:szCs w:val="26"/>
                <w:lang w:val="en-US" w:eastAsia="zh-CN"/>
              </w:rPr>
              <w:t>位于九龙坡区华福大道北段400号，</w:t>
            </w:r>
            <w:r>
              <w:rPr>
                <w:rFonts w:hint="default" w:ascii="Times New Roman" w:hAnsi="Times New Roman" w:cs="Times New Roman"/>
                <w:b w:val="0"/>
                <w:bCs w:val="0"/>
                <w:color w:val="auto"/>
                <w:sz w:val="26"/>
                <w:szCs w:val="26"/>
                <w:lang w:val="en-US" w:eastAsia="zh-CN"/>
              </w:rPr>
              <w:t>属于</w:t>
            </w:r>
            <w:r>
              <w:rPr>
                <w:rFonts w:hint="eastAsia" w:ascii="Times New Roman" w:hAnsi="Times New Roman" w:cs="Times New Roman"/>
                <w:b w:val="0"/>
                <w:bCs w:val="0"/>
                <w:color w:val="auto"/>
                <w:sz w:val="26"/>
                <w:szCs w:val="26"/>
                <w:lang w:val="en-US" w:eastAsia="zh-CN"/>
              </w:rPr>
              <w:t>大九污水处理厂</w:t>
            </w:r>
            <w:r>
              <w:rPr>
                <w:rFonts w:hint="default" w:ascii="Times New Roman" w:hAnsi="Times New Roman" w:cs="Times New Roman"/>
                <w:b w:val="0"/>
                <w:bCs w:val="0"/>
                <w:color w:val="auto"/>
                <w:sz w:val="26"/>
                <w:szCs w:val="26"/>
                <w:lang w:val="en-US" w:eastAsia="zh-CN"/>
              </w:rPr>
              <w:t>服务范围内。目前</w:t>
            </w:r>
            <w:r>
              <w:rPr>
                <w:rFonts w:hint="eastAsia" w:ascii="Times New Roman" w:hAnsi="Times New Roman" w:cs="Times New Roman"/>
                <w:b w:val="0"/>
                <w:bCs w:val="0"/>
                <w:color w:val="auto"/>
                <w:sz w:val="26"/>
                <w:szCs w:val="26"/>
                <w:lang w:val="en-US" w:eastAsia="zh-CN"/>
              </w:rPr>
              <w:t>大九污水处理厂</w:t>
            </w:r>
            <w:r>
              <w:rPr>
                <w:rFonts w:hint="default" w:ascii="Times New Roman" w:hAnsi="Times New Roman" w:cs="Times New Roman"/>
                <w:b w:val="0"/>
                <w:bCs w:val="0"/>
                <w:color w:val="auto"/>
                <w:sz w:val="26"/>
                <w:szCs w:val="26"/>
                <w:lang w:val="en-US" w:eastAsia="zh-CN"/>
              </w:rPr>
              <w:t>现状处理规模约为</w:t>
            </w:r>
            <w:r>
              <w:rPr>
                <w:rFonts w:hint="eastAsia" w:ascii="Times New Roman" w:hAnsi="Times New Roman" w:cs="Times New Roman"/>
                <w:b w:val="0"/>
                <w:bCs w:val="0"/>
                <w:color w:val="auto"/>
                <w:sz w:val="26"/>
                <w:szCs w:val="26"/>
                <w:lang w:val="en-US" w:eastAsia="zh-CN"/>
              </w:rPr>
              <w:t>7万</w:t>
            </w:r>
            <w:r>
              <w:rPr>
                <w:rFonts w:hint="default" w:ascii="Times New Roman" w:hAnsi="Times New Roman" w:cs="Times New Roman"/>
                <w:b w:val="0"/>
                <w:bCs w:val="0"/>
                <w:color w:val="auto"/>
                <w:sz w:val="26"/>
                <w:szCs w:val="26"/>
                <w:lang w:val="en-US" w:eastAsia="zh-CN"/>
              </w:rPr>
              <w:t>m</w:t>
            </w:r>
            <w:r>
              <w:rPr>
                <w:rFonts w:hint="default" w:ascii="Times New Roman" w:hAnsi="Times New Roman" w:cs="Times New Roman"/>
                <w:b w:val="0"/>
                <w:bCs w:val="0"/>
                <w:color w:val="auto"/>
                <w:sz w:val="26"/>
                <w:szCs w:val="26"/>
                <w:vertAlign w:val="superscript"/>
                <w:lang w:val="en-US" w:eastAsia="zh-CN"/>
              </w:rPr>
              <w:t>3</w:t>
            </w:r>
            <w:r>
              <w:rPr>
                <w:rFonts w:hint="default" w:ascii="Times New Roman" w:hAnsi="Times New Roman" w:cs="Times New Roman"/>
                <w:b w:val="0"/>
                <w:bCs w:val="0"/>
                <w:color w:val="auto"/>
                <w:sz w:val="26"/>
                <w:szCs w:val="26"/>
                <w:lang w:val="en-US" w:eastAsia="zh-CN"/>
              </w:rPr>
              <w:t>/d，</w:t>
            </w:r>
            <w:r>
              <w:rPr>
                <w:rFonts w:hint="eastAsia" w:ascii="Times New Roman" w:hAnsi="Times New Roman" w:cs="Times New Roman"/>
                <w:b w:val="0"/>
                <w:bCs w:val="0"/>
                <w:color w:val="auto"/>
                <w:sz w:val="26"/>
                <w:szCs w:val="26"/>
                <w:lang w:val="en-US" w:eastAsia="zh-CN"/>
              </w:rPr>
              <w:t>基本满负荷运行，但本项目废水原本就已接入该污水处理厂进行达标处理，本次改扩建后增加的水量极小，且大九污水处理厂三期工程即将建设完成并投入运行</w:t>
            </w:r>
            <w:r>
              <w:rPr>
                <w:rFonts w:hint="default" w:ascii="Times New Roman" w:hAnsi="Times New Roman" w:cs="Times New Roman"/>
                <w:b w:val="0"/>
                <w:bCs w:val="0"/>
                <w:color w:val="auto"/>
                <w:sz w:val="26"/>
                <w:szCs w:val="26"/>
                <w:lang w:val="en-US" w:eastAsia="zh-CN"/>
              </w:rPr>
              <w:t>，可满足本项目生活污水的处理</w:t>
            </w:r>
            <w:r>
              <w:rPr>
                <w:rFonts w:hint="eastAsia" w:ascii="Times New Roman" w:hAnsi="Times New Roman" w:cs="Times New Roman"/>
                <w:b w:val="0"/>
                <w:bCs w:val="0"/>
                <w:color w:val="auto"/>
                <w:sz w:val="26"/>
                <w:szCs w:val="26"/>
                <w:lang w:val="en-US" w:eastAsia="zh-CN"/>
              </w:rPr>
              <w:t>受纳</w:t>
            </w:r>
            <w:r>
              <w:rPr>
                <w:rFonts w:hint="default" w:ascii="Times New Roman" w:hAnsi="Times New Roman" w:cs="Times New Roman"/>
                <w:b w:val="0"/>
                <w:bCs w:val="0"/>
                <w:color w:val="auto"/>
                <w:sz w:val="26"/>
                <w:szCs w:val="26"/>
                <w:lang w:val="en-US" w:eastAsia="zh-CN"/>
              </w:rPr>
              <w:t>需求，不会对</w:t>
            </w:r>
            <w:r>
              <w:rPr>
                <w:rFonts w:hint="eastAsia" w:ascii="Times New Roman" w:hAnsi="Times New Roman" w:cs="Times New Roman"/>
                <w:b w:val="0"/>
                <w:bCs w:val="0"/>
                <w:color w:val="auto"/>
                <w:sz w:val="26"/>
                <w:szCs w:val="26"/>
                <w:lang w:val="en-US" w:eastAsia="zh-CN"/>
              </w:rPr>
              <w:t>大九污水处理厂</w:t>
            </w:r>
            <w:r>
              <w:rPr>
                <w:rFonts w:hint="default" w:ascii="Times New Roman" w:hAnsi="Times New Roman" w:cs="Times New Roman"/>
                <w:b w:val="0"/>
                <w:bCs w:val="0"/>
                <w:color w:val="auto"/>
                <w:sz w:val="26"/>
                <w:szCs w:val="26"/>
                <w:lang w:val="en-US" w:eastAsia="zh-CN"/>
              </w:rPr>
              <w:t>的正常运行产生影响。本项目污水中主要因子为COD、BOD</w:t>
            </w:r>
            <w:r>
              <w:rPr>
                <w:rFonts w:hint="default" w:ascii="Times New Roman" w:hAnsi="Times New Roman" w:cs="Times New Roman"/>
                <w:b w:val="0"/>
                <w:bCs w:val="0"/>
                <w:color w:val="auto"/>
                <w:sz w:val="26"/>
                <w:szCs w:val="26"/>
                <w:vertAlign w:val="subscript"/>
                <w:lang w:val="en-US" w:eastAsia="zh-CN"/>
              </w:rPr>
              <w:t>5</w:t>
            </w:r>
            <w:r>
              <w:rPr>
                <w:rFonts w:hint="default" w:ascii="Times New Roman" w:hAnsi="Times New Roman" w:cs="Times New Roman"/>
                <w:b w:val="0"/>
                <w:bCs w:val="0"/>
                <w:color w:val="auto"/>
                <w:sz w:val="26"/>
                <w:szCs w:val="26"/>
                <w:lang w:val="en-US" w:eastAsia="zh-CN"/>
              </w:rPr>
              <w:t>、NH</w:t>
            </w:r>
            <w:r>
              <w:rPr>
                <w:rFonts w:hint="default" w:ascii="Times New Roman" w:hAnsi="Times New Roman" w:cs="Times New Roman"/>
                <w:b w:val="0"/>
                <w:bCs w:val="0"/>
                <w:color w:val="auto"/>
                <w:sz w:val="26"/>
                <w:szCs w:val="26"/>
                <w:vertAlign w:val="subscript"/>
                <w:lang w:val="en-US" w:eastAsia="zh-CN"/>
              </w:rPr>
              <w:t>3</w:t>
            </w:r>
            <w:r>
              <w:rPr>
                <w:rFonts w:hint="default" w:ascii="Times New Roman" w:hAnsi="Times New Roman" w:cs="Times New Roman"/>
                <w:b w:val="0"/>
                <w:bCs w:val="0"/>
                <w:color w:val="auto"/>
                <w:sz w:val="26"/>
                <w:szCs w:val="26"/>
                <w:lang w:val="en-US" w:eastAsia="zh-CN"/>
              </w:rPr>
              <w:t>-N、SS</w:t>
            </w:r>
            <w:r>
              <w:rPr>
                <w:rFonts w:hint="eastAsia" w:ascii="Times New Roman" w:hAnsi="Times New Roman" w:cs="Times New Roman"/>
                <w:b w:val="0"/>
                <w:bCs w:val="0"/>
                <w:color w:val="auto"/>
                <w:sz w:val="26"/>
                <w:szCs w:val="26"/>
                <w:lang w:val="en-US" w:eastAsia="zh-CN"/>
              </w:rPr>
              <w:t>、LAS、石油类等</w:t>
            </w:r>
            <w:r>
              <w:rPr>
                <w:rFonts w:hint="default" w:ascii="Times New Roman" w:hAnsi="Times New Roman" w:cs="Times New Roman"/>
                <w:b w:val="0"/>
                <w:bCs w:val="0"/>
                <w:color w:val="auto"/>
                <w:sz w:val="26"/>
                <w:szCs w:val="26"/>
                <w:lang w:val="en-US" w:eastAsia="zh-CN"/>
              </w:rPr>
              <w:t>，经厂区</w:t>
            </w:r>
            <w:r>
              <w:rPr>
                <w:rFonts w:hint="eastAsia" w:ascii="Times New Roman" w:hAnsi="Times New Roman" w:cs="Times New Roman"/>
                <w:b w:val="0"/>
                <w:bCs w:val="0"/>
                <w:color w:val="auto"/>
                <w:sz w:val="26"/>
                <w:szCs w:val="26"/>
                <w:lang w:val="en-US" w:eastAsia="zh-CN"/>
              </w:rPr>
              <w:t>化粪池或隔油沉淀池</w:t>
            </w:r>
            <w:r>
              <w:rPr>
                <w:rFonts w:hint="default" w:ascii="Times New Roman" w:hAnsi="Times New Roman" w:cs="Times New Roman"/>
                <w:b w:val="0"/>
                <w:bCs w:val="0"/>
                <w:color w:val="auto"/>
                <w:sz w:val="26"/>
                <w:szCs w:val="26"/>
                <w:lang w:val="en-US" w:eastAsia="zh-CN"/>
              </w:rPr>
              <w:t>处理达《污水综合排放标准》（GB8978-1996）三级标准</w:t>
            </w:r>
            <w:r>
              <w:rPr>
                <w:rFonts w:hint="eastAsia" w:ascii="Times New Roman" w:hAnsi="Times New Roman" w:cs="Times New Roman"/>
                <w:b w:val="0"/>
                <w:bCs w:val="0"/>
                <w:color w:val="auto"/>
                <w:sz w:val="26"/>
                <w:szCs w:val="26"/>
                <w:lang w:val="en-US" w:eastAsia="zh-CN"/>
              </w:rPr>
              <w:t>后</w:t>
            </w:r>
            <w:r>
              <w:rPr>
                <w:rFonts w:hint="default" w:ascii="Times New Roman" w:hAnsi="Times New Roman" w:cs="Times New Roman"/>
                <w:b w:val="0"/>
                <w:bCs w:val="0"/>
                <w:color w:val="auto"/>
                <w:sz w:val="26"/>
                <w:szCs w:val="26"/>
                <w:lang w:val="en-US" w:eastAsia="zh-CN"/>
              </w:rPr>
              <w:t>，项目污水进入</w:t>
            </w:r>
            <w:r>
              <w:rPr>
                <w:rFonts w:hint="eastAsia" w:ascii="Times New Roman" w:hAnsi="Times New Roman" w:cs="Times New Roman"/>
                <w:b w:val="0"/>
                <w:bCs w:val="0"/>
                <w:color w:val="auto"/>
                <w:sz w:val="26"/>
                <w:szCs w:val="26"/>
                <w:lang w:val="en-US" w:eastAsia="zh-CN"/>
              </w:rPr>
              <w:t>大九污水处理厂</w:t>
            </w:r>
            <w:r>
              <w:rPr>
                <w:rFonts w:hint="default" w:ascii="Times New Roman" w:hAnsi="Times New Roman" w:cs="Times New Roman"/>
                <w:b w:val="0"/>
                <w:bCs w:val="0"/>
                <w:color w:val="auto"/>
                <w:sz w:val="26"/>
                <w:szCs w:val="26"/>
                <w:lang w:val="en-US" w:eastAsia="zh-CN"/>
              </w:rPr>
              <w:t>可进一步处理达</w:t>
            </w:r>
            <w:r>
              <w:rPr>
                <w:rFonts w:hint="eastAsia" w:ascii="Times New Roman" w:hAnsi="Times New Roman" w:cs="Times New Roman"/>
                <w:b w:val="0"/>
                <w:bCs w:val="0"/>
                <w:color w:val="auto"/>
                <w:sz w:val="26"/>
                <w:szCs w:val="26"/>
                <w:lang w:val="en-US" w:eastAsia="zh-CN"/>
              </w:rPr>
              <w:t>《城镇污水处理厂污染物排放标准》（GB18918-2002）一级A类标准</w:t>
            </w:r>
            <w:r>
              <w:rPr>
                <w:rFonts w:hint="default" w:ascii="Times New Roman" w:hAnsi="Times New Roman" w:cs="Times New Roman"/>
                <w:b w:val="0"/>
                <w:bCs w:val="0"/>
                <w:color w:val="auto"/>
                <w:sz w:val="26"/>
                <w:szCs w:val="26"/>
                <w:lang w:val="en-US" w:eastAsia="zh-CN"/>
              </w:rPr>
              <w:t>后排入</w:t>
            </w:r>
            <w:r>
              <w:rPr>
                <w:rFonts w:hint="eastAsia" w:ascii="Times New Roman" w:hAnsi="Times New Roman" w:cs="Times New Roman"/>
                <w:b w:val="0"/>
                <w:bCs w:val="0"/>
                <w:color w:val="auto"/>
                <w:sz w:val="26"/>
                <w:szCs w:val="26"/>
                <w:lang w:val="en-US" w:eastAsia="zh-CN"/>
              </w:rPr>
              <w:t>跳蹬河后下游约6.5km汇入长江</w:t>
            </w:r>
            <w:r>
              <w:rPr>
                <w:rFonts w:hint="default" w:ascii="Times New Roman" w:hAnsi="Times New Roman" w:cs="Times New Roman"/>
                <w:b w:val="0"/>
                <w:bCs w:val="0"/>
                <w:color w:val="auto"/>
                <w:sz w:val="26"/>
                <w:szCs w:val="26"/>
                <w:lang w:val="en-US" w:eastAsia="zh-CN"/>
              </w:rPr>
              <w:t>。</w:t>
            </w:r>
            <w:r>
              <w:rPr>
                <w:rFonts w:hint="eastAsia" w:ascii="Times New Roman" w:hAnsi="Times New Roman" w:cs="Times New Roman"/>
                <w:b w:val="0"/>
                <w:bCs w:val="0"/>
                <w:color w:val="auto"/>
                <w:sz w:val="26"/>
                <w:szCs w:val="26"/>
                <w:lang w:val="en-US" w:eastAsia="zh-CN"/>
              </w:rPr>
              <w:t>由此可知，</w:t>
            </w:r>
            <w:r>
              <w:rPr>
                <w:rFonts w:hint="default" w:ascii="Times New Roman" w:hAnsi="Times New Roman" w:cs="Times New Roman"/>
                <w:b w:val="0"/>
                <w:bCs w:val="0"/>
                <w:color w:val="auto"/>
                <w:sz w:val="26"/>
                <w:szCs w:val="26"/>
                <w:lang w:val="en-US" w:eastAsia="zh-CN"/>
              </w:rPr>
              <w:t>项目废水依托</w:t>
            </w:r>
            <w:r>
              <w:rPr>
                <w:rFonts w:hint="eastAsia" w:ascii="Times New Roman" w:hAnsi="Times New Roman" w:cs="Times New Roman"/>
                <w:b w:val="0"/>
                <w:bCs w:val="0"/>
                <w:color w:val="auto"/>
                <w:sz w:val="26"/>
                <w:szCs w:val="26"/>
                <w:lang w:val="en-US" w:eastAsia="zh-CN"/>
              </w:rPr>
              <w:t>大九</w:t>
            </w:r>
            <w:r>
              <w:rPr>
                <w:rFonts w:hint="default" w:ascii="Times New Roman" w:hAnsi="Times New Roman" w:cs="Times New Roman"/>
                <w:b w:val="0"/>
                <w:bCs w:val="0"/>
                <w:color w:val="auto"/>
                <w:sz w:val="26"/>
                <w:szCs w:val="26"/>
                <w:lang w:val="en-US" w:eastAsia="zh-CN"/>
              </w:rPr>
              <w:t>污水处理厂</w:t>
            </w:r>
            <w:r>
              <w:rPr>
                <w:rFonts w:hint="eastAsia" w:cs="Times New Roman"/>
                <w:b w:val="0"/>
                <w:bCs w:val="0"/>
                <w:color w:val="auto"/>
                <w:sz w:val="26"/>
                <w:szCs w:val="26"/>
                <w:lang w:val="en-US" w:eastAsia="zh-CN"/>
              </w:rPr>
              <w:t>处理</w:t>
            </w:r>
            <w:r>
              <w:rPr>
                <w:rFonts w:hint="default" w:ascii="Times New Roman" w:hAnsi="Times New Roman" w:cs="Times New Roman"/>
                <w:b w:val="0"/>
                <w:bCs w:val="0"/>
                <w:color w:val="auto"/>
                <w:sz w:val="26"/>
                <w:szCs w:val="26"/>
                <w:lang w:val="en-US" w:eastAsia="zh-CN"/>
              </w:rPr>
              <w:t>可行。</w:t>
            </w:r>
          </w:p>
          <w:p w14:paraId="25B8BD54">
            <w:pPr>
              <w:pStyle w:val="7"/>
              <w:pageBreakBefore w:val="0"/>
              <w:kinsoku/>
              <w:wordWrap/>
              <w:overflowPunct/>
              <w:topLinePunct w:val="0"/>
              <w:autoSpaceDE/>
              <w:autoSpaceDN/>
              <w:bidi w:val="0"/>
              <w:adjustRightInd/>
              <w:spacing w:before="0" w:after="0" w:line="460" w:lineRule="exact"/>
              <w:ind w:right="0" w:firstLine="520" w:firstLineChars="200"/>
              <w:textAlignment w:val="auto"/>
              <w:rPr>
                <w:rFonts w:hint="eastAsia" w:cs="Times New Roman"/>
                <w:b w:val="0"/>
                <w:bCs w:val="0"/>
                <w:color w:val="FF0000"/>
                <w:sz w:val="26"/>
                <w:szCs w:val="26"/>
                <w:lang w:val="en-US" w:eastAsia="zh-CN"/>
              </w:rPr>
            </w:pPr>
            <w:r>
              <w:rPr>
                <w:rFonts w:hint="eastAsia" w:cs="Times New Roman"/>
                <w:b w:val="0"/>
                <w:bCs w:val="0"/>
                <w:color w:val="FF0000"/>
                <w:sz w:val="26"/>
                <w:szCs w:val="26"/>
                <w:lang w:val="en-US" w:eastAsia="zh-CN"/>
              </w:rPr>
              <w:t>④初期雨水收集沟（渠）的设置要求</w:t>
            </w:r>
          </w:p>
          <w:p w14:paraId="4FDAECB3">
            <w:pPr>
              <w:pStyle w:val="7"/>
              <w:pageBreakBefore w:val="0"/>
              <w:kinsoku/>
              <w:wordWrap/>
              <w:overflowPunct/>
              <w:topLinePunct w:val="0"/>
              <w:autoSpaceDE/>
              <w:autoSpaceDN/>
              <w:bidi w:val="0"/>
              <w:adjustRightInd/>
              <w:spacing w:before="0" w:after="0" w:line="460" w:lineRule="exact"/>
              <w:ind w:right="0" w:firstLine="520" w:firstLineChars="200"/>
              <w:textAlignment w:val="auto"/>
              <w:rPr>
                <w:rFonts w:hint="default" w:cs="Times New Roman"/>
                <w:b w:val="0"/>
                <w:bCs w:val="0"/>
                <w:color w:val="auto"/>
                <w:sz w:val="26"/>
                <w:szCs w:val="26"/>
                <w:lang w:val="en-US" w:eastAsia="zh-CN"/>
              </w:rPr>
            </w:pPr>
            <w:r>
              <w:rPr>
                <w:rFonts w:hint="default" w:cs="Times New Roman"/>
                <w:b w:val="0"/>
                <w:bCs w:val="0"/>
                <w:color w:val="FF0000"/>
                <w:sz w:val="26"/>
                <w:szCs w:val="26"/>
                <w:lang w:val="en-US" w:eastAsia="zh-CN"/>
              </w:rPr>
              <w:t>收集沟必须围绕所有可能发生油品泄漏的区域设置，形成闭合的收集系统</w:t>
            </w:r>
            <w:r>
              <w:rPr>
                <w:rFonts w:hint="eastAsia" w:cs="Times New Roman"/>
                <w:b w:val="0"/>
                <w:bCs w:val="0"/>
                <w:color w:val="FF0000"/>
                <w:sz w:val="26"/>
                <w:szCs w:val="26"/>
                <w:lang w:val="en-US" w:eastAsia="zh-CN"/>
              </w:rPr>
              <w:t>，主要包括加油岛及加油区、卸油区、油罐区操作井及通气管附近；通常采用明沟加格栅盖板的形式，并选用耐腐蚀、防渗漏的材料。沟底与沟壁必须进行防渗处理，防止污染水渗入土壤。必须在收集沟系统末端设置截流阀和切换井。初期雨水关闭阀门，引至三段式隔油池，后期清洁雨水打开阀门，排入市政雨水管网。</w:t>
            </w:r>
          </w:p>
          <w:p w14:paraId="0D185959">
            <w:pPr>
              <w:pStyle w:val="4"/>
              <w:keepNext/>
              <w:keepLines/>
              <w:pageBreakBefore w:val="0"/>
              <w:widowControl w:val="0"/>
              <w:kinsoku/>
              <w:wordWrap/>
              <w:overflowPunct/>
              <w:topLinePunct w:val="0"/>
              <w:autoSpaceDE/>
              <w:autoSpaceDN/>
              <w:bidi w:val="0"/>
              <w:adjustRightInd/>
              <w:snapToGrid/>
              <w:spacing w:before="0" w:after="0" w:line="460" w:lineRule="exact"/>
              <w:ind w:firstLine="520" w:firstLineChars="200"/>
              <w:textAlignment w:val="auto"/>
              <w:rPr>
                <w:rFonts w:hint="default" w:ascii="Times New Roman" w:hAnsi="Times New Roman" w:cs="Times New Roman"/>
                <w:color w:val="auto"/>
                <w:sz w:val="26"/>
                <w:szCs w:val="26"/>
              </w:rPr>
            </w:pPr>
            <w:r>
              <w:rPr>
                <w:rFonts w:hint="default" w:ascii="Times New Roman" w:hAnsi="Times New Roman" w:cs="Times New Roman"/>
                <w:b w:val="0"/>
                <w:bCs w:val="0"/>
                <w:color w:val="auto"/>
                <w:sz w:val="26"/>
                <w:szCs w:val="26"/>
                <w:lang w:val="en-US" w:eastAsia="zh-CN"/>
              </w:rPr>
              <w:t>（</w:t>
            </w:r>
            <w:r>
              <w:rPr>
                <w:rFonts w:hint="eastAsia" w:ascii="Times New Roman" w:hAnsi="Times New Roman" w:cs="Times New Roman"/>
                <w:b w:val="0"/>
                <w:bCs w:val="0"/>
                <w:color w:val="auto"/>
                <w:sz w:val="26"/>
                <w:szCs w:val="26"/>
                <w:lang w:val="en-US" w:eastAsia="zh-CN"/>
              </w:rPr>
              <w:t>4</w:t>
            </w:r>
            <w:r>
              <w:rPr>
                <w:rFonts w:hint="default" w:ascii="Times New Roman" w:hAnsi="Times New Roman" w:cs="Times New Roman"/>
                <w:b w:val="0"/>
                <w:bCs w:val="0"/>
                <w:color w:val="auto"/>
                <w:sz w:val="26"/>
                <w:szCs w:val="26"/>
                <w:lang w:val="en-US" w:eastAsia="zh-CN"/>
              </w:rPr>
              <w:t>）</w:t>
            </w:r>
            <w:r>
              <w:rPr>
                <w:rFonts w:hint="default" w:ascii="Times New Roman" w:hAnsi="Times New Roman" w:cs="Times New Roman"/>
                <w:b w:val="0"/>
                <w:bCs w:val="0"/>
                <w:color w:val="auto"/>
                <w:sz w:val="26"/>
                <w:szCs w:val="26"/>
              </w:rPr>
              <w:t>废水排放口基本情况</w:t>
            </w:r>
          </w:p>
          <w:p w14:paraId="60B7501C">
            <w:pPr>
              <w:pStyle w:val="93"/>
              <w:bidi w:val="0"/>
              <w:rPr>
                <w:rFonts w:hint="default" w:ascii="Times New Roman" w:hAnsi="Times New Roman" w:cs="Times New Roman"/>
                <w:color w:val="auto"/>
                <w:sz w:val="26"/>
                <w:szCs w:val="26"/>
              </w:rPr>
            </w:pPr>
            <w:r>
              <w:rPr>
                <w:rFonts w:hint="default" w:ascii="Times New Roman" w:hAnsi="Times New Roman" w:eastAsia="宋体" w:cs="Times New Roman"/>
                <w:color w:val="auto"/>
                <w:sz w:val="26"/>
                <w:szCs w:val="26"/>
              </w:rPr>
              <w:t>①</w:t>
            </w:r>
            <w:r>
              <w:rPr>
                <w:rFonts w:hint="default" w:ascii="Times New Roman" w:hAnsi="Times New Roman" w:cs="Times New Roman"/>
                <w:color w:val="auto"/>
                <w:sz w:val="26"/>
                <w:szCs w:val="26"/>
              </w:rPr>
              <w:t>废水类别、污染物及污染治理信息见表4</w:t>
            </w:r>
            <w:r>
              <w:rPr>
                <w:rFonts w:hint="default" w:ascii="Times New Roman" w:hAnsi="Times New Roman" w:cs="Times New Roman"/>
                <w:color w:val="auto"/>
                <w:sz w:val="26"/>
                <w:szCs w:val="26"/>
                <w:lang w:val="en-US" w:eastAsia="zh-CN"/>
              </w:rPr>
              <w:t>.2-</w:t>
            </w:r>
            <w:r>
              <w:rPr>
                <w:rFonts w:hint="eastAsia" w:cs="Times New Roman"/>
                <w:color w:val="auto"/>
                <w:sz w:val="26"/>
                <w:szCs w:val="26"/>
                <w:lang w:val="en-US" w:eastAsia="zh-CN"/>
              </w:rPr>
              <w:t>8</w:t>
            </w:r>
            <w:r>
              <w:rPr>
                <w:rFonts w:hint="default" w:ascii="Times New Roman" w:hAnsi="Times New Roman" w:cs="Times New Roman"/>
                <w:color w:val="auto"/>
                <w:sz w:val="26"/>
                <w:szCs w:val="26"/>
              </w:rPr>
              <w:t>。</w:t>
            </w:r>
          </w:p>
          <w:p w14:paraId="2EBB0BF7">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rFonts w:hint="default" w:ascii="Times New Roman" w:hAnsi="Times New Roman" w:cs="Times New Roman"/>
                <w:color w:val="auto"/>
                <w:sz w:val="26"/>
                <w:szCs w:val="26"/>
              </w:rPr>
            </w:pPr>
            <w:r>
              <w:rPr>
                <w:rFonts w:hint="default" w:ascii="Times New Roman" w:hAnsi="Times New Roman" w:cs="Times New Roman"/>
                <w:b w:val="0"/>
                <w:bCs w:val="0"/>
                <w:color w:val="auto"/>
                <w:sz w:val="22"/>
                <w:szCs w:val="22"/>
              </w:rPr>
              <w:t>表4</w:t>
            </w:r>
            <w:r>
              <w:rPr>
                <w:rFonts w:hint="default" w:ascii="Times New Roman" w:hAnsi="Times New Roman" w:cs="Times New Roman"/>
                <w:b w:val="0"/>
                <w:bCs w:val="0"/>
                <w:color w:val="auto"/>
                <w:sz w:val="22"/>
                <w:szCs w:val="22"/>
                <w:lang w:val="en-US" w:eastAsia="zh-CN"/>
              </w:rPr>
              <w:t>.2-</w:t>
            </w:r>
            <w:r>
              <w:rPr>
                <w:rFonts w:hint="eastAsia" w:cs="Times New Roman"/>
                <w:b w:val="0"/>
                <w:bCs w:val="0"/>
                <w:color w:val="auto"/>
                <w:sz w:val="22"/>
                <w:szCs w:val="22"/>
                <w:lang w:val="en-US" w:eastAsia="zh-CN"/>
              </w:rPr>
              <w:t>8</w:t>
            </w:r>
            <w:r>
              <w:rPr>
                <w:rFonts w:hint="default" w:ascii="Times New Roman" w:hAnsi="Times New Roman" w:cs="Times New Roman"/>
                <w:b w:val="0"/>
                <w:bCs w:val="0"/>
                <w:color w:val="auto"/>
                <w:sz w:val="22"/>
                <w:szCs w:val="22"/>
                <w:lang w:val="en-US" w:eastAsia="zh-CN"/>
              </w:rPr>
              <w:t xml:space="preserve"> </w:t>
            </w:r>
            <w:r>
              <w:rPr>
                <w:rFonts w:hint="default" w:ascii="Times New Roman" w:hAnsi="Times New Roman" w:cs="Times New Roman"/>
                <w:b w:val="0"/>
                <w:bCs w:val="0"/>
                <w:color w:val="auto"/>
                <w:sz w:val="22"/>
                <w:szCs w:val="22"/>
              </w:rPr>
              <w:t xml:space="preserve"> 废水类别、污染物及治理设施信息表</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707"/>
              <w:gridCol w:w="987"/>
              <w:gridCol w:w="775"/>
              <w:gridCol w:w="704"/>
              <w:gridCol w:w="830"/>
              <w:gridCol w:w="843"/>
              <w:gridCol w:w="864"/>
              <w:gridCol w:w="1063"/>
              <w:gridCol w:w="696"/>
            </w:tblGrid>
            <w:tr w14:paraId="1FE4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1" w:hRule="atLeast"/>
                <w:jc w:val="center"/>
              </w:trPr>
              <w:tc>
                <w:tcPr>
                  <w:tcW w:w="271" w:type="pct"/>
                  <w:noWrap w:val="0"/>
                  <w:vAlign w:val="center"/>
                </w:tcPr>
                <w:p w14:paraId="6CCC32E1">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序号</w:t>
                  </w:r>
                </w:p>
              </w:tc>
              <w:tc>
                <w:tcPr>
                  <w:tcW w:w="447" w:type="pct"/>
                  <w:noWrap w:val="0"/>
                  <w:vAlign w:val="center"/>
                </w:tcPr>
                <w:p w14:paraId="36E53B0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废水类别</w:t>
                  </w:r>
                </w:p>
              </w:tc>
              <w:tc>
                <w:tcPr>
                  <w:tcW w:w="624" w:type="pct"/>
                  <w:noWrap w:val="0"/>
                  <w:vAlign w:val="center"/>
                </w:tcPr>
                <w:p w14:paraId="534CBCC1">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污染物种类</w:t>
                  </w:r>
                </w:p>
              </w:tc>
              <w:tc>
                <w:tcPr>
                  <w:tcW w:w="490" w:type="pct"/>
                  <w:noWrap w:val="0"/>
                  <w:vAlign w:val="center"/>
                </w:tcPr>
                <w:p w14:paraId="1202038D">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排放去向</w:t>
                  </w:r>
                </w:p>
              </w:tc>
              <w:tc>
                <w:tcPr>
                  <w:tcW w:w="445" w:type="pct"/>
                  <w:noWrap w:val="0"/>
                  <w:vAlign w:val="center"/>
                </w:tcPr>
                <w:p w14:paraId="39C9AFFB">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排放规律</w:t>
                  </w:r>
                </w:p>
              </w:tc>
              <w:tc>
                <w:tcPr>
                  <w:tcW w:w="525" w:type="pct"/>
                  <w:noWrap w:val="0"/>
                  <w:vAlign w:val="center"/>
                </w:tcPr>
                <w:p w14:paraId="09EA7CAE">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污染物治理设施编号</w:t>
                  </w:r>
                </w:p>
              </w:tc>
              <w:tc>
                <w:tcPr>
                  <w:tcW w:w="533" w:type="pct"/>
                  <w:noWrap w:val="0"/>
                  <w:vAlign w:val="center"/>
                </w:tcPr>
                <w:p w14:paraId="3663220E">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污染物治理设施名称</w:t>
                  </w:r>
                </w:p>
              </w:tc>
              <w:tc>
                <w:tcPr>
                  <w:tcW w:w="546" w:type="pct"/>
                  <w:noWrap w:val="0"/>
                  <w:vAlign w:val="center"/>
                </w:tcPr>
                <w:p w14:paraId="06458C99">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污染物治理设施工艺</w:t>
                  </w:r>
                </w:p>
              </w:tc>
              <w:tc>
                <w:tcPr>
                  <w:tcW w:w="672" w:type="pct"/>
                  <w:noWrap w:val="0"/>
                  <w:vAlign w:val="center"/>
                </w:tcPr>
                <w:p w14:paraId="59B6B4D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排放口设置是否符合要求</w:t>
                  </w:r>
                </w:p>
              </w:tc>
              <w:tc>
                <w:tcPr>
                  <w:tcW w:w="440" w:type="pct"/>
                  <w:noWrap w:val="0"/>
                  <w:vAlign w:val="center"/>
                </w:tcPr>
                <w:p w14:paraId="1D6BB6C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排放口类型</w:t>
                  </w:r>
                </w:p>
              </w:tc>
            </w:tr>
            <w:tr w14:paraId="0323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71" w:type="pct"/>
                  <w:noWrap w:val="0"/>
                  <w:vAlign w:val="center"/>
                </w:tcPr>
                <w:p w14:paraId="4E7CE673">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w:t>
                  </w:r>
                </w:p>
              </w:tc>
              <w:tc>
                <w:tcPr>
                  <w:tcW w:w="447" w:type="pct"/>
                  <w:noWrap w:val="0"/>
                  <w:vAlign w:val="center"/>
                </w:tcPr>
                <w:p w14:paraId="348876D6">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生活污水</w:t>
                  </w:r>
                </w:p>
              </w:tc>
              <w:tc>
                <w:tcPr>
                  <w:tcW w:w="624" w:type="pct"/>
                  <w:noWrap w:val="0"/>
                  <w:vAlign w:val="center"/>
                </w:tcPr>
                <w:p w14:paraId="1443FDAE">
                  <w:pPr>
                    <w:pStyle w:val="94"/>
                    <w:bidi w:val="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rPr>
                    <w:t>COD、BOD</w:t>
                  </w:r>
                  <w:r>
                    <w:rPr>
                      <w:rFonts w:hint="default" w:ascii="Times New Roman" w:hAnsi="Times New Roman" w:cs="Times New Roman"/>
                      <w:color w:val="auto"/>
                      <w:sz w:val="22"/>
                      <w:szCs w:val="22"/>
                      <w:vertAlign w:val="subscript"/>
                    </w:rPr>
                    <w:t>5</w:t>
                  </w:r>
                  <w:r>
                    <w:rPr>
                      <w:rFonts w:hint="default" w:ascii="Times New Roman" w:hAnsi="Times New Roman" w:cs="Times New Roman"/>
                      <w:color w:val="auto"/>
                      <w:sz w:val="22"/>
                      <w:szCs w:val="22"/>
                    </w:rPr>
                    <w:t>、SS、NH</w:t>
                  </w:r>
                  <w:r>
                    <w:rPr>
                      <w:rFonts w:hint="default" w:ascii="Times New Roman" w:hAnsi="Times New Roman" w:cs="Times New Roman"/>
                      <w:color w:val="auto"/>
                      <w:sz w:val="22"/>
                      <w:szCs w:val="22"/>
                      <w:vertAlign w:val="subscript"/>
                    </w:rPr>
                    <w:t>3</w:t>
                  </w:r>
                  <w:r>
                    <w:rPr>
                      <w:rFonts w:hint="default" w:ascii="Times New Roman" w:hAnsi="Times New Roman" w:cs="Times New Roman"/>
                      <w:color w:val="auto"/>
                      <w:sz w:val="22"/>
                      <w:szCs w:val="22"/>
                    </w:rPr>
                    <w:t>-N</w:t>
                  </w:r>
                </w:p>
              </w:tc>
              <w:tc>
                <w:tcPr>
                  <w:tcW w:w="490" w:type="pct"/>
                  <w:vMerge w:val="restart"/>
                  <w:noWrap w:val="0"/>
                  <w:vAlign w:val="center"/>
                </w:tcPr>
                <w:p w14:paraId="36A5F8A5">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大九污水处理厂</w:t>
                  </w:r>
                </w:p>
              </w:tc>
              <w:tc>
                <w:tcPr>
                  <w:tcW w:w="445" w:type="pct"/>
                  <w:vMerge w:val="restart"/>
                  <w:noWrap w:val="0"/>
                  <w:vAlign w:val="center"/>
                </w:tcPr>
                <w:p w14:paraId="29220D70">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000000"/>
                      <w:sz w:val="22"/>
                      <w:szCs w:val="22"/>
                    </w:rPr>
                    <w:t>流量不稳定无规律</w:t>
                  </w:r>
                  <w:r>
                    <w:rPr>
                      <w:rFonts w:hint="default" w:ascii="Times New Roman" w:hAnsi="Times New Roman" w:cs="Times New Roman"/>
                      <w:color w:val="000000"/>
                      <w:sz w:val="22"/>
                      <w:szCs w:val="22"/>
                      <w:lang w:eastAsia="zh-CN"/>
                    </w:rPr>
                    <w:t>，</w:t>
                  </w:r>
                  <w:r>
                    <w:rPr>
                      <w:rFonts w:hint="default" w:ascii="Times New Roman" w:hAnsi="Times New Roman" w:cs="Times New Roman"/>
                      <w:color w:val="auto"/>
                      <w:sz w:val="22"/>
                      <w:szCs w:val="22"/>
                      <w:lang w:val="en-US" w:eastAsia="zh-CN"/>
                    </w:rPr>
                    <w:t>间接排放</w:t>
                  </w:r>
                </w:p>
              </w:tc>
              <w:tc>
                <w:tcPr>
                  <w:tcW w:w="525" w:type="pct"/>
                  <w:noWrap w:val="0"/>
                  <w:vAlign w:val="center"/>
                </w:tcPr>
                <w:p w14:paraId="1D4CC831">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TW00</w:t>
                  </w:r>
                  <w:r>
                    <w:rPr>
                      <w:rFonts w:hint="default" w:ascii="Times New Roman" w:hAnsi="Times New Roman" w:cs="Times New Roman"/>
                      <w:color w:val="auto"/>
                      <w:sz w:val="22"/>
                      <w:szCs w:val="22"/>
                      <w:lang w:val="en-US" w:eastAsia="zh-CN"/>
                    </w:rPr>
                    <w:t>1</w:t>
                  </w:r>
                </w:p>
              </w:tc>
              <w:tc>
                <w:tcPr>
                  <w:tcW w:w="533" w:type="pct"/>
                  <w:noWrap w:val="0"/>
                  <w:vAlign w:val="center"/>
                </w:tcPr>
                <w:p w14:paraId="4C37F879">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化粪池</w:t>
                  </w:r>
                </w:p>
              </w:tc>
              <w:tc>
                <w:tcPr>
                  <w:tcW w:w="546" w:type="pct"/>
                  <w:noWrap w:val="0"/>
                  <w:vAlign w:val="center"/>
                </w:tcPr>
                <w:p w14:paraId="6437A240">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水解酸化</w:t>
                  </w:r>
                </w:p>
              </w:tc>
              <w:tc>
                <w:tcPr>
                  <w:tcW w:w="672" w:type="pct"/>
                  <w:vMerge w:val="restart"/>
                  <w:noWrap w:val="0"/>
                  <w:vAlign w:val="center"/>
                </w:tcPr>
                <w:p w14:paraId="31CB2AB8">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sym w:font="Wingdings 2" w:char="0052"/>
                  </w:r>
                  <w:r>
                    <w:rPr>
                      <w:rFonts w:hint="default" w:ascii="Times New Roman" w:hAnsi="Times New Roman" w:cs="Times New Roman"/>
                      <w:color w:val="auto"/>
                      <w:sz w:val="22"/>
                      <w:szCs w:val="22"/>
                    </w:rPr>
                    <w:t>是</w:t>
                  </w:r>
                </w:p>
                <w:p w14:paraId="40702897">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sym w:font="Wingdings 2" w:char="00A3"/>
                  </w:r>
                  <w:r>
                    <w:rPr>
                      <w:rFonts w:hint="default" w:ascii="Times New Roman" w:hAnsi="Times New Roman" w:cs="Times New Roman"/>
                      <w:color w:val="auto"/>
                      <w:sz w:val="22"/>
                      <w:szCs w:val="22"/>
                    </w:rPr>
                    <w:t>否</w:t>
                  </w:r>
                </w:p>
              </w:tc>
              <w:tc>
                <w:tcPr>
                  <w:tcW w:w="440" w:type="pct"/>
                  <w:vMerge w:val="restart"/>
                  <w:noWrap w:val="0"/>
                  <w:vAlign w:val="center"/>
                </w:tcPr>
                <w:p w14:paraId="44DF9933">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一般排放口</w:t>
                  </w:r>
                </w:p>
              </w:tc>
            </w:tr>
            <w:tr w14:paraId="0FF1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71" w:type="pct"/>
                  <w:noWrap w:val="0"/>
                  <w:vAlign w:val="center"/>
                </w:tcPr>
                <w:p w14:paraId="5795A2EE">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2</w:t>
                  </w:r>
                </w:p>
              </w:tc>
              <w:tc>
                <w:tcPr>
                  <w:tcW w:w="447" w:type="pct"/>
                  <w:noWrap w:val="0"/>
                  <w:vAlign w:val="center"/>
                </w:tcPr>
                <w:p w14:paraId="4DC5FBAE">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场地冲洗废水</w:t>
                  </w:r>
                </w:p>
              </w:tc>
              <w:tc>
                <w:tcPr>
                  <w:tcW w:w="624" w:type="pct"/>
                  <w:noWrap w:val="0"/>
                  <w:vAlign w:val="center"/>
                </w:tcPr>
                <w:p w14:paraId="114784B3">
                  <w:pPr>
                    <w:pStyle w:val="94"/>
                    <w:bidi w:val="0"/>
                    <w:rPr>
                      <w:rFonts w:hint="default" w:ascii="Times New Roman" w:hAnsi="Times New Roman" w:cs="Times New Roman"/>
                      <w:color w:val="auto"/>
                      <w:sz w:val="22"/>
                      <w:szCs w:val="22"/>
                      <w:lang w:val="en-US"/>
                    </w:rPr>
                  </w:pPr>
                  <w:r>
                    <w:rPr>
                      <w:rFonts w:hint="default" w:ascii="Times New Roman" w:hAnsi="Times New Roman" w:cs="Times New Roman"/>
                      <w:color w:val="auto"/>
                      <w:sz w:val="22"/>
                      <w:szCs w:val="22"/>
                    </w:rPr>
                    <w:t>COD、BOD</w:t>
                  </w:r>
                  <w:r>
                    <w:rPr>
                      <w:rFonts w:hint="default" w:ascii="Times New Roman" w:hAnsi="Times New Roman" w:cs="Times New Roman"/>
                      <w:color w:val="auto"/>
                      <w:sz w:val="22"/>
                      <w:szCs w:val="22"/>
                      <w:vertAlign w:val="subscript"/>
                    </w:rPr>
                    <w:t>5</w:t>
                  </w:r>
                  <w:r>
                    <w:rPr>
                      <w:rFonts w:hint="default" w:ascii="Times New Roman" w:hAnsi="Times New Roman" w:cs="Times New Roman"/>
                      <w:color w:val="auto"/>
                      <w:sz w:val="22"/>
                      <w:szCs w:val="22"/>
                    </w:rPr>
                    <w:t>、SS、NH</w:t>
                  </w:r>
                  <w:r>
                    <w:rPr>
                      <w:rFonts w:hint="default" w:ascii="Times New Roman" w:hAnsi="Times New Roman" w:cs="Times New Roman"/>
                      <w:color w:val="auto"/>
                      <w:sz w:val="22"/>
                      <w:szCs w:val="22"/>
                      <w:vertAlign w:val="subscript"/>
                    </w:rPr>
                    <w:t>3</w:t>
                  </w:r>
                  <w:r>
                    <w:rPr>
                      <w:rFonts w:hint="default" w:ascii="Times New Roman" w:hAnsi="Times New Roman" w:cs="Times New Roman"/>
                      <w:color w:val="auto"/>
                      <w:sz w:val="22"/>
                      <w:szCs w:val="22"/>
                    </w:rPr>
                    <w:t>-N</w:t>
                  </w:r>
                  <w:r>
                    <w:rPr>
                      <w:rFonts w:hint="default" w:ascii="Times New Roman" w:hAnsi="Times New Roman" w:cs="Times New Roman"/>
                      <w:color w:val="auto"/>
                      <w:sz w:val="22"/>
                      <w:szCs w:val="22"/>
                      <w:lang w:eastAsia="zh-CN"/>
                    </w:rPr>
                    <w:t>、</w:t>
                  </w:r>
                  <w:r>
                    <w:rPr>
                      <w:rFonts w:hint="eastAsia" w:ascii="Times New Roman" w:hAnsi="Times New Roman" w:cs="Times New Roman"/>
                      <w:color w:val="auto"/>
                      <w:sz w:val="22"/>
                      <w:szCs w:val="22"/>
                      <w:lang w:val="en-US" w:eastAsia="zh-CN"/>
                    </w:rPr>
                    <w:t>石油类</w:t>
                  </w:r>
                </w:p>
              </w:tc>
              <w:tc>
                <w:tcPr>
                  <w:tcW w:w="490" w:type="pct"/>
                  <w:vMerge w:val="continue"/>
                  <w:noWrap w:val="0"/>
                  <w:vAlign w:val="center"/>
                </w:tcPr>
                <w:p w14:paraId="34BA1F87">
                  <w:pPr>
                    <w:pStyle w:val="94"/>
                    <w:bidi w:val="0"/>
                    <w:rPr>
                      <w:rFonts w:hint="default" w:ascii="Times New Roman" w:hAnsi="Times New Roman" w:cs="Times New Roman"/>
                      <w:color w:val="auto"/>
                      <w:sz w:val="22"/>
                      <w:szCs w:val="22"/>
                      <w:lang w:val="en-US" w:eastAsia="zh-CN"/>
                    </w:rPr>
                  </w:pPr>
                </w:p>
              </w:tc>
              <w:tc>
                <w:tcPr>
                  <w:tcW w:w="445" w:type="pct"/>
                  <w:vMerge w:val="continue"/>
                  <w:noWrap w:val="0"/>
                  <w:vAlign w:val="center"/>
                </w:tcPr>
                <w:p w14:paraId="358F0BEB">
                  <w:pPr>
                    <w:pStyle w:val="94"/>
                    <w:bidi w:val="0"/>
                    <w:rPr>
                      <w:rFonts w:hint="default" w:ascii="Times New Roman" w:hAnsi="Times New Roman" w:cs="Times New Roman"/>
                      <w:color w:val="000000"/>
                      <w:sz w:val="22"/>
                      <w:szCs w:val="22"/>
                    </w:rPr>
                  </w:pPr>
                </w:p>
              </w:tc>
              <w:tc>
                <w:tcPr>
                  <w:tcW w:w="525" w:type="pct"/>
                  <w:noWrap w:val="0"/>
                  <w:vAlign w:val="center"/>
                </w:tcPr>
                <w:p w14:paraId="3CBF1939">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TW002</w:t>
                  </w:r>
                </w:p>
              </w:tc>
              <w:tc>
                <w:tcPr>
                  <w:tcW w:w="533" w:type="pct"/>
                  <w:noWrap w:val="0"/>
                  <w:vAlign w:val="center"/>
                </w:tcPr>
                <w:p w14:paraId="4C4E5EE0">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隔油沉淀池</w:t>
                  </w:r>
                </w:p>
              </w:tc>
              <w:tc>
                <w:tcPr>
                  <w:tcW w:w="546" w:type="pct"/>
                  <w:noWrap w:val="0"/>
                  <w:vAlign w:val="center"/>
                </w:tcPr>
                <w:p w14:paraId="6A318D0C">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隔油+沉淀</w:t>
                  </w:r>
                </w:p>
              </w:tc>
              <w:tc>
                <w:tcPr>
                  <w:tcW w:w="672" w:type="pct"/>
                  <w:vMerge w:val="continue"/>
                  <w:noWrap w:val="0"/>
                  <w:vAlign w:val="center"/>
                </w:tcPr>
                <w:p w14:paraId="56B37075">
                  <w:pPr>
                    <w:pStyle w:val="94"/>
                    <w:bidi w:val="0"/>
                    <w:rPr>
                      <w:rFonts w:hint="default" w:ascii="Times New Roman" w:hAnsi="Times New Roman" w:cs="Times New Roman"/>
                      <w:color w:val="auto"/>
                      <w:sz w:val="22"/>
                      <w:szCs w:val="22"/>
                    </w:rPr>
                  </w:pPr>
                </w:p>
              </w:tc>
              <w:tc>
                <w:tcPr>
                  <w:tcW w:w="440" w:type="pct"/>
                  <w:vMerge w:val="continue"/>
                  <w:noWrap w:val="0"/>
                  <w:vAlign w:val="center"/>
                </w:tcPr>
                <w:p w14:paraId="1D9A7472">
                  <w:pPr>
                    <w:pStyle w:val="94"/>
                    <w:bidi w:val="0"/>
                    <w:rPr>
                      <w:rFonts w:hint="default" w:ascii="Times New Roman" w:hAnsi="Times New Roman" w:cs="Times New Roman"/>
                      <w:color w:val="auto"/>
                      <w:sz w:val="22"/>
                      <w:szCs w:val="22"/>
                      <w:lang w:val="en-US" w:eastAsia="zh-CN"/>
                    </w:rPr>
                  </w:pPr>
                </w:p>
              </w:tc>
            </w:tr>
          </w:tbl>
          <w:p w14:paraId="6C85EAF3">
            <w:pPr>
              <w:pStyle w:val="93"/>
              <w:bidi w:val="0"/>
              <w:rPr>
                <w:rFonts w:hint="default" w:ascii="Times New Roman" w:hAnsi="Times New Roman" w:cs="Times New Roman"/>
                <w:color w:val="auto"/>
                <w:sz w:val="26"/>
                <w:szCs w:val="26"/>
              </w:rPr>
            </w:pPr>
            <w:r>
              <w:rPr>
                <w:rFonts w:hint="default" w:ascii="Times New Roman" w:hAnsi="Times New Roman" w:eastAsia="宋体" w:cs="Times New Roman"/>
                <w:color w:val="auto"/>
                <w:sz w:val="26"/>
                <w:szCs w:val="26"/>
              </w:rPr>
              <w:t>②</w:t>
            </w:r>
            <w:r>
              <w:rPr>
                <w:rFonts w:hint="default" w:ascii="Times New Roman" w:hAnsi="Times New Roman" w:cs="Times New Roman"/>
                <w:color w:val="auto"/>
                <w:sz w:val="26"/>
                <w:szCs w:val="26"/>
              </w:rPr>
              <w:t>废水间接排放口基本情况见表4</w:t>
            </w:r>
            <w:r>
              <w:rPr>
                <w:rFonts w:hint="default" w:ascii="Times New Roman" w:hAnsi="Times New Roman" w:cs="Times New Roman"/>
                <w:color w:val="auto"/>
                <w:sz w:val="26"/>
                <w:szCs w:val="26"/>
                <w:lang w:val="en-US" w:eastAsia="zh-CN"/>
              </w:rPr>
              <w:t>.2-</w:t>
            </w:r>
            <w:r>
              <w:rPr>
                <w:rFonts w:hint="eastAsia" w:cs="Times New Roman"/>
                <w:color w:val="auto"/>
                <w:sz w:val="26"/>
                <w:szCs w:val="26"/>
                <w:lang w:val="en-US" w:eastAsia="zh-CN"/>
              </w:rPr>
              <w:t>9</w:t>
            </w:r>
            <w:r>
              <w:rPr>
                <w:rFonts w:hint="default" w:ascii="Times New Roman" w:hAnsi="Times New Roman" w:cs="Times New Roman"/>
                <w:color w:val="auto"/>
                <w:sz w:val="26"/>
                <w:szCs w:val="26"/>
              </w:rPr>
              <w:t>。</w:t>
            </w:r>
          </w:p>
          <w:p w14:paraId="0A5C05A7">
            <w:pPr>
              <w:pStyle w:val="69"/>
              <w:keepNext w:val="0"/>
              <w:keepLines w:val="0"/>
              <w:pageBreakBefore w:val="0"/>
              <w:widowControl w:val="0"/>
              <w:kinsoku/>
              <w:wordWrap/>
              <w:overflowPunct/>
              <w:topLinePunct w:val="0"/>
              <w:autoSpaceDE w:val="0"/>
              <w:autoSpaceDN w:val="0"/>
              <w:bidi w:val="0"/>
              <w:adjustRightInd w:val="0"/>
              <w:snapToGrid/>
              <w:spacing w:before="0" w:beforeLines="0"/>
              <w:ind w:firstLine="0" w:firstLineChars="0"/>
              <w:jc w:val="center"/>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2"/>
                <w:szCs w:val="22"/>
              </w:rPr>
              <w:t>表4</w:t>
            </w:r>
            <w:r>
              <w:rPr>
                <w:rFonts w:hint="default" w:ascii="Times New Roman" w:hAnsi="Times New Roman" w:cs="Times New Roman"/>
                <w:b w:val="0"/>
                <w:bCs w:val="0"/>
                <w:color w:val="auto"/>
                <w:sz w:val="22"/>
                <w:szCs w:val="22"/>
                <w:lang w:val="en-US" w:eastAsia="zh-CN"/>
              </w:rPr>
              <w:t>.2-</w:t>
            </w:r>
            <w:r>
              <w:rPr>
                <w:rFonts w:hint="eastAsia" w:cs="Times New Roman"/>
                <w:b w:val="0"/>
                <w:bCs w:val="0"/>
                <w:color w:val="auto"/>
                <w:sz w:val="22"/>
                <w:szCs w:val="22"/>
                <w:lang w:val="en-US" w:eastAsia="zh-CN"/>
              </w:rPr>
              <w:t>9</w:t>
            </w:r>
            <w:r>
              <w:rPr>
                <w:rFonts w:hint="default" w:ascii="Times New Roman" w:hAnsi="Times New Roman" w:cs="Times New Roman"/>
                <w:b w:val="0"/>
                <w:bCs w:val="0"/>
                <w:color w:val="auto"/>
                <w:sz w:val="22"/>
                <w:szCs w:val="22"/>
              </w:rPr>
              <w:t xml:space="preserve">  废水间接排放口基本情况表</w:t>
            </w:r>
          </w:p>
          <w:tbl>
            <w:tblPr>
              <w:tblStyle w:val="17"/>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676"/>
              <w:gridCol w:w="569"/>
              <w:gridCol w:w="725"/>
              <w:gridCol w:w="712"/>
              <w:gridCol w:w="900"/>
              <w:gridCol w:w="675"/>
              <w:gridCol w:w="638"/>
              <w:gridCol w:w="544"/>
              <w:gridCol w:w="450"/>
              <w:gridCol w:w="724"/>
              <w:gridCol w:w="991"/>
            </w:tblGrid>
            <w:tr w14:paraId="192E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33" w:type="pct"/>
                  <w:vMerge w:val="restart"/>
                  <w:noWrap w:val="0"/>
                  <w:vAlign w:val="center"/>
                </w:tcPr>
                <w:p w14:paraId="3A34DA04">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序号</w:t>
                  </w:r>
                </w:p>
              </w:tc>
              <w:tc>
                <w:tcPr>
                  <w:tcW w:w="423" w:type="pct"/>
                  <w:vMerge w:val="restart"/>
                  <w:noWrap w:val="0"/>
                  <w:vAlign w:val="center"/>
                </w:tcPr>
                <w:p w14:paraId="3AC17752">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废水类型</w:t>
                  </w:r>
                </w:p>
              </w:tc>
              <w:tc>
                <w:tcPr>
                  <w:tcW w:w="356" w:type="pct"/>
                  <w:vMerge w:val="restart"/>
                  <w:noWrap w:val="0"/>
                  <w:vAlign w:val="center"/>
                </w:tcPr>
                <w:p w14:paraId="16F23D40">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排放口编号</w:t>
                  </w:r>
                </w:p>
              </w:tc>
              <w:tc>
                <w:tcPr>
                  <w:tcW w:w="900" w:type="pct"/>
                  <w:gridSpan w:val="2"/>
                  <w:noWrap w:val="0"/>
                  <w:vAlign w:val="center"/>
                </w:tcPr>
                <w:p w14:paraId="561EB1F9">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排放口地理坐标</w:t>
                  </w:r>
                </w:p>
              </w:tc>
              <w:tc>
                <w:tcPr>
                  <w:tcW w:w="564" w:type="pct"/>
                  <w:vMerge w:val="restart"/>
                  <w:noWrap w:val="0"/>
                  <w:vAlign w:val="center"/>
                </w:tcPr>
                <w:p w14:paraId="042DDDEA">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废水排放量（</w:t>
                  </w:r>
                  <w:r>
                    <w:rPr>
                      <w:rFonts w:hint="default" w:ascii="Times New Roman" w:hAnsi="Times New Roman" w:cs="Times New Roman"/>
                      <w:color w:val="auto"/>
                      <w:sz w:val="22"/>
                      <w:szCs w:val="22"/>
                      <w:lang w:val="en-US" w:eastAsia="zh-CN"/>
                    </w:rPr>
                    <w:t>万t</w:t>
                  </w:r>
                  <w:r>
                    <w:rPr>
                      <w:rFonts w:hint="default" w:ascii="Times New Roman" w:hAnsi="Times New Roman" w:cs="Times New Roman"/>
                      <w:color w:val="auto"/>
                      <w:sz w:val="22"/>
                      <w:szCs w:val="22"/>
                    </w:rPr>
                    <w:t>/a）</w:t>
                  </w:r>
                </w:p>
              </w:tc>
              <w:tc>
                <w:tcPr>
                  <w:tcW w:w="423" w:type="pct"/>
                  <w:vMerge w:val="restart"/>
                  <w:noWrap w:val="0"/>
                  <w:vAlign w:val="center"/>
                </w:tcPr>
                <w:p w14:paraId="2343B25A">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排放去向</w:t>
                  </w:r>
                </w:p>
              </w:tc>
              <w:tc>
                <w:tcPr>
                  <w:tcW w:w="399" w:type="pct"/>
                  <w:vMerge w:val="restart"/>
                  <w:noWrap w:val="0"/>
                  <w:vAlign w:val="center"/>
                </w:tcPr>
                <w:p w14:paraId="3115F15E">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排放规律</w:t>
                  </w:r>
                </w:p>
              </w:tc>
              <w:tc>
                <w:tcPr>
                  <w:tcW w:w="340" w:type="pct"/>
                  <w:vMerge w:val="restart"/>
                  <w:noWrap w:val="0"/>
                  <w:vAlign w:val="center"/>
                </w:tcPr>
                <w:p w14:paraId="7A149027">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间歇排放时段</w:t>
                  </w:r>
                </w:p>
              </w:tc>
              <w:tc>
                <w:tcPr>
                  <w:tcW w:w="1357" w:type="pct"/>
                  <w:gridSpan w:val="3"/>
                  <w:noWrap w:val="0"/>
                  <w:vAlign w:val="center"/>
                </w:tcPr>
                <w:p w14:paraId="5F528668">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受纳污水处理厂信息</w:t>
                  </w:r>
                </w:p>
              </w:tc>
            </w:tr>
            <w:tr w14:paraId="7B7F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233" w:type="pct"/>
                  <w:vMerge w:val="continue"/>
                  <w:noWrap w:val="0"/>
                  <w:vAlign w:val="center"/>
                </w:tcPr>
                <w:p w14:paraId="3628ECA1">
                  <w:pPr>
                    <w:pStyle w:val="94"/>
                    <w:bidi w:val="0"/>
                    <w:rPr>
                      <w:rFonts w:hint="default" w:ascii="Times New Roman" w:hAnsi="Times New Roman" w:cs="Times New Roman"/>
                      <w:color w:val="auto"/>
                      <w:sz w:val="22"/>
                      <w:szCs w:val="22"/>
                    </w:rPr>
                  </w:pPr>
                </w:p>
              </w:tc>
              <w:tc>
                <w:tcPr>
                  <w:tcW w:w="423" w:type="pct"/>
                  <w:vMerge w:val="continue"/>
                  <w:noWrap w:val="0"/>
                  <w:vAlign w:val="center"/>
                </w:tcPr>
                <w:p w14:paraId="19B9DE60">
                  <w:pPr>
                    <w:pStyle w:val="94"/>
                    <w:bidi w:val="0"/>
                    <w:rPr>
                      <w:rFonts w:hint="default" w:ascii="Times New Roman" w:hAnsi="Times New Roman" w:cs="Times New Roman"/>
                      <w:color w:val="auto"/>
                      <w:sz w:val="22"/>
                      <w:szCs w:val="22"/>
                    </w:rPr>
                  </w:pPr>
                </w:p>
              </w:tc>
              <w:tc>
                <w:tcPr>
                  <w:tcW w:w="356" w:type="pct"/>
                  <w:vMerge w:val="continue"/>
                  <w:noWrap w:val="0"/>
                  <w:vAlign w:val="center"/>
                </w:tcPr>
                <w:p w14:paraId="1E75F238">
                  <w:pPr>
                    <w:pStyle w:val="94"/>
                    <w:bidi w:val="0"/>
                    <w:rPr>
                      <w:rFonts w:hint="default" w:ascii="Times New Roman" w:hAnsi="Times New Roman" w:cs="Times New Roman"/>
                      <w:color w:val="auto"/>
                      <w:sz w:val="22"/>
                      <w:szCs w:val="22"/>
                    </w:rPr>
                  </w:pPr>
                </w:p>
              </w:tc>
              <w:tc>
                <w:tcPr>
                  <w:tcW w:w="454" w:type="pct"/>
                  <w:noWrap w:val="0"/>
                  <w:vAlign w:val="center"/>
                </w:tcPr>
                <w:p w14:paraId="214357B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经度</w:t>
                  </w:r>
                </w:p>
              </w:tc>
              <w:tc>
                <w:tcPr>
                  <w:tcW w:w="446" w:type="pct"/>
                  <w:noWrap w:val="0"/>
                  <w:vAlign w:val="center"/>
                </w:tcPr>
                <w:p w14:paraId="40DC3885">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纬度</w:t>
                  </w:r>
                </w:p>
              </w:tc>
              <w:tc>
                <w:tcPr>
                  <w:tcW w:w="564" w:type="pct"/>
                  <w:vMerge w:val="continue"/>
                  <w:noWrap w:val="0"/>
                  <w:vAlign w:val="center"/>
                </w:tcPr>
                <w:p w14:paraId="75C1ECA0">
                  <w:pPr>
                    <w:pStyle w:val="94"/>
                    <w:bidi w:val="0"/>
                    <w:rPr>
                      <w:rFonts w:hint="default" w:ascii="Times New Roman" w:hAnsi="Times New Roman" w:cs="Times New Roman"/>
                      <w:color w:val="auto"/>
                      <w:sz w:val="22"/>
                      <w:szCs w:val="22"/>
                    </w:rPr>
                  </w:pPr>
                </w:p>
              </w:tc>
              <w:tc>
                <w:tcPr>
                  <w:tcW w:w="423" w:type="pct"/>
                  <w:vMerge w:val="continue"/>
                  <w:noWrap w:val="0"/>
                  <w:vAlign w:val="center"/>
                </w:tcPr>
                <w:p w14:paraId="777A78ED">
                  <w:pPr>
                    <w:pStyle w:val="94"/>
                    <w:bidi w:val="0"/>
                    <w:rPr>
                      <w:rFonts w:hint="default" w:ascii="Times New Roman" w:hAnsi="Times New Roman" w:cs="Times New Roman"/>
                      <w:color w:val="auto"/>
                      <w:sz w:val="22"/>
                      <w:szCs w:val="22"/>
                    </w:rPr>
                  </w:pPr>
                </w:p>
              </w:tc>
              <w:tc>
                <w:tcPr>
                  <w:tcW w:w="399" w:type="pct"/>
                  <w:vMerge w:val="continue"/>
                  <w:noWrap w:val="0"/>
                  <w:vAlign w:val="center"/>
                </w:tcPr>
                <w:p w14:paraId="1EE28495">
                  <w:pPr>
                    <w:pStyle w:val="94"/>
                    <w:bidi w:val="0"/>
                    <w:rPr>
                      <w:rFonts w:hint="default" w:ascii="Times New Roman" w:hAnsi="Times New Roman" w:cs="Times New Roman"/>
                      <w:color w:val="auto"/>
                      <w:sz w:val="22"/>
                      <w:szCs w:val="22"/>
                    </w:rPr>
                  </w:pPr>
                </w:p>
              </w:tc>
              <w:tc>
                <w:tcPr>
                  <w:tcW w:w="340" w:type="pct"/>
                  <w:vMerge w:val="continue"/>
                  <w:noWrap w:val="0"/>
                  <w:vAlign w:val="center"/>
                </w:tcPr>
                <w:p w14:paraId="4F9BA414">
                  <w:pPr>
                    <w:pStyle w:val="94"/>
                    <w:bidi w:val="0"/>
                    <w:rPr>
                      <w:rFonts w:hint="default" w:ascii="Times New Roman" w:hAnsi="Times New Roman" w:cs="Times New Roman"/>
                      <w:color w:val="auto"/>
                      <w:sz w:val="22"/>
                      <w:szCs w:val="22"/>
                    </w:rPr>
                  </w:pPr>
                </w:p>
              </w:tc>
              <w:tc>
                <w:tcPr>
                  <w:tcW w:w="282" w:type="pct"/>
                  <w:noWrap w:val="0"/>
                  <w:vAlign w:val="center"/>
                </w:tcPr>
                <w:p w14:paraId="5674C98E">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名称</w:t>
                  </w:r>
                </w:p>
              </w:tc>
              <w:tc>
                <w:tcPr>
                  <w:tcW w:w="453" w:type="pct"/>
                  <w:noWrap w:val="0"/>
                  <w:vAlign w:val="center"/>
                </w:tcPr>
                <w:p w14:paraId="7DC5AA74">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污染物种类</w:t>
                  </w:r>
                </w:p>
              </w:tc>
              <w:tc>
                <w:tcPr>
                  <w:tcW w:w="621" w:type="pct"/>
                  <w:noWrap w:val="0"/>
                  <w:vAlign w:val="center"/>
                </w:tcPr>
                <w:p w14:paraId="55C4C4C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污染物排放标准限值mg/L</w:t>
                  </w:r>
                </w:p>
              </w:tc>
            </w:tr>
            <w:tr w14:paraId="33C9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3" w:type="pct"/>
                  <w:vMerge w:val="restart"/>
                  <w:noWrap w:val="0"/>
                  <w:vAlign w:val="center"/>
                </w:tcPr>
                <w:p w14:paraId="352311E5">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w:t>
                  </w:r>
                </w:p>
              </w:tc>
              <w:tc>
                <w:tcPr>
                  <w:tcW w:w="423" w:type="pct"/>
                  <w:vMerge w:val="restart"/>
                  <w:noWrap w:val="0"/>
                  <w:vAlign w:val="center"/>
                </w:tcPr>
                <w:p w14:paraId="64DD91B0">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生活污水</w:t>
                  </w:r>
                  <w:r>
                    <w:rPr>
                      <w:rFonts w:hint="eastAsia" w:ascii="Times New Roman" w:hAnsi="Times New Roman" w:cs="Times New Roman"/>
                      <w:color w:val="auto"/>
                      <w:sz w:val="22"/>
                      <w:szCs w:val="22"/>
                      <w:lang w:val="en-US" w:eastAsia="zh-CN"/>
                    </w:rPr>
                    <w:t>、场地冲洗废水</w:t>
                  </w:r>
                  <w:r>
                    <w:rPr>
                      <w:rFonts w:hint="eastAsia" w:cs="Times New Roman"/>
                      <w:color w:val="auto"/>
                      <w:sz w:val="22"/>
                      <w:szCs w:val="22"/>
                      <w:lang w:val="en-US" w:eastAsia="zh-CN"/>
                    </w:rPr>
                    <w:t>、洗车废水</w:t>
                  </w:r>
                </w:p>
              </w:tc>
              <w:tc>
                <w:tcPr>
                  <w:tcW w:w="356" w:type="pct"/>
                  <w:vMerge w:val="restart"/>
                  <w:noWrap w:val="0"/>
                  <w:vAlign w:val="center"/>
                </w:tcPr>
                <w:p w14:paraId="24A8540B">
                  <w:pPr>
                    <w:pStyle w:val="94"/>
                    <w:bidi w:val="0"/>
                    <w:ind w:right="-57" w:rightChars="-27"/>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DW001</w:t>
                  </w:r>
                </w:p>
              </w:tc>
              <w:tc>
                <w:tcPr>
                  <w:tcW w:w="454" w:type="pct"/>
                  <w:vMerge w:val="restart"/>
                  <w:noWrap w:val="0"/>
                  <w:vAlign w:val="center"/>
                </w:tcPr>
                <w:p w14:paraId="30D7B0A4">
                  <w:pPr>
                    <w:pStyle w:val="94"/>
                    <w:bidi w:val="0"/>
                    <w:ind w:right="-86" w:rightChars="-41"/>
                    <w:rPr>
                      <w:rFonts w:hint="default" w:ascii="Times New Roman" w:hAnsi="Times New Roman" w:cs="Times New Roman"/>
                      <w:color w:val="auto"/>
                      <w:sz w:val="22"/>
                      <w:szCs w:val="22"/>
                      <w:lang w:eastAsia="zh-CN"/>
                    </w:rPr>
                  </w:pPr>
                  <w:r>
                    <w:rPr>
                      <w:rFonts w:hint="default" w:ascii="Times New Roman" w:hAnsi="Times New Roman" w:cs="Times New Roman"/>
                      <w:color w:val="auto"/>
                      <w:sz w:val="22"/>
                      <w:szCs w:val="22"/>
                      <w:lang w:val="en-US" w:eastAsia="zh-CN"/>
                    </w:rPr>
                    <w:t>E</w:t>
                  </w:r>
                  <w:r>
                    <w:rPr>
                      <w:rFonts w:hint="default" w:ascii="Times New Roman" w:hAnsi="Times New Roman" w:cs="Times New Roman"/>
                      <w:color w:val="auto"/>
                      <w:sz w:val="22"/>
                      <w:szCs w:val="22"/>
                      <w:lang w:eastAsia="zh-CN"/>
                    </w:rPr>
                    <w:t>106°</w:t>
                  </w:r>
                  <w:r>
                    <w:rPr>
                      <w:rFonts w:hint="eastAsia" w:ascii="Times New Roman" w:hAnsi="Times New Roman" w:cs="Times New Roman"/>
                      <w:color w:val="auto"/>
                      <w:sz w:val="22"/>
                      <w:szCs w:val="22"/>
                      <w:lang w:val="en-US" w:eastAsia="zh-CN"/>
                    </w:rPr>
                    <w:t>26</w:t>
                  </w:r>
                  <w:r>
                    <w:rPr>
                      <w:rFonts w:hint="default" w:ascii="Times New Roman" w:hAnsi="Times New Roman" w:cs="Times New Roman"/>
                      <w:color w:val="auto"/>
                      <w:sz w:val="22"/>
                      <w:szCs w:val="22"/>
                      <w:lang w:eastAsia="zh-CN"/>
                    </w:rPr>
                    <w:t>′</w:t>
                  </w:r>
                  <w:r>
                    <w:rPr>
                      <w:rFonts w:hint="eastAsia" w:ascii="Times New Roman" w:hAnsi="Times New Roman" w:cs="Times New Roman"/>
                      <w:color w:val="auto"/>
                      <w:sz w:val="22"/>
                      <w:szCs w:val="22"/>
                      <w:lang w:val="en-US" w:eastAsia="zh-CN"/>
                    </w:rPr>
                    <w:t>7.035</w:t>
                  </w:r>
                  <w:r>
                    <w:rPr>
                      <w:rFonts w:hint="default" w:ascii="Times New Roman" w:hAnsi="Times New Roman" w:cs="Times New Roman"/>
                      <w:color w:val="auto"/>
                      <w:sz w:val="22"/>
                      <w:szCs w:val="22"/>
                      <w:lang w:eastAsia="zh-CN"/>
                    </w:rPr>
                    <w:t>″</w:t>
                  </w:r>
                </w:p>
              </w:tc>
              <w:tc>
                <w:tcPr>
                  <w:tcW w:w="446" w:type="pct"/>
                  <w:vMerge w:val="restart"/>
                  <w:noWrap w:val="0"/>
                  <w:vAlign w:val="center"/>
                </w:tcPr>
                <w:p w14:paraId="166ABBD5">
                  <w:pPr>
                    <w:pStyle w:val="94"/>
                    <w:bidi w:val="0"/>
                    <w:ind w:right="-86" w:rightChars="-41"/>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N</w:t>
                  </w:r>
                  <w:r>
                    <w:rPr>
                      <w:rFonts w:hint="default" w:ascii="Times New Roman" w:hAnsi="Times New Roman" w:cs="Times New Roman"/>
                      <w:color w:val="auto"/>
                      <w:sz w:val="22"/>
                      <w:szCs w:val="22"/>
                      <w:lang w:eastAsia="zh-CN"/>
                    </w:rPr>
                    <w:t>29°</w:t>
                  </w:r>
                  <w:r>
                    <w:rPr>
                      <w:rFonts w:hint="eastAsia" w:ascii="Times New Roman" w:hAnsi="Times New Roman" w:cs="Times New Roman"/>
                      <w:color w:val="auto"/>
                      <w:sz w:val="22"/>
                      <w:szCs w:val="22"/>
                      <w:lang w:val="en-US" w:eastAsia="zh-CN"/>
                    </w:rPr>
                    <w:t>25</w:t>
                  </w:r>
                  <w:r>
                    <w:rPr>
                      <w:rFonts w:hint="default" w:ascii="Times New Roman" w:hAnsi="Times New Roman" w:cs="Times New Roman"/>
                      <w:color w:val="auto"/>
                      <w:sz w:val="22"/>
                      <w:szCs w:val="22"/>
                      <w:lang w:eastAsia="zh-CN"/>
                    </w:rPr>
                    <w:t>′</w:t>
                  </w:r>
                  <w:r>
                    <w:rPr>
                      <w:rFonts w:hint="eastAsia" w:ascii="Times New Roman" w:hAnsi="Times New Roman" w:cs="Times New Roman"/>
                      <w:color w:val="auto"/>
                      <w:sz w:val="22"/>
                      <w:szCs w:val="22"/>
                      <w:lang w:val="en-US" w:eastAsia="zh-CN"/>
                    </w:rPr>
                    <w:t>15.879</w:t>
                  </w:r>
                  <w:r>
                    <w:rPr>
                      <w:rFonts w:hint="default" w:ascii="Times New Roman" w:hAnsi="Times New Roman" w:cs="Times New Roman"/>
                      <w:color w:val="auto"/>
                      <w:sz w:val="22"/>
                      <w:szCs w:val="22"/>
                      <w:lang w:eastAsia="zh-CN"/>
                    </w:rPr>
                    <w:t>″</w:t>
                  </w:r>
                </w:p>
              </w:tc>
              <w:tc>
                <w:tcPr>
                  <w:tcW w:w="564" w:type="pct"/>
                  <w:vMerge w:val="restart"/>
                  <w:noWrap w:val="0"/>
                  <w:vAlign w:val="center"/>
                </w:tcPr>
                <w:p w14:paraId="1C86D75F">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0.</w:t>
                  </w:r>
                  <w:r>
                    <w:rPr>
                      <w:rFonts w:hint="eastAsia" w:cs="Times New Roman"/>
                      <w:color w:val="auto"/>
                      <w:sz w:val="22"/>
                      <w:szCs w:val="22"/>
                      <w:lang w:val="en-US" w:eastAsia="zh-CN"/>
                    </w:rPr>
                    <w:t>119</w:t>
                  </w:r>
                </w:p>
              </w:tc>
              <w:tc>
                <w:tcPr>
                  <w:tcW w:w="423" w:type="pct"/>
                  <w:vMerge w:val="restart"/>
                  <w:noWrap w:val="0"/>
                  <w:vAlign w:val="center"/>
                </w:tcPr>
                <w:p w14:paraId="20118483">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大九污水处理厂</w:t>
                  </w:r>
                </w:p>
              </w:tc>
              <w:tc>
                <w:tcPr>
                  <w:tcW w:w="399" w:type="pct"/>
                  <w:vMerge w:val="restart"/>
                  <w:noWrap w:val="0"/>
                  <w:vAlign w:val="center"/>
                </w:tcPr>
                <w:p w14:paraId="70AC5605">
                  <w:pPr>
                    <w:spacing w:beforeLines="0" w:afterLines="0"/>
                    <w:jc w:val="left"/>
                    <w:rPr>
                      <w:rFonts w:hint="default" w:ascii="Times New Roman" w:hAnsi="Times New Roman" w:cs="Times New Roman"/>
                      <w:color w:val="auto"/>
                      <w:sz w:val="22"/>
                      <w:szCs w:val="22"/>
                      <w:lang w:val="en-US"/>
                    </w:rPr>
                  </w:pPr>
                  <w:r>
                    <w:rPr>
                      <w:rFonts w:hint="default" w:ascii="Times New Roman" w:hAnsi="Times New Roman" w:cs="Times New Roman"/>
                      <w:color w:val="000000"/>
                      <w:sz w:val="22"/>
                      <w:szCs w:val="22"/>
                    </w:rPr>
                    <w:t>流量不稳定无规律</w:t>
                  </w:r>
                  <w:r>
                    <w:rPr>
                      <w:rFonts w:hint="default" w:ascii="Times New Roman" w:hAnsi="Times New Roman" w:cs="Times New Roman"/>
                      <w:color w:val="000000"/>
                      <w:sz w:val="22"/>
                      <w:szCs w:val="22"/>
                      <w:lang w:eastAsia="zh-CN"/>
                    </w:rPr>
                    <w:t>，</w:t>
                  </w:r>
                  <w:r>
                    <w:rPr>
                      <w:rFonts w:hint="default" w:ascii="Times New Roman" w:hAnsi="Times New Roman" w:cs="Times New Roman"/>
                      <w:color w:val="auto"/>
                      <w:sz w:val="22"/>
                      <w:szCs w:val="22"/>
                      <w:lang w:val="en-US" w:eastAsia="zh-CN"/>
                    </w:rPr>
                    <w:t>间接排放</w:t>
                  </w:r>
                </w:p>
              </w:tc>
              <w:tc>
                <w:tcPr>
                  <w:tcW w:w="340" w:type="pct"/>
                  <w:vMerge w:val="restart"/>
                  <w:noWrap w:val="0"/>
                  <w:vAlign w:val="center"/>
                </w:tcPr>
                <w:p w14:paraId="589D0B3B">
                  <w:pPr>
                    <w:pStyle w:val="94"/>
                    <w:bidi w:val="0"/>
                    <w:rPr>
                      <w:rFonts w:hint="default" w:ascii="Times New Roman" w:hAnsi="Times New Roman" w:eastAsia="宋体" w:cs="Times New Roman"/>
                      <w:color w:val="auto"/>
                      <w:sz w:val="22"/>
                      <w:szCs w:val="22"/>
                      <w:lang w:eastAsia="zh-CN"/>
                    </w:rPr>
                  </w:pPr>
                  <w:r>
                    <w:rPr>
                      <w:rFonts w:hint="default" w:ascii="Times New Roman" w:hAnsi="Times New Roman" w:cs="Times New Roman"/>
                      <w:color w:val="auto"/>
                      <w:sz w:val="22"/>
                      <w:szCs w:val="22"/>
                      <w:lang w:val="en-US" w:eastAsia="zh-CN"/>
                    </w:rPr>
                    <w:t>/</w:t>
                  </w:r>
                </w:p>
              </w:tc>
              <w:tc>
                <w:tcPr>
                  <w:tcW w:w="282" w:type="pct"/>
                  <w:vMerge w:val="restart"/>
                  <w:noWrap w:val="0"/>
                  <w:vAlign w:val="center"/>
                </w:tcPr>
                <w:p w14:paraId="16C4E7D8">
                  <w:pPr>
                    <w:pStyle w:val="94"/>
                    <w:bidi w:val="0"/>
                    <w:rPr>
                      <w:rFonts w:hint="default" w:ascii="Times New Roman" w:hAnsi="Times New Roman" w:cs="Times New Roman"/>
                      <w:color w:val="auto"/>
                      <w:sz w:val="22"/>
                      <w:szCs w:val="22"/>
                      <w:lang w:val="en-US"/>
                    </w:rPr>
                  </w:pPr>
                  <w:r>
                    <w:rPr>
                      <w:rFonts w:hint="eastAsia" w:ascii="Times New Roman" w:hAnsi="Times New Roman" w:cs="Times New Roman"/>
                      <w:color w:val="auto"/>
                      <w:sz w:val="22"/>
                      <w:szCs w:val="22"/>
                      <w:lang w:val="en-US" w:eastAsia="zh-CN"/>
                    </w:rPr>
                    <w:t>大九污水处理厂</w:t>
                  </w:r>
                </w:p>
              </w:tc>
              <w:tc>
                <w:tcPr>
                  <w:tcW w:w="453" w:type="pct"/>
                  <w:noWrap w:val="0"/>
                  <w:vAlign w:val="center"/>
                </w:tcPr>
                <w:p w14:paraId="1EB8E6D2">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pH</w:t>
                  </w:r>
                </w:p>
              </w:tc>
              <w:tc>
                <w:tcPr>
                  <w:tcW w:w="621" w:type="pct"/>
                  <w:noWrap w:val="0"/>
                  <w:vAlign w:val="center"/>
                </w:tcPr>
                <w:p w14:paraId="176B1D2B">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6~9</w:t>
                  </w:r>
                </w:p>
              </w:tc>
            </w:tr>
            <w:tr w14:paraId="29A8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3" w:type="pct"/>
                  <w:vMerge w:val="continue"/>
                  <w:noWrap w:val="0"/>
                  <w:vAlign w:val="center"/>
                </w:tcPr>
                <w:p w14:paraId="6D8502AE">
                  <w:pPr>
                    <w:pStyle w:val="94"/>
                    <w:bidi w:val="0"/>
                    <w:rPr>
                      <w:rFonts w:hint="default" w:ascii="Times New Roman" w:hAnsi="Times New Roman" w:cs="Times New Roman"/>
                      <w:color w:val="auto"/>
                      <w:sz w:val="22"/>
                      <w:szCs w:val="22"/>
                      <w:lang w:val="en-US" w:eastAsia="zh-CN"/>
                    </w:rPr>
                  </w:pPr>
                </w:p>
              </w:tc>
              <w:tc>
                <w:tcPr>
                  <w:tcW w:w="423" w:type="pct"/>
                  <w:vMerge w:val="continue"/>
                  <w:noWrap w:val="0"/>
                  <w:vAlign w:val="center"/>
                </w:tcPr>
                <w:p w14:paraId="19AD0D72">
                  <w:pPr>
                    <w:pStyle w:val="94"/>
                    <w:bidi w:val="0"/>
                    <w:rPr>
                      <w:rFonts w:hint="default" w:ascii="Times New Roman" w:hAnsi="Times New Roman" w:cs="Times New Roman"/>
                      <w:color w:val="auto"/>
                      <w:sz w:val="22"/>
                      <w:szCs w:val="22"/>
                      <w:lang w:val="en-US" w:eastAsia="zh-CN"/>
                    </w:rPr>
                  </w:pPr>
                </w:p>
              </w:tc>
              <w:tc>
                <w:tcPr>
                  <w:tcW w:w="356" w:type="pct"/>
                  <w:vMerge w:val="continue"/>
                  <w:noWrap w:val="0"/>
                  <w:vAlign w:val="center"/>
                </w:tcPr>
                <w:p w14:paraId="47A80509">
                  <w:pPr>
                    <w:pStyle w:val="94"/>
                    <w:bidi w:val="0"/>
                    <w:ind w:right="-57" w:rightChars="-27"/>
                    <w:rPr>
                      <w:rFonts w:hint="default" w:ascii="Times New Roman" w:hAnsi="Times New Roman" w:cs="Times New Roman"/>
                      <w:color w:val="auto"/>
                      <w:sz w:val="22"/>
                      <w:szCs w:val="22"/>
                      <w:lang w:val="en-US" w:eastAsia="zh-CN"/>
                    </w:rPr>
                  </w:pPr>
                </w:p>
              </w:tc>
              <w:tc>
                <w:tcPr>
                  <w:tcW w:w="454" w:type="pct"/>
                  <w:vMerge w:val="continue"/>
                  <w:noWrap w:val="0"/>
                  <w:vAlign w:val="center"/>
                </w:tcPr>
                <w:p w14:paraId="1E759044">
                  <w:pPr>
                    <w:pStyle w:val="94"/>
                    <w:bidi w:val="0"/>
                    <w:ind w:right="-86" w:rightChars="-41"/>
                    <w:rPr>
                      <w:rFonts w:hint="default" w:ascii="Times New Roman" w:hAnsi="Times New Roman" w:cs="Times New Roman"/>
                      <w:color w:val="auto"/>
                      <w:sz w:val="22"/>
                      <w:szCs w:val="22"/>
                      <w:lang w:val="en-US" w:eastAsia="zh-CN"/>
                    </w:rPr>
                  </w:pPr>
                </w:p>
              </w:tc>
              <w:tc>
                <w:tcPr>
                  <w:tcW w:w="446" w:type="pct"/>
                  <w:vMerge w:val="continue"/>
                  <w:noWrap w:val="0"/>
                  <w:vAlign w:val="center"/>
                </w:tcPr>
                <w:p w14:paraId="56648AD9">
                  <w:pPr>
                    <w:pStyle w:val="94"/>
                    <w:bidi w:val="0"/>
                    <w:ind w:right="-86" w:rightChars="-41"/>
                    <w:rPr>
                      <w:rFonts w:hint="default" w:ascii="Times New Roman" w:hAnsi="Times New Roman" w:cs="Times New Roman"/>
                      <w:color w:val="auto"/>
                      <w:sz w:val="22"/>
                      <w:szCs w:val="22"/>
                      <w:lang w:val="en-US" w:eastAsia="zh-CN"/>
                    </w:rPr>
                  </w:pPr>
                </w:p>
              </w:tc>
              <w:tc>
                <w:tcPr>
                  <w:tcW w:w="564" w:type="pct"/>
                  <w:vMerge w:val="continue"/>
                  <w:noWrap w:val="0"/>
                  <w:vAlign w:val="center"/>
                </w:tcPr>
                <w:p w14:paraId="125CA171">
                  <w:pPr>
                    <w:pStyle w:val="94"/>
                    <w:bidi w:val="0"/>
                    <w:rPr>
                      <w:rFonts w:hint="default" w:ascii="Times New Roman" w:hAnsi="Times New Roman" w:cs="Times New Roman"/>
                      <w:color w:val="auto"/>
                      <w:sz w:val="22"/>
                      <w:szCs w:val="22"/>
                      <w:lang w:val="en-US" w:eastAsia="zh-CN"/>
                    </w:rPr>
                  </w:pPr>
                </w:p>
              </w:tc>
              <w:tc>
                <w:tcPr>
                  <w:tcW w:w="423" w:type="pct"/>
                  <w:vMerge w:val="continue"/>
                  <w:noWrap w:val="0"/>
                  <w:vAlign w:val="center"/>
                </w:tcPr>
                <w:p w14:paraId="266F2A7D">
                  <w:pPr>
                    <w:pStyle w:val="94"/>
                    <w:bidi w:val="0"/>
                    <w:rPr>
                      <w:rFonts w:hint="default" w:ascii="Times New Roman" w:hAnsi="Times New Roman" w:cs="Times New Roman"/>
                      <w:color w:val="auto"/>
                      <w:sz w:val="22"/>
                      <w:szCs w:val="22"/>
                      <w:lang w:val="en-US" w:eastAsia="zh-CN"/>
                    </w:rPr>
                  </w:pPr>
                </w:p>
              </w:tc>
              <w:tc>
                <w:tcPr>
                  <w:tcW w:w="399" w:type="pct"/>
                  <w:vMerge w:val="continue"/>
                  <w:noWrap w:val="0"/>
                  <w:vAlign w:val="center"/>
                </w:tcPr>
                <w:p w14:paraId="5A7DB0A5">
                  <w:pPr>
                    <w:spacing w:beforeLines="0" w:afterLines="0"/>
                    <w:jc w:val="left"/>
                    <w:rPr>
                      <w:rFonts w:hint="default" w:ascii="Times New Roman" w:hAnsi="Times New Roman" w:eastAsia="宋体" w:cs="Times New Roman"/>
                      <w:color w:val="auto"/>
                      <w:sz w:val="22"/>
                      <w:szCs w:val="28"/>
                    </w:rPr>
                  </w:pPr>
                </w:p>
              </w:tc>
              <w:tc>
                <w:tcPr>
                  <w:tcW w:w="340" w:type="pct"/>
                  <w:vMerge w:val="continue"/>
                  <w:noWrap w:val="0"/>
                  <w:vAlign w:val="center"/>
                </w:tcPr>
                <w:p w14:paraId="1B2D44C3">
                  <w:pPr>
                    <w:pStyle w:val="94"/>
                    <w:bidi w:val="0"/>
                    <w:rPr>
                      <w:rFonts w:hint="default" w:ascii="Times New Roman" w:hAnsi="Times New Roman" w:cs="Times New Roman"/>
                      <w:color w:val="auto"/>
                      <w:sz w:val="22"/>
                      <w:szCs w:val="22"/>
                    </w:rPr>
                  </w:pPr>
                </w:p>
              </w:tc>
              <w:tc>
                <w:tcPr>
                  <w:tcW w:w="282" w:type="pct"/>
                  <w:vMerge w:val="continue"/>
                  <w:noWrap w:val="0"/>
                  <w:vAlign w:val="center"/>
                </w:tcPr>
                <w:p w14:paraId="669A889E">
                  <w:pPr>
                    <w:pStyle w:val="94"/>
                    <w:bidi w:val="0"/>
                    <w:rPr>
                      <w:rFonts w:hint="default" w:ascii="Times New Roman" w:hAnsi="Times New Roman" w:cs="Times New Roman"/>
                      <w:color w:val="auto"/>
                      <w:sz w:val="22"/>
                      <w:szCs w:val="22"/>
                      <w:lang w:val="en-US" w:eastAsia="zh-CN"/>
                    </w:rPr>
                  </w:pPr>
                </w:p>
              </w:tc>
              <w:tc>
                <w:tcPr>
                  <w:tcW w:w="453" w:type="pct"/>
                  <w:noWrap w:val="0"/>
                  <w:vAlign w:val="center"/>
                </w:tcPr>
                <w:p w14:paraId="1250A611">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COD</w:t>
                  </w:r>
                </w:p>
              </w:tc>
              <w:tc>
                <w:tcPr>
                  <w:tcW w:w="621" w:type="pct"/>
                  <w:noWrap w:val="0"/>
                  <w:vAlign w:val="center"/>
                </w:tcPr>
                <w:p w14:paraId="65F0CB89">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sz w:val="22"/>
                      <w:szCs w:val="22"/>
                      <w:lang w:val="en-US" w:eastAsia="zh-CN"/>
                    </w:rPr>
                    <w:t>50</w:t>
                  </w:r>
                </w:p>
              </w:tc>
            </w:tr>
            <w:tr w14:paraId="0B2B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3" w:type="pct"/>
                  <w:vMerge w:val="continue"/>
                  <w:noWrap w:val="0"/>
                  <w:vAlign w:val="center"/>
                </w:tcPr>
                <w:p w14:paraId="25B27988">
                  <w:pPr>
                    <w:pStyle w:val="94"/>
                    <w:bidi w:val="0"/>
                    <w:rPr>
                      <w:rFonts w:hint="default" w:ascii="Times New Roman" w:hAnsi="Times New Roman" w:cs="Times New Roman"/>
                      <w:color w:val="auto"/>
                      <w:sz w:val="22"/>
                      <w:szCs w:val="22"/>
                      <w:lang w:val="en-US" w:eastAsia="zh-CN"/>
                    </w:rPr>
                  </w:pPr>
                </w:p>
              </w:tc>
              <w:tc>
                <w:tcPr>
                  <w:tcW w:w="423" w:type="pct"/>
                  <w:vMerge w:val="continue"/>
                  <w:noWrap w:val="0"/>
                  <w:vAlign w:val="center"/>
                </w:tcPr>
                <w:p w14:paraId="189CFD1F">
                  <w:pPr>
                    <w:pStyle w:val="94"/>
                    <w:bidi w:val="0"/>
                    <w:rPr>
                      <w:rFonts w:hint="default" w:ascii="Times New Roman" w:hAnsi="Times New Roman" w:cs="Times New Roman"/>
                      <w:color w:val="auto"/>
                      <w:sz w:val="22"/>
                      <w:szCs w:val="22"/>
                      <w:lang w:val="en-US" w:eastAsia="zh-CN"/>
                    </w:rPr>
                  </w:pPr>
                </w:p>
              </w:tc>
              <w:tc>
                <w:tcPr>
                  <w:tcW w:w="356" w:type="pct"/>
                  <w:vMerge w:val="continue"/>
                  <w:noWrap w:val="0"/>
                  <w:vAlign w:val="center"/>
                </w:tcPr>
                <w:p w14:paraId="2A8E6626">
                  <w:pPr>
                    <w:pStyle w:val="94"/>
                    <w:bidi w:val="0"/>
                    <w:rPr>
                      <w:rFonts w:hint="default" w:ascii="Times New Roman" w:hAnsi="Times New Roman" w:cs="Times New Roman"/>
                      <w:color w:val="auto"/>
                      <w:sz w:val="22"/>
                      <w:szCs w:val="22"/>
                      <w:lang w:val="en-US" w:eastAsia="zh-CN"/>
                    </w:rPr>
                  </w:pPr>
                </w:p>
              </w:tc>
              <w:tc>
                <w:tcPr>
                  <w:tcW w:w="454" w:type="pct"/>
                  <w:vMerge w:val="continue"/>
                  <w:noWrap w:val="0"/>
                  <w:vAlign w:val="center"/>
                </w:tcPr>
                <w:p w14:paraId="19172B8C">
                  <w:pPr>
                    <w:pStyle w:val="94"/>
                    <w:bidi w:val="0"/>
                    <w:rPr>
                      <w:rFonts w:hint="default" w:ascii="Times New Roman" w:hAnsi="Times New Roman" w:cs="Times New Roman"/>
                      <w:color w:val="auto"/>
                      <w:sz w:val="22"/>
                      <w:szCs w:val="22"/>
                    </w:rPr>
                  </w:pPr>
                </w:p>
              </w:tc>
              <w:tc>
                <w:tcPr>
                  <w:tcW w:w="446" w:type="pct"/>
                  <w:vMerge w:val="continue"/>
                  <w:noWrap w:val="0"/>
                  <w:vAlign w:val="center"/>
                </w:tcPr>
                <w:p w14:paraId="6CDC464B">
                  <w:pPr>
                    <w:pStyle w:val="94"/>
                    <w:bidi w:val="0"/>
                    <w:rPr>
                      <w:rFonts w:hint="default" w:ascii="Times New Roman" w:hAnsi="Times New Roman" w:cs="Times New Roman"/>
                      <w:color w:val="auto"/>
                      <w:sz w:val="22"/>
                      <w:szCs w:val="22"/>
                    </w:rPr>
                  </w:pPr>
                </w:p>
              </w:tc>
              <w:tc>
                <w:tcPr>
                  <w:tcW w:w="564" w:type="pct"/>
                  <w:vMerge w:val="continue"/>
                  <w:noWrap w:val="0"/>
                  <w:vAlign w:val="center"/>
                </w:tcPr>
                <w:p w14:paraId="2A4F7767">
                  <w:pPr>
                    <w:pStyle w:val="94"/>
                    <w:bidi w:val="0"/>
                    <w:rPr>
                      <w:rFonts w:hint="default" w:ascii="Times New Roman" w:hAnsi="Times New Roman" w:cs="Times New Roman"/>
                      <w:color w:val="auto"/>
                      <w:sz w:val="22"/>
                      <w:szCs w:val="22"/>
                    </w:rPr>
                  </w:pPr>
                </w:p>
              </w:tc>
              <w:tc>
                <w:tcPr>
                  <w:tcW w:w="423" w:type="pct"/>
                  <w:vMerge w:val="continue"/>
                  <w:noWrap w:val="0"/>
                  <w:vAlign w:val="center"/>
                </w:tcPr>
                <w:p w14:paraId="6A0B3D19">
                  <w:pPr>
                    <w:pStyle w:val="94"/>
                    <w:bidi w:val="0"/>
                    <w:rPr>
                      <w:rFonts w:hint="default" w:ascii="Times New Roman" w:hAnsi="Times New Roman" w:cs="Times New Roman"/>
                      <w:color w:val="auto"/>
                      <w:sz w:val="22"/>
                      <w:szCs w:val="22"/>
                    </w:rPr>
                  </w:pPr>
                </w:p>
              </w:tc>
              <w:tc>
                <w:tcPr>
                  <w:tcW w:w="399" w:type="pct"/>
                  <w:vMerge w:val="continue"/>
                  <w:noWrap w:val="0"/>
                  <w:vAlign w:val="center"/>
                </w:tcPr>
                <w:p w14:paraId="7F734DAF">
                  <w:pPr>
                    <w:pStyle w:val="94"/>
                    <w:bidi w:val="0"/>
                    <w:rPr>
                      <w:rFonts w:hint="default" w:ascii="Times New Roman" w:hAnsi="Times New Roman" w:cs="Times New Roman"/>
                      <w:color w:val="auto"/>
                      <w:sz w:val="22"/>
                      <w:szCs w:val="22"/>
                    </w:rPr>
                  </w:pPr>
                </w:p>
              </w:tc>
              <w:tc>
                <w:tcPr>
                  <w:tcW w:w="340" w:type="pct"/>
                  <w:vMerge w:val="continue"/>
                  <w:noWrap w:val="0"/>
                  <w:vAlign w:val="center"/>
                </w:tcPr>
                <w:p w14:paraId="019EFD0D">
                  <w:pPr>
                    <w:pStyle w:val="94"/>
                    <w:bidi w:val="0"/>
                    <w:rPr>
                      <w:rFonts w:hint="default" w:ascii="Times New Roman" w:hAnsi="Times New Roman" w:cs="Times New Roman"/>
                      <w:color w:val="auto"/>
                      <w:sz w:val="22"/>
                      <w:szCs w:val="22"/>
                    </w:rPr>
                  </w:pPr>
                </w:p>
              </w:tc>
              <w:tc>
                <w:tcPr>
                  <w:tcW w:w="282" w:type="pct"/>
                  <w:vMerge w:val="continue"/>
                  <w:noWrap w:val="0"/>
                  <w:vAlign w:val="center"/>
                </w:tcPr>
                <w:p w14:paraId="69038200">
                  <w:pPr>
                    <w:pStyle w:val="94"/>
                    <w:bidi w:val="0"/>
                    <w:rPr>
                      <w:rFonts w:hint="default" w:ascii="Times New Roman" w:hAnsi="Times New Roman" w:cs="Times New Roman"/>
                      <w:color w:val="auto"/>
                      <w:sz w:val="22"/>
                      <w:szCs w:val="22"/>
                    </w:rPr>
                  </w:pPr>
                </w:p>
              </w:tc>
              <w:tc>
                <w:tcPr>
                  <w:tcW w:w="453" w:type="pct"/>
                  <w:noWrap w:val="0"/>
                  <w:vAlign w:val="center"/>
                </w:tcPr>
                <w:p w14:paraId="2DC465CF">
                  <w:pPr>
                    <w:pStyle w:val="94"/>
                    <w:bidi w:val="0"/>
                    <w:ind w:right="-84" w:rightChars="-4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BOD</w:t>
                  </w:r>
                  <w:r>
                    <w:rPr>
                      <w:rFonts w:hint="default" w:ascii="Times New Roman" w:hAnsi="Times New Roman" w:cs="Times New Roman"/>
                      <w:color w:val="auto"/>
                      <w:sz w:val="22"/>
                      <w:szCs w:val="22"/>
                      <w:vertAlign w:val="subscript"/>
                    </w:rPr>
                    <w:t>5</w:t>
                  </w:r>
                </w:p>
              </w:tc>
              <w:tc>
                <w:tcPr>
                  <w:tcW w:w="621" w:type="pct"/>
                  <w:noWrap w:val="0"/>
                  <w:vAlign w:val="center"/>
                </w:tcPr>
                <w:p w14:paraId="181F74DA">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r>
            <w:tr w14:paraId="3850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exact"/>
                <w:jc w:val="center"/>
              </w:trPr>
              <w:tc>
                <w:tcPr>
                  <w:tcW w:w="233" w:type="pct"/>
                  <w:vMerge w:val="continue"/>
                  <w:noWrap w:val="0"/>
                  <w:vAlign w:val="center"/>
                </w:tcPr>
                <w:p w14:paraId="5109CE4C">
                  <w:pPr>
                    <w:pStyle w:val="94"/>
                    <w:bidi w:val="0"/>
                    <w:rPr>
                      <w:rFonts w:hint="default" w:ascii="Times New Roman" w:hAnsi="Times New Roman" w:cs="Times New Roman"/>
                      <w:color w:val="auto"/>
                      <w:sz w:val="22"/>
                      <w:szCs w:val="22"/>
                      <w:lang w:val="en-US" w:eastAsia="zh-CN"/>
                    </w:rPr>
                  </w:pPr>
                </w:p>
              </w:tc>
              <w:tc>
                <w:tcPr>
                  <w:tcW w:w="423" w:type="pct"/>
                  <w:vMerge w:val="continue"/>
                  <w:noWrap w:val="0"/>
                  <w:vAlign w:val="center"/>
                </w:tcPr>
                <w:p w14:paraId="688EDE78">
                  <w:pPr>
                    <w:pStyle w:val="94"/>
                    <w:bidi w:val="0"/>
                    <w:rPr>
                      <w:rFonts w:hint="default" w:ascii="Times New Roman" w:hAnsi="Times New Roman" w:cs="Times New Roman"/>
                      <w:color w:val="auto"/>
                      <w:sz w:val="22"/>
                      <w:szCs w:val="22"/>
                      <w:lang w:val="en-US" w:eastAsia="zh-CN"/>
                    </w:rPr>
                  </w:pPr>
                </w:p>
              </w:tc>
              <w:tc>
                <w:tcPr>
                  <w:tcW w:w="356" w:type="pct"/>
                  <w:vMerge w:val="continue"/>
                  <w:noWrap w:val="0"/>
                  <w:vAlign w:val="center"/>
                </w:tcPr>
                <w:p w14:paraId="01430509">
                  <w:pPr>
                    <w:pStyle w:val="94"/>
                    <w:bidi w:val="0"/>
                    <w:rPr>
                      <w:rFonts w:hint="default" w:ascii="Times New Roman" w:hAnsi="Times New Roman" w:cs="Times New Roman"/>
                      <w:color w:val="auto"/>
                      <w:sz w:val="22"/>
                      <w:szCs w:val="22"/>
                      <w:lang w:val="en-US" w:eastAsia="zh-CN"/>
                    </w:rPr>
                  </w:pPr>
                </w:p>
              </w:tc>
              <w:tc>
                <w:tcPr>
                  <w:tcW w:w="454" w:type="pct"/>
                  <w:vMerge w:val="continue"/>
                  <w:noWrap w:val="0"/>
                  <w:vAlign w:val="center"/>
                </w:tcPr>
                <w:p w14:paraId="10C864C4">
                  <w:pPr>
                    <w:pStyle w:val="94"/>
                    <w:bidi w:val="0"/>
                    <w:rPr>
                      <w:rFonts w:hint="default" w:ascii="Times New Roman" w:hAnsi="Times New Roman" w:cs="Times New Roman"/>
                      <w:color w:val="auto"/>
                      <w:sz w:val="22"/>
                      <w:szCs w:val="22"/>
                    </w:rPr>
                  </w:pPr>
                </w:p>
              </w:tc>
              <w:tc>
                <w:tcPr>
                  <w:tcW w:w="446" w:type="pct"/>
                  <w:vMerge w:val="continue"/>
                  <w:noWrap w:val="0"/>
                  <w:vAlign w:val="center"/>
                </w:tcPr>
                <w:p w14:paraId="4931EE3B">
                  <w:pPr>
                    <w:pStyle w:val="94"/>
                    <w:bidi w:val="0"/>
                    <w:rPr>
                      <w:rFonts w:hint="default" w:ascii="Times New Roman" w:hAnsi="Times New Roman" w:cs="Times New Roman"/>
                      <w:color w:val="auto"/>
                      <w:sz w:val="22"/>
                      <w:szCs w:val="22"/>
                    </w:rPr>
                  </w:pPr>
                </w:p>
              </w:tc>
              <w:tc>
                <w:tcPr>
                  <w:tcW w:w="564" w:type="pct"/>
                  <w:vMerge w:val="continue"/>
                  <w:noWrap w:val="0"/>
                  <w:vAlign w:val="center"/>
                </w:tcPr>
                <w:p w14:paraId="6C28CA81">
                  <w:pPr>
                    <w:pStyle w:val="94"/>
                    <w:bidi w:val="0"/>
                    <w:rPr>
                      <w:rFonts w:hint="default" w:ascii="Times New Roman" w:hAnsi="Times New Roman" w:cs="Times New Roman"/>
                      <w:color w:val="auto"/>
                      <w:sz w:val="22"/>
                      <w:szCs w:val="22"/>
                    </w:rPr>
                  </w:pPr>
                </w:p>
              </w:tc>
              <w:tc>
                <w:tcPr>
                  <w:tcW w:w="423" w:type="pct"/>
                  <w:vMerge w:val="continue"/>
                  <w:noWrap w:val="0"/>
                  <w:vAlign w:val="center"/>
                </w:tcPr>
                <w:p w14:paraId="0DB17E80">
                  <w:pPr>
                    <w:pStyle w:val="94"/>
                    <w:bidi w:val="0"/>
                    <w:rPr>
                      <w:rFonts w:hint="default" w:ascii="Times New Roman" w:hAnsi="Times New Roman" w:cs="Times New Roman"/>
                      <w:color w:val="auto"/>
                      <w:sz w:val="22"/>
                      <w:szCs w:val="22"/>
                    </w:rPr>
                  </w:pPr>
                </w:p>
              </w:tc>
              <w:tc>
                <w:tcPr>
                  <w:tcW w:w="399" w:type="pct"/>
                  <w:vMerge w:val="continue"/>
                  <w:noWrap w:val="0"/>
                  <w:vAlign w:val="center"/>
                </w:tcPr>
                <w:p w14:paraId="131D2268">
                  <w:pPr>
                    <w:pStyle w:val="94"/>
                    <w:bidi w:val="0"/>
                    <w:rPr>
                      <w:rFonts w:hint="default" w:ascii="Times New Roman" w:hAnsi="Times New Roman" w:cs="Times New Roman"/>
                      <w:color w:val="auto"/>
                      <w:sz w:val="22"/>
                      <w:szCs w:val="22"/>
                    </w:rPr>
                  </w:pPr>
                </w:p>
              </w:tc>
              <w:tc>
                <w:tcPr>
                  <w:tcW w:w="340" w:type="pct"/>
                  <w:vMerge w:val="continue"/>
                  <w:noWrap w:val="0"/>
                  <w:vAlign w:val="center"/>
                </w:tcPr>
                <w:p w14:paraId="7B277AE0">
                  <w:pPr>
                    <w:pStyle w:val="94"/>
                    <w:bidi w:val="0"/>
                    <w:rPr>
                      <w:rFonts w:hint="default" w:ascii="Times New Roman" w:hAnsi="Times New Roman" w:cs="Times New Roman"/>
                      <w:color w:val="auto"/>
                      <w:sz w:val="22"/>
                      <w:szCs w:val="22"/>
                    </w:rPr>
                  </w:pPr>
                </w:p>
              </w:tc>
              <w:tc>
                <w:tcPr>
                  <w:tcW w:w="282" w:type="pct"/>
                  <w:vMerge w:val="continue"/>
                  <w:noWrap w:val="0"/>
                  <w:vAlign w:val="center"/>
                </w:tcPr>
                <w:p w14:paraId="32D5E4A2">
                  <w:pPr>
                    <w:pStyle w:val="94"/>
                    <w:bidi w:val="0"/>
                    <w:rPr>
                      <w:rFonts w:hint="default" w:ascii="Times New Roman" w:hAnsi="Times New Roman" w:cs="Times New Roman"/>
                      <w:color w:val="auto"/>
                      <w:sz w:val="22"/>
                      <w:szCs w:val="22"/>
                    </w:rPr>
                  </w:pPr>
                </w:p>
              </w:tc>
              <w:tc>
                <w:tcPr>
                  <w:tcW w:w="453" w:type="pct"/>
                  <w:noWrap w:val="0"/>
                  <w:vAlign w:val="center"/>
                </w:tcPr>
                <w:p w14:paraId="3EE73D3A">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SS</w:t>
                  </w:r>
                </w:p>
              </w:tc>
              <w:tc>
                <w:tcPr>
                  <w:tcW w:w="621" w:type="pct"/>
                  <w:noWrap w:val="0"/>
                  <w:vAlign w:val="center"/>
                </w:tcPr>
                <w:p w14:paraId="7B0F4ABD">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r>
            <w:tr w14:paraId="2AB8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233" w:type="pct"/>
                  <w:vMerge w:val="continue"/>
                  <w:noWrap w:val="0"/>
                  <w:vAlign w:val="center"/>
                </w:tcPr>
                <w:p w14:paraId="592C415D">
                  <w:pPr>
                    <w:pStyle w:val="94"/>
                    <w:bidi w:val="0"/>
                    <w:rPr>
                      <w:rFonts w:hint="default" w:ascii="Times New Roman" w:hAnsi="Times New Roman" w:cs="Times New Roman"/>
                      <w:color w:val="auto"/>
                      <w:sz w:val="22"/>
                      <w:szCs w:val="22"/>
                      <w:lang w:val="en-US" w:eastAsia="zh-CN"/>
                    </w:rPr>
                  </w:pPr>
                </w:p>
              </w:tc>
              <w:tc>
                <w:tcPr>
                  <w:tcW w:w="423" w:type="pct"/>
                  <w:vMerge w:val="continue"/>
                  <w:noWrap w:val="0"/>
                  <w:vAlign w:val="center"/>
                </w:tcPr>
                <w:p w14:paraId="453BCB3A">
                  <w:pPr>
                    <w:pStyle w:val="94"/>
                    <w:bidi w:val="0"/>
                    <w:rPr>
                      <w:rFonts w:hint="default" w:ascii="Times New Roman" w:hAnsi="Times New Roman" w:cs="Times New Roman"/>
                      <w:color w:val="auto"/>
                      <w:sz w:val="22"/>
                      <w:szCs w:val="22"/>
                      <w:lang w:val="en-US" w:eastAsia="zh-CN"/>
                    </w:rPr>
                  </w:pPr>
                </w:p>
              </w:tc>
              <w:tc>
                <w:tcPr>
                  <w:tcW w:w="356" w:type="pct"/>
                  <w:vMerge w:val="continue"/>
                  <w:noWrap w:val="0"/>
                  <w:vAlign w:val="center"/>
                </w:tcPr>
                <w:p w14:paraId="6846928C">
                  <w:pPr>
                    <w:pStyle w:val="94"/>
                    <w:bidi w:val="0"/>
                    <w:rPr>
                      <w:rFonts w:hint="default" w:ascii="Times New Roman" w:hAnsi="Times New Roman" w:cs="Times New Roman"/>
                      <w:color w:val="auto"/>
                      <w:sz w:val="22"/>
                      <w:szCs w:val="22"/>
                      <w:lang w:val="en-US" w:eastAsia="zh-CN"/>
                    </w:rPr>
                  </w:pPr>
                </w:p>
              </w:tc>
              <w:tc>
                <w:tcPr>
                  <w:tcW w:w="454" w:type="pct"/>
                  <w:vMerge w:val="continue"/>
                  <w:noWrap w:val="0"/>
                  <w:vAlign w:val="center"/>
                </w:tcPr>
                <w:p w14:paraId="3FEF3730">
                  <w:pPr>
                    <w:pStyle w:val="94"/>
                    <w:bidi w:val="0"/>
                    <w:rPr>
                      <w:rFonts w:hint="default" w:ascii="Times New Roman" w:hAnsi="Times New Roman" w:cs="Times New Roman"/>
                      <w:color w:val="auto"/>
                      <w:sz w:val="22"/>
                      <w:szCs w:val="22"/>
                    </w:rPr>
                  </w:pPr>
                </w:p>
              </w:tc>
              <w:tc>
                <w:tcPr>
                  <w:tcW w:w="446" w:type="pct"/>
                  <w:vMerge w:val="continue"/>
                  <w:noWrap w:val="0"/>
                  <w:vAlign w:val="center"/>
                </w:tcPr>
                <w:p w14:paraId="78978958">
                  <w:pPr>
                    <w:pStyle w:val="94"/>
                    <w:bidi w:val="0"/>
                    <w:rPr>
                      <w:rFonts w:hint="default" w:ascii="Times New Roman" w:hAnsi="Times New Roman" w:cs="Times New Roman"/>
                      <w:color w:val="auto"/>
                      <w:sz w:val="22"/>
                      <w:szCs w:val="22"/>
                    </w:rPr>
                  </w:pPr>
                </w:p>
              </w:tc>
              <w:tc>
                <w:tcPr>
                  <w:tcW w:w="564" w:type="pct"/>
                  <w:vMerge w:val="continue"/>
                  <w:noWrap w:val="0"/>
                  <w:vAlign w:val="center"/>
                </w:tcPr>
                <w:p w14:paraId="41511FFF">
                  <w:pPr>
                    <w:pStyle w:val="94"/>
                    <w:bidi w:val="0"/>
                    <w:rPr>
                      <w:rFonts w:hint="default" w:ascii="Times New Roman" w:hAnsi="Times New Roman" w:cs="Times New Roman"/>
                      <w:color w:val="auto"/>
                      <w:sz w:val="22"/>
                      <w:szCs w:val="22"/>
                    </w:rPr>
                  </w:pPr>
                </w:p>
              </w:tc>
              <w:tc>
                <w:tcPr>
                  <w:tcW w:w="423" w:type="pct"/>
                  <w:vMerge w:val="continue"/>
                  <w:noWrap w:val="0"/>
                  <w:vAlign w:val="center"/>
                </w:tcPr>
                <w:p w14:paraId="7DD66D04">
                  <w:pPr>
                    <w:pStyle w:val="94"/>
                    <w:bidi w:val="0"/>
                    <w:rPr>
                      <w:rFonts w:hint="default" w:ascii="Times New Roman" w:hAnsi="Times New Roman" w:cs="Times New Roman"/>
                      <w:color w:val="auto"/>
                      <w:sz w:val="22"/>
                      <w:szCs w:val="22"/>
                    </w:rPr>
                  </w:pPr>
                </w:p>
              </w:tc>
              <w:tc>
                <w:tcPr>
                  <w:tcW w:w="399" w:type="pct"/>
                  <w:vMerge w:val="continue"/>
                  <w:noWrap w:val="0"/>
                  <w:vAlign w:val="center"/>
                </w:tcPr>
                <w:p w14:paraId="1CE7A769">
                  <w:pPr>
                    <w:pStyle w:val="94"/>
                    <w:bidi w:val="0"/>
                    <w:rPr>
                      <w:rFonts w:hint="default" w:ascii="Times New Roman" w:hAnsi="Times New Roman" w:cs="Times New Roman"/>
                      <w:color w:val="auto"/>
                      <w:sz w:val="22"/>
                      <w:szCs w:val="22"/>
                    </w:rPr>
                  </w:pPr>
                </w:p>
              </w:tc>
              <w:tc>
                <w:tcPr>
                  <w:tcW w:w="340" w:type="pct"/>
                  <w:vMerge w:val="continue"/>
                  <w:noWrap w:val="0"/>
                  <w:vAlign w:val="center"/>
                </w:tcPr>
                <w:p w14:paraId="32CAE6CE">
                  <w:pPr>
                    <w:pStyle w:val="94"/>
                    <w:bidi w:val="0"/>
                    <w:rPr>
                      <w:rFonts w:hint="default" w:ascii="Times New Roman" w:hAnsi="Times New Roman" w:cs="Times New Roman"/>
                      <w:color w:val="auto"/>
                      <w:sz w:val="22"/>
                      <w:szCs w:val="22"/>
                    </w:rPr>
                  </w:pPr>
                </w:p>
              </w:tc>
              <w:tc>
                <w:tcPr>
                  <w:tcW w:w="282" w:type="pct"/>
                  <w:vMerge w:val="continue"/>
                  <w:noWrap w:val="0"/>
                  <w:vAlign w:val="center"/>
                </w:tcPr>
                <w:p w14:paraId="1C6E26EE">
                  <w:pPr>
                    <w:pStyle w:val="94"/>
                    <w:bidi w:val="0"/>
                    <w:rPr>
                      <w:rFonts w:hint="default" w:ascii="Times New Roman" w:hAnsi="Times New Roman" w:cs="Times New Roman"/>
                      <w:color w:val="auto"/>
                      <w:sz w:val="22"/>
                      <w:szCs w:val="22"/>
                    </w:rPr>
                  </w:pPr>
                </w:p>
              </w:tc>
              <w:tc>
                <w:tcPr>
                  <w:tcW w:w="453" w:type="pct"/>
                  <w:noWrap w:val="0"/>
                  <w:vAlign w:val="center"/>
                </w:tcPr>
                <w:p w14:paraId="0FCF57D6">
                  <w:pPr>
                    <w:pStyle w:val="94"/>
                    <w:bidi w:val="0"/>
                    <w:ind w:right="-63" w:rightChars="-30"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NH</w:t>
                  </w:r>
                  <w:r>
                    <w:rPr>
                      <w:rFonts w:hint="default" w:ascii="Times New Roman" w:hAnsi="Times New Roman" w:cs="Times New Roman"/>
                      <w:color w:val="auto"/>
                      <w:sz w:val="22"/>
                      <w:szCs w:val="22"/>
                      <w:vertAlign w:val="subscript"/>
                    </w:rPr>
                    <w:t>3</w:t>
                  </w:r>
                  <w:r>
                    <w:rPr>
                      <w:rFonts w:hint="default" w:ascii="Times New Roman" w:hAnsi="Times New Roman" w:cs="Times New Roman"/>
                      <w:color w:val="auto"/>
                      <w:sz w:val="22"/>
                      <w:szCs w:val="22"/>
                    </w:rPr>
                    <w:t>-N</w:t>
                  </w:r>
                </w:p>
              </w:tc>
              <w:tc>
                <w:tcPr>
                  <w:tcW w:w="621" w:type="pct"/>
                  <w:noWrap w:val="0"/>
                  <w:vAlign w:val="center"/>
                </w:tcPr>
                <w:p w14:paraId="4175EA4E">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sz w:val="22"/>
                      <w:szCs w:val="22"/>
                      <w:lang w:val="en-US" w:eastAsia="zh-CN"/>
                    </w:rPr>
                    <w:t>5</w:t>
                  </w:r>
                </w:p>
              </w:tc>
            </w:tr>
            <w:tr w14:paraId="16C3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33" w:type="pct"/>
                  <w:vMerge w:val="continue"/>
                  <w:noWrap w:val="0"/>
                  <w:vAlign w:val="center"/>
                </w:tcPr>
                <w:p w14:paraId="26BB3B57">
                  <w:pPr>
                    <w:pStyle w:val="94"/>
                    <w:bidi w:val="0"/>
                    <w:rPr>
                      <w:rFonts w:hint="default" w:ascii="Times New Roman" w:hAnsi="Times New Roman" w:cs="Times New Roman"/>
                      <w:color w:val="auto"/>
                      <w:sz w:val="22"/>
                      <w:szCs w:val="22"/>
                      <w:lang w:val="en-US" w:eastAsia="zh-CN"/>
                    </w:rPr>
                  </w:pPr>
                </w:p>
              </w:tc>
              <w:tc>
                <w:tcPr>
                  <w:tcW w:w="423" w:type="pct"/>
                  <w:vMerge w:val="continue"/>
                  <w:noWrap w:val="0"/>
                  <w:vAlign w:val="center"/>
                </w:tcPr>
                <w:p w14:paraId="007AB74F">
                  <w:pPr>
                    <w:pStyle w:val="94"/>
                    <w:bidi w:val="0"/>
                    <w:rPr>
                      <w:rFonts w:hint="default" w:ascii="Times New Roman" w:hAnsi="Times New Roman" w:cs="Times New Roman"/>
                      <w:color w:val="auto"/>
                      <w:sz w:val="22"/>
                      <w:szCs w:val="22"/>
                      <w:lang w:val="en-US" w:eastAsia="zh-CN"/>
                    </w:rPr>
                  </w:pPr>
                </w:p>
              </w:tc>
              <w:tc>
                <w:tcPr>
                  <w:tcW w:w="356" w:type="pct"/>
                  <w:vMerge w:val="continue"/>
                  <w:noWrap w:val="0"/>
                  <w:vAlign w:val="center"/>
                </w:tcPr>
                <w:p w14:paraId="0321B1AC">
                  <w:pPr>
                    <w:pStyle w:val="94"/>
                    <w:bidi w:val="0"/>
                    <w:rPr>
                      <w:rFonts w:hint="default" w:ascii="Times New Roman" w:hAnsi="Times New Roman" w:cs="Times New Roman"/>
                      <w:color w:val="auto"/>
                      <w:sz w:val="22"/>
                      <w:szCs w:val="22"/>
                      <w:lang w:val="en-US" w:eastAsia="zh-CN"/>
                    </w:rPr>
                  </w:pPr>
                </w:p>
              </w:tc>
              <w:tc>
                <w:tcPr>
                  <w:tcW w:w="454" w:type="pct"/>
                  <w:vMerge w:val="continue"/>
                  <w:noWrap w:val="0"/>
                  <w:vAlign w:val="center"/>
                </w:tcPr>
                <w:p w14:paraId="4D9509CD">
                  <w:pPr>
                    <w:pStyle w:val="94"/>
                    <w:bidi w:val="0"/>
                    <w:rPr>
                      <w:rFonts w:hint="default" w:ascii="Times New Roman" w:hAnsi="Times New Roman" w:cs="Times New Roman"/>
                      <w:color w:val="auto"/>
                      <w:sz w:val="22"/>
                      <w:szCs w:val="22"/>
                    </w:rPr>
                  </w:pPr>
                </w:p>
              </w:tc>
              <w:tc>
                <w:tcPr>
                  <w:tcW w:w="446" w:type="pct"/>
                  <w:vMerge w:val="continue"/>
                  <w:noWrap w:val="0"/>
                  <w:vAlign w:val="center"/>
                </w:tcPr>
                <w:p w14:paraId="1EA7A313">
                  <w:pPr>
                    <w:pStyle w:val="94"/>
                    <w:bidi w:val="0"/>
                    <w:rPr>
                      <w:rFonts w:hint="default" w:ascii="Times New Roman" w:hAnsi="Times New Roman" w:cs="Times New Roman"/>
                      <w:color w:val="auto"/>
                      <w:sz w:val="22"/>
                      <w:szCs w:val="22"/>
                    </w:rPr>
                  </w:pPr>
                </w:p>
              </w:tc>
              <w:tc>
                <w:tcPr>
                  <w:tcW w:w="564" w:type="pct"/>
                  <w:vMerge w:val="continue"/>
                  <w:noWrap w:val="0"/>
                  <w:vAlign w:val="center"/>
                </w:tcPr>
                <w:p w14:paraId="04085C74">
                  <w:pPr>
                    <w:pStyle w:val="94"/>
                    <w:bidi w:val="0"/>
                    <w:rPr>
                      <w:rFonts w:hint="default" w:ascii="Times New Roman" w:hAnsi="Times New Roman" w:cs="Times New Roman"/>
                      <w:color w:val="auto"/>
                      <w:sz w:val="22"/>
                      <w:szCs w:val="22"/>
                    </w:rPr>
                  </w:pPr>
                </w:p>
              </w:tc>
              <w:tc>
                <w:tcPr>
                  <w:tcW w:w="423" w:type="pct"/>
                  <w:vMerge w:val="continue"/>
                  <w:noWrap w:val="0"/>
                  <w:vAlign w:val="center"/>
                </w:tcPr>
                <w:p w14:paraId="3D71D768">
                  <w:pPr>
                    <w:pStyle w:val="94"/>
                    <w:bidi w:val="0"/>
                    <w:rPr>
                      <w:rFonts w:hint="default" w:ascii="Times New Roman" w:hAnsi="Times New Roman" w:cs="Times New Roman"/>
                      <w:color w:val="auto"/>
                      <w:sz w:val="22"/>
                      <w:szCs w:val="22"/>
                    </w:rPr>
                  </w:pPr>
                </w:p>
              </w:tc>
              <w:tc>
                <w:tcPr>
                  <w:tcW w:w="399" w:type="pct"/>
                  <w:vMerge w:val="continue"/>
                  <w:noWrap w:val="0"/>
                  <w:vAlign w:val="center"/>
                </w:tcPr>
                <w:p w14:paraId="543B34D9">
                  <w:pPr>
                    <w:pStyle w:val="94"/>
                    <w:bidi w:val="0"/>
                    <w:rPr>
                      <w:rFonts w:hint="default" w:ascii="Times New Roman" w:hAnsi="Times New Roman" w:cs="Times New Roman"/>
                      <w:color w:val="auto"/>
                      <w:sz w:val="22"/>
                      <w:szCs w:val="22"/>
                    </w:rPr>
                  </w:pPr>
                </w:p>
              </w:tc>
              <w:tc>
                <w:tcPr>
                  <w:tcW w:w="340" w:type="pct"/>
                  <w:vMerge w:val="continue"/>
                  <w:noWrap w:val="0"/>
                  <w:vAlign w:val="center"/>
                </w:tcPr>
                <w:p w14:paraId="34772D8D">
                  <w:pPr>
                    <w:pStyle w:val="94"/>
                    <w:bidi w:val="0"/>
                    <w:rPr>
                      <w:rFonts w:hint="default" w:ascii="Times New Roman" w:hAnsi="Times New Roman" w:cs="Times New Roman"/>
                      <w:color w:val="auto"/>
                      <w:sz w:val="22"/>
                      <w:szCs w:val="22"/>
                    </w:rPr>
                  </w:pPr>
                </w:p>
              </w:tc>
              <w:tc>
                <w:tcPr>
                  <w:tcW w:w="282" w:type="pct"/>
                  <w:vMerge w:val="continue"/>
                  <w:noWrap w:val="0"/>
                  <w:vAlign w:val="center"/>
                </w:tcPr>
                <w:p w14:paraId="5AA1B559">
                  <w:pPr>
                    <w:pStyle w:val="94"/>
                    <w:bidi w:val="0"/>
                    <w:rPr>
                      <w:rFonts w:hint="default" w:ascii="Times New Roman" w:hAnsi="Times New Roman" w:cs="Times New Roman"/>
                      <w:color w:val="auto"/>
                      <w:sz w:val="22"/>
                      <w:szCs w:val="22"/>
                    </w:rPr>
                  </w:pPr>
                </w:p>
              </w:tc>
              <w:tc>
                <w:tcPr>
                  <w:tcW w:w="453" w:type="pct"/>
                  <w:noWrap w:val="0"/>
                  <w:vAlign w:val="center"/>
                </w:tcPr>
                <w:p w14:paraId="1035745B">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石油类</w:t>
                  </w:r>
                </w:p>
              </w:tc>
              <w:tc>
                <w:tcPr>
                  <w:tcW w:w="621" w:type="pct"/>
                  <w:noWrap w:val="0"/>
                  <w:vAlign w:val="center"/>
                </w:tcPr>
                <w:p w14:paraId="741012E0">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w:t>
                  </w:r>
                </w:p>
              </w:tc>
            </w:tr>
            <w:tr w14:paraId="6091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3" w:type="pct"/>
                  <w:vMerge w:val="continue"/>
                  <w:noWrap w:val="0"/>
                  <w:vAlign w:val="center"/>
                </w:tcPr>
                <w:p w14:paraId="6917D107">
                  <w:pPr>
                    <w:adjustRightInd w:val="0"/>
                    <w:snapToGrid w:val="0"/>
                    <w:jc w:val="center"/>
                  </w:pPr>
                </w:p>
              </w:tc>
              <w:tc>
                <w:tcPr>
                  <w:tcW w:w="423" w:type="pct"/>
                  <w:vMerge w:val="continue"/>
                  <w:noWrap w:val="0"/>
                  <w:vAlign w:val="center"/>
                </w:tcPr>
                <w:p w14:paraId="603E44BD">
                  <w:pPr>
                    <w:adjustRightInd w:val="0"/>
                    <w:snapToGrid w:val="0"/>
                    <w:jc w:val="center"/>
                  </w:pPr>
                </w:p>
              </w:tc>
              <w:tc>
                <w:tcPr>
                  <w:tcW w:w="356" w:type="pct"/>
                  <w:vMerge w:val="continue"/>
                  <w:noWrap w:val="0"/>
                  <w:vAlign w:val="center"/>
                </w:tcPr>
                <w:p w14:paraId="28DEA2EC">
                  <w:pPr>
                    <w:adjustRightInd w:val="0"/>
                    <w:snapToGrid w:val="0"/>
                    <w:jc w:val="center"/>
                  </w:pPr>
                </w:p>
              </w:tc>
              <w:tc>
                <w:tcPr>
                  <w:tcW w:w="454" w:type="pct"/>
                  <w:vMerge w:val="continue"/>
                  <w:noWrap w:val="0"/>
                  <w:vAlign w:val="center"/>
                </w:tcPr>
                <w:p w14:paraId="3DF5AC7E">
                  <w:pPr>
                    <w:adjustRightInd w:val="0"/>
                    <w:snapToGrid w:val="0"/>
                    <w:jc w:val="center"/>
                  </w:pPr>
                </w:p>
              </w:tc>
              <w:tc>
                <w:tcPr>
                  <w:tcW w:w="446" w:type="pct"/>
                  <w:vMerge w:val="continue"/>
                  <w:noWrap w:val="0"/>
                  <w:vAlign w:val="center"/>
                </w:tcPr>
                <w:p w14:paraId="405CAE1E">
                  <w:pPr>
                    <w:adjustRightInd w:val="0"/>
                    <w:snapToGrid w:val="0"/>
                    <w:jc w:val="center"/>
                  </w:pPr>
                </w:p>
              </w:tc>
              <w:tc>
                <w:tcPr>
                  <w:tcW w:w="564" w:type="pct"/>
                  <w:vMerge w:val="continue"/>
                  <w:noWrap w:val="0"/>
                  <w:vAlign w:val="center"/>
                </w:tcPr>
                <w:p w14:paraId="50364B0C">
                  <w:pPr>
                    <w:adjustRightInd w:val="0"/>
                    <w:snapToGrid w:val="0"/>
                    <w:jc w:val="center"/>
                  </w:pPr>
                </w:p>
              </w:tc>
              <w:tc>
                <w:tcPr>
                  <w:tcW w:w="423" w:type="pct"/>
                  <w:vMerge w:val="continue"/>
                  <w:noWrap w:val="0"/>
                  <w:vAlign w:val="center"/>
                </w:tcPr>
                <w:p w14:paraId="2113FE62">
                  <w:pPr>
                    <w:adjustRightInd w:val="0"/>
                    <w:snapToGrid w:val="0"/>
                    <w:jc w:val="center"/>
                  </w:pPr>
                </w:p>
              </w:tc>
              <w:tc>
                <w:tcPr>
                  <w:tcW w:w="399" w:type="pct"/>
                  <w:vMerge w:val="continue"/>
                  <w:noWrap w:val="0"/>
                  <w:vAlign w:val="center"/>
                </w:tcPr>
                <w:p w14:paraId="36E9B4D8">
                  <w:pPr>
                    <w:adjustRightInd w:val="0"/>
                    <w:snapToGrid w:val="0"/>
                    <w:jc w:val="center"/>
                  </w:pPr>
                </w:p>
              </w:tc>
              <w:tc>
                <w:tcPr>
                  <w:tcW w:w="340" w:type="pct"/>
                  <w:vMerge w:val="continue"/>
                  <w:noWrap w:val="0"/>
                  <w:vAlign w:val="center"/>
                </w:tcPr>
                <w:p w14:paraId="75FD74DF">
                  <w:pPr>
                    <w:adjustRightInd w:val="0"/>
                    <w:snapToGrid w:val="0"/>
                    <w:jc w:val="center"/>
                  </w:pPr>
                </w:p>
              </w:tc>
              <w:tc>
                <w:tcPr>
                  <w:tcW w:w="282" w:type="pct"/>
                  <w:vMerge w:val="continue"/>
                  <w:noWrap w:val="0"/>
                  <w:vAlign w:val="center"/>
                </w:tcPr>
                <w:p w14:paraId="166DBBB9">
                  <w:pPr>
                    <w:adjustRightInd w:val="0"/>
                    <w:snapToGrid w:val="0"/>
                    <w:jc w:val="center"/>
                  </w:pPr>
                </w:p>
              </w:tc>
              <w:tc>
                <w:tcPr>
                  <w:tcW w:w="453" w:type="pct"/>
                  <w:noWrap w:val="0"/>
                  <w:vAlign w:val="center"/>
                </w:tcPr>
                <w:p w14:paraId="78174934">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LAS</w:t>
                  </w:r>
                </w:p>
              </w:tc>
              <w:tc>
                <w:tcPr>
                  <w:tcW w:w="621" w:type="pct"/>
                  <w:noWrap w:val="0"/>
                  <w:vAlign w:val="center"/>
                </w:tcPr>
                <w:p w14:paraId="630DE686">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0.5</w:t>
                  </w:r>
                </w:p>
              </w:tc>
            </w:tr>
          </w:tbl>
          <w:p w14:paraId="7422F461">
            <w:pPr>
              <w:pStyle w:val="93"/>
              <w:bidi w:val="0"/>
              <w:rPr>
                <w:rFonts w:hint="default" w:ascii="Times New Roman" w:hAnsi="Times New Roman" w:cs="Times New Roman"/>
                <w:color w:val="auto"/>
                <w:sz w:val="26"/>
                <w:szCs w:val="26"/>
              </w:rPr>
            </w:pPr>
            <w:r>
              <w:rPr>
                <w:rFonts w:hint="default" w:ascii="Times New Roman" w:hAnsi="Times New Roman" w:eastAsia="宋体" w:cs="Times New Roman"/>
                <w:color w:val="auto"/>
                <w:sz w:val="26"/>
                <w:szCs w:val="26"/>
              </w:rPr>
              <w:t>③</w:t>
            </w:r>
            <w:r>
              <w:rPr>
                <w:rFonts w:hint="default" w:ascii="Times New Roman" w:hAnsi="Times New Roman" w:cs="Times New Roman"/>
                <w:color w:val="auto"/>
                <w:sz w:val="26"/>
                <w:szCs w:val="26"/>
              </w:rPr>
              <w:t>废水污染物排放标准见表4</w:t>
            </w:r>
            <w:r>
              <w:rPr>
                <w:rFonts w:hint="default" w:ascii="Times New Roman" w:hAnsi="Times New Roman" w:cs="Times New Roman"/>
                <w:color w:val="auto"/>
                <w:sz w:val="26"/>
                <w:szCs w:val="26"/>
                <w:lang w:val="en-US" w:eastAsia="zh-CN"/>
              </w:rPr>
              <w:t>.2-</w:t>
            </w:r>
            <w:r>
              <w:rPr>
                <w:rFonts w:hint="eastAsia" w:cs="Times New Roman"/>
                <w:color w:val="auto"/>
                <w:sz w:val="26"/>
                <w:szCs w:val="26"/>
                <w:lang w:val="en-US" w:eastAsia="zh-CN"/>
              </w:rPr>
              <w:t>10</w:t>
            </w:r>
            <w:r>
              <w:rPr>
                <w:rFonts w:hint="default" w:ascii="Times New Roman" w:hAnsi="Times New Roman" w:cs="Times New Roman"/>
                <w:color w:val="auto"/>
                <w:sz w:val="26"/>
                <w:szCs w:val="26"/>
              </w:rPr>
              <w:t>。</w:t>
            </w:r>
          </w:p>
          <w:p w14:paraId="54E870C9">
            <w:pPr>
              <w:pStyle w:val="69"/>
              <w:keepNext w:val="0"/>
              <w:keepLines w:val="0"/>
              <w:pageBreakBefore w:val="0"/>
              <w:widowControl w:val="0"/>
              <w:kinsoku/>
              <w:wordWrap/>
              <w:overflowPunct/>
              <w:topLinePunct w:val="0"/>
              <w:autoSpaceDE w:val="0"/>
              <w:autoSpaceDN w:val="0"/>
              <w:bidi w:val="0"/>
              <w:adjustRightInd w:val="0"/>
              <w:snapToGrid/>
              <w:spacing w:before="0" w:beforeLines="0"/>
              <w:ind w:firstLine="0" w:firstLineChars="0"/>
              <w:jc w:val="center"/>
              <w:textAlignment w:val="auto"/>
              <w:rPr>
                <w:rFonts w:hint="default" w:ascii="Times New Roman" w:hAnsi="Times New Roman" w:cs="Times New Roman"/>
                <w:color w:val="auto"/>
                <w:sz w:val="26"/>
                <w:szCs w:val="26"/>
              </w:rPr>
            </w:pPr>
            <w:r>
              <w:rPr>
                <w:rFonts w:hint="default" w:ascii="Times New Roman" w:hAnsi="Times New Roman" w:cs="Times New Roman"/>
                <w:b w:val="0"/>
                <w:bCs w:val="0"/>
                <w:color w:val="auto"/>
                <w:sz w:val="22"/>
                <w:szCs w:val="22"/>
              </w:rPr>
              <w:t>表4</w:t>
            </w:r>
            <w:r>
              <w:rPr>
                <w:rFonts w:hint="default" w:ascii="Times New Roman" w:hAnsi="Times New Roman" w:cs="Times New Roman"/>
                <w:b w:val="0"/>
                <w:bCs w:val="0"/>
                <w:color w:val="auto"/>
                <w:sz w:val="22"/>
                <w:szCs w:val="22"/>
                <w:lang w:val="en-US" w:eastAsia="zh-CN"/>
              </w:rPr>
              <w:t>.2-</w:t>
            </w:r>
            <w:r>
              <w:rPr>
                <w:rFonts w:hint="eastAsia" w:cs="Times New Roman"/>
                <w:b w:val="0"/>
                <w:bCs w:val="0"/>
                <w:color w:val="auto"/>
                <w:sz w:val="22"/>
                <w:szCs w:val="22"/>
                <w:lang w:val="en-US" w:eastAsia="zh-CN"/>
              </w:rPr>
              <w:t>10</w:t>
            </w:r>
            <w:r>
              <w:rPr>
                <w:rFonts w:hint="default" w:ascii="Times New Roman" w:hAnsi="Times New Roman" w:cs="Times New Roman"/>
                <w:b w:val="0"/>
                <w:bCs w:val="0"/>
                <w:color w:val="auto"/>
                <w:sz w:val="22"/>
                <w:szCs w:val="22"/>
              </w:rPr>
              <w:t xml:space="preserve">  废水污染物排放执行标准表</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30"/>
              <w:gridCol w:w="1389"/>
              <w:gridCol w:w="3203"/>
              <w:gridCol w:w="1215"/>
            </w:tblGrid>
            <w:tr w14:paraId="2D01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81" w:type="pct"/>
                  <w:vMerge w:val="restart"/>
                  <w:noWrap w:val="0"/>
                  <w:vAlign w:val="center"/>
                </w:tcPr>
                <w:p w14:paraId="641941A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序号</w:t>
                  </w:r>
                </w:p>
              </w:tc>
              <w:tc>
                <w:tcPr>
                  <w:tcW w:w="842" w:type="pct"/>
                  <w:vMerge w:val="restart"/>
                  <w:noWrap w:val="0"/>
                  <w:vAlign w:val="center"/>
                </w:tcPr>
                <w:p w14:paraId="40036795">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排放口编号</w:t>
                  </w:r>
                </w:p>
              </w:tc>
              <w:tc>
                <w:tcPr>
                  <w:tcW w:w="879" w:type="pct"/>
                  <w:vMerge w:val="restart"/>
                  <w:noWrap w:val="0"/>
                  <w:vAlign w:val="center"/>
                </w:tcPr>
                <w:p w14:paraId="6B9A6290">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污染物种类</w:t>
                  </w:r>
                </w:p>
              </w:tc>
              <w:tc>
                <w:tcPr>
                  <w:tcW w:w="2796" w:type="pct"/>
                  <w:gridSpan w:val="2"/>
                  <w:noWrap w:val="0"/>
                  <w:vAlign w:val="center"/>
                </w:tcPr>
                <w:p w14:paraId="20D6FB49">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国家或地方污染排放标准及其他按规定商议的排放协议</w:t>
                  </w:r>
                </w:p>
              </w:tc>
            </w:tr>
            <w:tr w14:paraId="61C7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481" w:type="pct"/>
                  <w:vMerge w:val="continue"/>
                  <w:noWrap w:val="0"/>
                  <w:vAlign w:val="center"/>
                </w:tcPr>
                <w:p w14:paraId="18CCE727">
                  <w:pPr>
                    <w:pStyle w:val="94"/>
                    <w:bidi w:val="0"/>
                    <w:rPr>
                      <w:rFonts w:hint="default" w:ascii="Times New Roman" w:hAnsi="Times New Roman" w:cs="Times New Roman"/>
                      <w:color w:val="auto"/>
                      <w:sz w:val="22"/>
                      <w:szCs w:val="22"/>
                    </w:rPr>
                  </w:pPr>
                </w:p>
              </w:tc>
              <w:tc>
                <w:tcPr>
                  <w:tcW w:w="842" w:type="pct"/>
                  <w:vMerge w:val="continue"/>
                  <w:noWrap w:val="0"/>
                  <w:vAlign w:val="center"/>
                </w:tcPr>
                <w:p w14:paraId="252EE4E1">
                  <w:pPr>
                    <w:pStyle w:val="94"/>
                    <w:bidi w:val="0"/>
                    <w:rPr>
                      <w:rFonts w:hint="default" w:ascii="Times New Roman" w:hAnsi="Times New Roman" w:cs="Times New Roman"/>
                      <w:color w:val="auto"/>
                      <w:sz w:val="22"/>
                      <w:szCs w:val="22"/>
                    </w:rPr>
                  </w:pPr>
                </w:p>
              </w:tc>
              <w:tc>
                <w:tcPr>
                  <w:tcW w:w="879" w:type="pct"/>
                  <w:vMerge w:val="continue"/>
                  <w:noWrap w:val="0"/>
                  <w:vAlign w:val="center"/>
                </w:tcPr>
                <w:p w14:paraId="698C2B65">
                  <w:pPr>
                    <w:pStyle w:val="94"/>
                    <w:bidi w:val="0"/>
                    <w:rPr>
                      <w:rFonts w:hint="default" w:ascii="Times New Roman" w:hAnsi="Times New Roman" w:cs="Times New Roman"/>
                      <w:color w:val="auto"/>
                      <w:sz w:val="22"/>
                      <w:szCs w:val="22"/>
                    </w:rPr>
                  </w:pPr>
                </w:p>
              </w:tc>
              <w:tc>
                <w:tcPr>
                  <w:tcW w:w="2027" w:type="pct"/>
                  <w:noWrap w:val="0"/>
                  <w:vAlign w:val="center"/>
                </w:tcPr>
                <w:p w14:paraId="1FADC167">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名称</w:t>
                  </w:r>
                </w:p>
              </w:tc>
              <w:tc>
                <w:tcPr>
                  <w:tcW w:w="768" w:type="pct"/>
                  <w:noWrap w:val="0"/>
                  <w:vAlign w:val="center"/>
                </w:tcPr>
                <w:p w14:paraId="4CDBAD64">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浓度限值</w:t>
                  </w:r>
                </w:p>
              </w:tc>
            </w:tr>
            <w:tr w14:paraId="7EEB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81" w:type="pct"/>
                  <w:vMerge w:val="restart"/>
                  <w:noWrap w:val="0"/>
                  <w:vAlign w:val="center"/>
                </w:tcPr>
                <w:p w14:paraId="02F83EB4">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w:t>
                  </w:r>
                </w:p>
              </w:tc>
              <w:tc>
                <w:tcPr>
                  <w:tcW w:w="842" w:type="pct"/>
                  <w:vMerge w:val="restart"/>
                  <w:noWrap w:val="0"/>
                  <w:vAlign w:val="center"/>
                </w:tcPr>
                <w:p w14:paraId="523F66A0">
                  <w:pPr>
                    <w:pStyle w:val="94"/>
                    <w:bidi w:val="0"/>
                    <w:rPr>
                      <w:rFonts w:hint="default" w:ascii="Times New Roman" w:hAnsi="Times New Roman" w:cs="Times New Roman"/>
                      <w:color w:val="auto"/>
                      <w:sz w:val="22"/>
                      <w:szCs w:val="22"/>
                      <w:lang w:eastAsia="zh-CN"/>
                    </w:rPr>
                  </w:pPr>
                  <w:r>
                    <w:rPr>
                      <w:rFonts w:hint="default" w:ascii="Times New Roman" w:hAnsi="Times New Roman" w:cs="Times New Roman"/>
                      <w:color w:val="auto"/>
                      <w:sz w:val="22"/>
                      <w:szCs w:val="22"/>
                    </w:rPr>
                    <w:t>DW</w:t>
                  </w:r>
                  <w:r>
                    <w:rPr>
                      <w:rFonts w:hint="default" w:ascii="Times New Roman" w:hAnsi="Times New Roman" w:cs="Times New Roman"/>
                      <w:color w:val="auto"/>
                      <w:sz w:val="22"/>
                      <w:szCs w:val="22"/>
                      <w:lang w:val="en-US" w:eastAsia="zh-CN"/>
                    </w:rPr>
                    <w:t>0</w:t>
                  </w:r>
                  <w:r>
                    <w:rPr>
                      <w:rFonts w:hint="default" w:ascii="Times New Roman" w:hAnsi="Times New Roman" w:cs="Times New Roman"/>
                      <w:color w:val="auto"/>
                      <w:sz w:val="22"/>
                      <w:szCs w:val="22"/>
                    </w:rPr>
                    <w:t>0</w:t>
                  </w:r>
                  <w:r>
                    <w:rPr>
                      <w:rFonts w:hint="default" w:ascii="Times New Roman" w:hAnsi="Times New Roman" w:cs="Times New Roman"/>
                      <w:color w:val="auto"/>
                      <w:sz w:val="22"/>
                      <w:szCs w:val="22"/>
                      <w:lang w:val="en-US" w:eastAsia="zh-CN"/>
                    </w:rPr>
                    <w:t>1</w:t>
                  </w:r>
                </w:p>
              </w:tc>
              <w:tc>
                <w:tcPr>
                  <w:tcW w:w="879" w:type="pct"/>
                  <w:noWrap w:val="0"/>
                  <w:vAlign w:val="center"/>
                </w:tcPr>
                <w:p w14:paraId="4C5AA6E3">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COD</w:t>
                  </w:r>
                </w:p>
              </w:tc>
              <w:tc>
                <w:tcPr>
                  <w:tcW w:w="2027" w:type="pct"/>
                  <w:vMerge w:val="restart"/>
                  <w:noWrap w:val="0"/>
                  <w:vAlign w:val="center"/>
                </w:tcPr>
                <w:p w14:paraId="7E9697FD">
                  <w:pPr>
                    <w:pStyle w:val="94"/>
                    <w:bidi w:val="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rPr>
                    <w:t>《污水综合排放标准》（GB8978-1996）三级标准</w:t>
                  </w:r>
                  <w:r>
                    <w:rPr>
                      <w:rFonts w:hint="default" w:ascii="Times New Roman" w:hAnsi="Times New Roman" w:cs="Times New Roman"/>
                      <w:color w:val="auto"/>
                      <w:sz w:val="22"/>
                      <w:szCs w:val="22"/>
                      <w:lang w:val="en-US" w:eastAsia="zh-CN"/>
                    </w:rPr>
                    <w:t>；NH</w:t>
                  </w:r>
                  <w:r>
                    <w:rPr>
                      <w:rFonts w:hint="default" w:ascii="Times New Roman" w:hAnsi="Times New Roman" w:cs="Times New Roman"/>
                      <w:color w:val="auto"/>
                      <w:sz w:val="22"/>
                      <w:szCs w:val="22"/>
                      <w:vertAlign w:val="subscript"/>
                      <w:lang w:val="en-US" w:eastAsia="zh-CN"/>
                    </w:rPr>
                    <w:t>3</w:t>
                  </w:r>
                  <w:r>
                    <w:rPr>
                      <w:rFonts w:hint="default" w:ascii="Times New Roman" w:hAnsi="Times New Roman" w:cs="Times New Roman"/>
                      <w:color w:val="auto"/>
                      <w:sz w:val="22"/>
                      <w:szCs w:val="22"/>
                      <w:lang w:val="en-US" w:eastAsia="zh-CN"/>
                    </w:rPr>
                    <w:t>-N参照执行《污水排入城镇下水道水质标准》(GB/T31962-2015)表1</w:t>
                  </w:r>
                  <w:r>
                    <w:rPr>
                      <w:rFonts w:hint="eastAsia" w:ascii="Times New Roman" w:hAnsi="Times New Roman" w:cs="Times New Roman"/>
                      <w:color w:val="auto"/>
                      <w:sz w:val="22"/>
                      <w:szCs w:val="22"/>
                      <w:lang w:val="en-US" w:eastAsia="zh-CN"/>
                    </w:rPr>
                    <w:t>中</w:t>
                  </w:r>
                  <w:r>
                    <w:rPr>
                      <w:rFonts w:hint="default" w:ascii="Times New Roman" w:hAnsi="Times New Roman" w:cs="Times New Roman"/>
                      <w:color w:val="auto"/>
                      <w:sz w:val="22"/>
                      <w:szCs w:val="22"/>
                      <w:lang w:val="en-US" w:eastAsia="zh-CN"/>
                    </w:rPr>
                    <w:t>B级标准</w:t>
                  </w:r>
                </w:p>
              </w:tc>
              <w:tc>
                <w:tcPr>
                  <w:tcW w:w="768" w:type="pct"/>
                  <w:noWrap w:val="0"/>
                  <w:vAlign w:val="center"/>
                </w:tcPr>
                <w:p w14:paraId="14025D6F">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500</w:t>
                  </w:r>
                </w:p>
              </w:tc>
            </w:tr>
            <w:tr w14:paraId="09B3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81" w:type="pct"/>
                  <w:vMerge w:val="continue"/>
                  <w:noWrap w:val="0"/>
                  <w:vAlign w:val="center"/>
                </w:tcPr>
                <w:p w14:paraId="41C68A5D">
                  <w:pPr>
                    <w:pStyle w:val="94"/>
                    <w:bidi w:val="0"/>
                    <w:rPr>
                      <w:rFonts w:hint="default" w:ascii="Times New Roman" w:hAnsi="Times New Roman" w:cs="Times New Roman"/>
                      <w:color w:val="auto"/>
                      <w:sz w:val="22"/>
                      <w:szCs w:val="22"/>
                    </w:rPr>
                  </w:pPr>
                </w:p>
              </w:tc>
              <w:tc>
                <w:tcPr>
                  <w:tcW w:w="842" w:type="pct"/>
                  <w:vMerge w:val="continue"/>
                  <w:noWrap w:val="0"/>
                  <w:vAlign w:val="center"/>
                </w:tcPr>
                <w:p w14:paraId="0279ABCE">
                  <w:pPr>
                    <w:pStyle w:val="94"/>
                    <w:bidi w:val="0"/>
                    <w:rPr>
                      <w:rFonts w:hint="default" w:ascii="Times New Roman" w:hAnsi="Times New Roman" w:cs="Times New Roman"/>
                      <w:color w:val="auto"/>
                      <w:sz w:val="22"/>
                      <w:szCs w:val="22"/>
                    </w:rPr>
                  </w:pPr>
                </w:p>
              </w:tc>
              <w:tc>
                <w:tcPr>
                  <w:tcW w:w="879" w:type="pct"/>
                  <w:noWrap w:val="0"/>
                  <w:vAlign w:val="center"/>
                </w:tcPr>
                <w:p w14:paraId="4BC54125">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BOD</w:t>
                  </w:r>
                  <w:r>
                    <w:rPr>
                      <w:rFonts w:hint="default" w:ascii="Times New Roman" w:hAnsi="Times New Roman" w:cs="Times New Roman"/>
                      <w:color w:val="auto"/>
                      <w:sz w:val="22"/>
                      <w:szCs w:val="22"/>
                      <w:vertAlign w:val="subscript"/>
                    </w:rPr>
                    <w:t>5</w:t>
                  </w:r>
                </w:p>
              </w:tc>
              <w:tc>
                <w:tcPr>
                  <w:tcW w:w="2027" w:type="pct"/>
                  <w:vMerge w:val="continue"/>
                  <w:noWrap w:val="0"/>
                  <w:vAlign w:val="center"/>
                </w:tcPr>
                <w:p w14:paraId="04359076">
                  <w:pPr>
                    <w:pStyle w:val="94"/>
                    <w:bidi w:val="0"/>
                    <w:rPr>
                      <w:rFonts w:hint="default" w:ascii="Times New Roman" w:hAnsi="Times New Roman" w:cs="Times New Roman"/>
                      <w:color w:val="auto"/>
                      <w:sz w:val="22"/>
                      <w:szCs w:val="22"/>
                    </w:rPr>
                  </w:pPr>
                </w:p>
              </w:tc>
              <w:tc>
                <w:tcPr>
                  <w:tcW w:w="768" w:type="pct"/>
                  <w:noWrap w:val="0"/>
                  <w:vAlign w:val="center"/>
                </w:tcPr>
                <w:p w14:paraId="0204A26E">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300</w:t>
                  </w:r>
                </w:p>
              </w:tc>
            </w:tr>
            <w:tr w14:paraId="79EE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81" w:type="pct"/>
                  <w:vMerge w:val="continue"/>
                  <w:noWrap w:val="0"/>
                  <w:vAlign w:val="center"/>
                </w:tcPr>
                <w:p w14:paraId="285CD5DC">
                  <w:pPr>
                    <w:pStyle w:val="94"/>
                    <w:bidi w:val="0"/>
                    <w:rPr>
                      <w:rFonts w:hint="default" w:ascii="Times New Roman" w:hAnsi="Times New Roman" w:cs="Times New Roman"/>
                      <w:color w:val="auto"/>
                      <w:sz w:val="22"/>
                      <w:szCs w:val="22"/>
                    </w:rPr>
                  </w:pPr>
                </w:p>
              </w:tc>
              <w:tc>
                <w:tcPr>
                  <w:tcW w:w="842" w:type="pct"/>
                  <w:vMerge w:val="continue"/>
                  <w:noWrap w:val="0"/>
                  <w:vAlign w:val="center"/>
                </w:tcPr>
                <w:p w14:paraId="17702E35">
                  <w:pPr>
                    <w:pStyle w:val="94"/>
                    <w:bidi w:val="0"/>
                    <w:rPr>
                      <w:rFonts w:hint="default" w:ascii="Times New Roman" w:hAnsi="Times New Roman" w:cs="Times New Roman"/>
                      <w:color w:val="auto"/>
                      <w:sz w:val="22"/>
                      <w:szCs w:val="22"/>
                    </w:rPr>
                  </w:pPr>
                </w:p>
              </w:tc>
              <w:tc>
                <w:tcPr>
                  <w:tcW w:w="879" w:type="pct"/>
                  <w:noWrap w:val="0"/>
                  <w:vAlign w:val="center"/>
                </w:tcPr>
                <w:p w14:paraId="7433CDA0">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SS</w:t>
                  </w:r>
                </w:p>
              </w:tc>
              <w:tc>
                <w:tcPr>
                  <w:tcW w:w="2027" w:type="pct"/>
                  <w:vMerge w:val="continue"/>
                  <w:noWrap w:val="0"/>
                  <w:vAlign w:val="center"/>
                </w:tcPr>
                <w:p w14:paraId="5F2F6481">
                  <w:pPr>
                    <w:pStyle w:val="94"/>
                    <w:bidi w:val="0"/>
                    <w:rPr>
                      <w:rFonts w:hint="default" w:ascii="Times New Roman" w:hAnsi="Times New Roman" w:cs="Times New Roman"/>
                      <w:color w:val="auto"/>
                      <w:sz w:val="22"/>
                      <w:szCs w:val="22"/>
                    </w:rPr>
                  </w:pPr>
                </w:p>
              </w:tc>
              <w:tc>
                <w:tcPr>
                  <w:tcW w:w="768" w:type="pct"/>
                  <w:noWrap w:val="0"/>
                  <w:vAlign w:val="center"/>
                </w:tcPr>
                <w:p w14:paraId="47B9DC4C">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400</w:t>
                  </w:r>
                </w:p>
              </w:tc>
            </w:tr>
            <w:tr w14:paraId="6B08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81" w:type="pct"/>
                  <w:vMerge w:val="continue"/>
                  <w:noWrap w:val="0"/>
                  <w:vAlign w:val="center"/>
                </w:tcPr>
                <w:p w14:paraId="4AE27179">
                  <w:pPr>
                    <w:pStyle w:val="94"/>
                    <w:bidi w:val="0"/>
                    <w:rPr>
                      <w:rFonts w:hint="default" w:ascii="Times New Roman" w:hAnsi="Times New Roman" w:cs="Times New Roman"/>
                      <w:color w:val="auto"/>
                      <w:sz w:val="22"/>
                      <w:szCs w:val="22"/>
                    </w:rPr>
                  </w:pPr>
                </w:p>
              </w:tc>
              <w:tc>
                <w:tcPr>
                  <w:tcW w:w="842" w:type="pct"/>
                  <w:vMerge w:val="continue"/>
                  <w:noWrap w:val="0"/>
                  <w:vAlign w:val="center"/>
                </w:tcPr>
                <w:p w14:paraId="0F602079">
                  <w:pPr>
                    <w:pStyle w:val="94"/>
                    <w:bidi w:val="0"/>
                    <w:rPr>
                      <w:rFonts w:hint="default" w:ascii="Times New Roman" w:hAnsi="Times New Roman" w:cs="Times New Roman"/>
                      <w:color w:val="auto"/>
                      <w:sz w:val="22"/>
                      <w:szCs w:val="22"/>
                    </w:rPr>
                  </w:pPr>
                </w:p>
              </w:tc>
              <w:tc>
                <w:tcPr>
                  <w:tcW w:w="879" w:type="pct"/>
                  <w:noWrap w:val="0"/>
                  <w:vAlign w:val="center"/>
                </w:tcPr>
                <w:p w14:paraId="64990115">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NH</w:t>
                  </w:r>
                  <w:r>
                    <w:rPr>
                      <w:rFonts w:hint="default" w:ascii="Times New Roman" w:hAnsi="Times New Roman" w:cs="Times New Roman"/>
                      <w:color w:val="auto"/>
                      <w:sz w:val="22"/>
                      <w:szCs w:val="22"/>
                      <w:vertAlign w:val="subscript"/>
                    </w:rPr>
                    <w:t>3</w:t>
                  </w:r>
                  <w:r>
                    <w:rPr>
                      <w:rFonts w:hint="default" w:ascii="Times New Roman" w:hAnsi="Times New Roman" w:cs="Times New Roman"/>
                      <w:color w:val="auto"/>
                      <w:sz w:val="22"/>
                      <w:szCs w:val="22"/>
                    </w:rPr>
                    <w:t>-N</w:t>
                  </w:r>
                </w:p>
              </w:tc>
              <w:tc>
                <w:tcPr>
                  <w:tcW w:w="2027" w:type="pct"/>
                  <w:vMerge w:val="continue"/>
                  <w:noWrap w:val="0"/>
                  <w:vAlign w:val="center"/>
                </w:tcPr>
                <w:p w14:paraId="2499112D">
                  <w:pPr>
                    <w:pStyle w:val="94"/>
                    <w:bidi w:val="0"/>
                    <w:rPr>
                      <w:rFonts w:hint="default" w:ascii="Times New Roman" w:hAnsi="Times New Roman" w:cs="Times New Roman"/>
                      <w:color w:val="auto"/>
                      <w:sz w:val="22"/>
                      <w:szCs w:val="22"/>
                    </w:rPr>
                  </w:pPr>
                </w:p>
              </w:tc>
              <w:tc>
                <w:tcPr>
                  <w:tcW w:w="768" w:type="pct"/>
                  <w:noWrap w:val="0"/>
                  <w:vAlign w:val="center"/>
                </w:tcPr>
                <w:p w14:paraId="0A4D2FEC">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45</w:t>
                  </w:r>
                </w:p>
              </w:tc>
            </w:tr>
            <w:tr w14:paraId="4D43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81" w:type="pct"/>
                  <w:vMerge w:val="continue"/>
                  <w:noWrap w:val="0"/>
                  <w:vAlign w:val="center"/>
                </w:tcPr>
                <w:p w14:paraId="71EB0D67">
                  <w:pPr>
                    <w:pStyle w:val="94"/>
                    <w:bidi w:val="0"/>
                    <w:rPr>
                      <w:rFonts w:hint="default" w:ascii="Times New Roman" w:hAnsi="Times New Roman" w:cs="Times New Roman"/>
                      <w:color w:val="auto"/>
                      <w:sz w:val="22"/>
                      <w:szCs w:val="22"/>
                    </w:rPr>
                  </w:pPr>
                </w:p>
              </w:tc>
              <w:tc>
                <w:tcPr>
                  <w:tcW w:w="842" w:type="pct"/>
                  <w:vMerge w:val="continue"/>
                  <w:noWrap w:val="0"/>
                  <w:vAlign w:val="center"/>
                </w:tcPr>
                <w:p w14:paraId="4F1A3E85">
                  <w:pPr>
                    <w:pStyle w:val="94"/>
                    <w:bidi w:val="0"/>
                    <w:rPr>
                      <w:rFonts w:hint="default" w:ascii="Times New Roman" w:hAnsi="Times New Roman" w:cs="Times New Roman"/>
                      <w:color w:val="auto"/>
                      <w:sz w:val="22"/>
                      <w:szCs w:val="22"/>
                    </w:rPr>
                  </w:pPr>
                </w:p>
              </w:tc>
              <w:tc>
                <w:tcPr>
                  <w:tcW w:w="879" w:type="pct"/>
                  <w:noWrap w:val="0"/>
                  <w:vAlign w:val="center"/>
                </w:tcPr>
                <w:p w14:paraId="06DD0D9D">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LAS</w:t>
                  </w:r>
                </w:p>
              </w:tc>
              <w:tc>
                <w:tcPr>
                  <w:tcW w:w="2027" w:type="pct"/>
                  <w:vMerge w:val="continue"/>
                  <w:noWrap w:val="0"/>
                  <w:vAlign w:val="center"/>
                </w:tcPr>
                <w:p w14:paraId="7FADFD2C">
                  <w:pPr>
                    <w:pStyle w:val="94"/>
                    <w:bidi w:val="0"/>
                    <w:rPr>
                      <w:rFonts w:hint="default" w:ascii="Times New Roman" w:hAnsi="Times New Roman" w:cs="Times New Roman"/>
                      <w:color w:val="auto"/>
                      <w:sz w:val="22"/>
                      <w:szCs w:val="22"/>
                    </w:rPr>
                  </w:pPr>
                </w:p>
              </w:tc>
              <w:tc>
                <w:tcPr>
                  <w:tcW w:w="768" w:type="pct"/>
                  <w:noWrap w:val="0"/>
                  <w:vAlign w:val="center"/>
                </w:tcPr>
                <w:p w14:paraId="6BE18C29">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20</w:t>
                  </w:r>
                </w:p>
              </w:tc>
            </w:tr>
            <w:tr w14:paraId="5FF8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81" w:type="pct"/>
                  <w:vMerge w:val="continue"/>
                  <w:noWrap w:val="0"/>
                  <w:vAlign w:val="center"/>
                </w:tcPr>
                <w:p w14:paraId="3DACE282">
                  <w:pPr>
                    <w:pStyle w:val="94"/>
                    <w:bidi w:val="0"/>
                    <w:rPr>
                      <w:rFonts w:hint="default" w:ascii="Times New Roman" w:hAnsi="Times New Roman" w:cs="Times New Roman"/>
                      <w:color w:val="auto"/>
                      <w:sz w:val="22"/>
                      <w:szCs w:val="22"/>
                    </w:rPr>
                  </w:pPr>
                </w:p>
              </w:tc>
              <w:tc>
                <w:tcPr>
                  <w:tcW w:w="842" w:type="pct"/>
                  <w:vMerge w:val="continue"/>
                  <w:noWrap w:val="0"/>
                  <w:vAlign w:val="center"/>
                </w:tcPr>
                <w:p w14:paraId="2B89C235">
                  <w:pPr>
                    <w:pStyle w:val="94"/>
                    <w:bidi w:val="0"/>
                    <w:rPr>
                      <w:rFonts w:hint="default" w:ascii="Times New Roman" w:hAnsi="Times New Roman" w:cs="Times New Roman"/>
                      <w:color w:val="auto"/>
                      <w:sz w:val="22"/>
                      <w:szCs w:val="22"/>
                    </w:rPr>
                  </w:pPr>
                </w:p>
              </w:tc>
              <w:tc>
                <w:tcPr>
                  <w:tcW w:w="879" w:type="pct"/>
                  <w:noWrap w:val="0"/>
                  <w:vAlign w:val="center"/>
                </w:tcPr>
                <w:p w14:paraId="3293922C">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石油类</w:t>
                  </w:r>
                </w:p>
              </w:tc>
              <w:tc>
                <w:tcPr>
                  <w:tcW w:w="2027" w:type="pct"/>
                  <w:vMerge w:val="continue"/>
                  <w:noWrap w:val="0"/>
                  <w:vAlign w:val="center"/>
                </w:tcPr>
                <w:p w14:paraId="02F25EDD">
                  <w:pPr>
                    <w:pStyle w:val="94"/>
                    <w:bidi w:val="0"/>
                    <w:rPr>
                      <w:rFonts w:hint="default" w:ascii="Times New Roman" w:hAnsi="Times New Roman" w:cs="Times New Roman"/>
                      <w:color w:val="auto"/>
                      <w:sz w:val="22"/>
                      <w:szCs w:val="22"/>
                    </w:rPr>
                  </w:pPr>
                </w:p>
              </w:tc>
              <w:tc>
                <w:tcPr>
                  <w:tcW w:w="768" w:type="pct"/>
                  <w:noWrap w:val="0"/>
                  <w:vAlign w:val="center"/>
                </w:tcPr>
                <w:p w14:paraId="6881ADE3">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20</w:t>
                  </w:r>
                </w:p>
              </w:tc>
            </w:tr>
          </w:tbl>
          <w:p w14:paraId="52AAC4AE">
            <w:pPr>
              <w:pStyle w:val="93"/>
              <w:bidi w:val="0"/>
              <w:rPr>
                <w:rFonts w:hint="default" w:ascii="Times New Roman" w:hAnsi="Times New Roman" w:cs="Times New Roman"/>
                <w:color w:val="auto"/>
                <w:sz w:val="26"/>
                <w:szCs w:val="26"/>
              </w:rPr>
            </w:pPr>
            <w:r>
              <w:rPr>
                <w:rFonts w:hint="default" w:ascii="Times New Roman" w:hAnsi="Times New Roman" w:eastAsia="宋体" w:cs="Times New Roman"/>
                <w:color w:val="auto"/>
                <w:sz w:val="26"/>
                <w:szCs w:val="26"/>
              </w:rPr>
              <w:t>④</w:t>
            </w:r>
            <w:r>
              <w:rPr>
                <w:rFonts w:hint="default" w:ascii="Times New Roman" w:hAnsi="Times New Roman" w:cs="Times New Roman"/>
                <w:color w:val="auto"/>
                <w:sz w:val="26"/>
                <w:szCs w:val="26"/>
              </w:rPr>
              <w:t>废水污染排放信息</w:t>
            </w:r>
          </w:p>
          <w:p w14:paraId="0E61275E">
            <w:pPr>
              <w:pStyle w:val="69"/>
              <w:keepNext w:val="0"/>
              <w:keepLines w:val="0"/>
              <w:pageBreakBefore w:val="0"/>
              <w:widowControl w:val="0"/>
              <w:kinsoku/>
              <w:wordWrap/>
              <w:overflowPunct/>
              <w:topLinePunct w:val="0"/>
              <w:autoSpaceDE w:val="0"/>
              <w:autoSpaceDN w:val="0"/>
              <w:bidi w:val="0"/>
              <w:adjustRightInd w:val="0"/>
              <w:snapToGrid/>
              <w:spacing w:before="0" w:beforeLines="0"/>
              <w:ind w:firstLine="0" w:firstLineChars="0"/>
              <w:jc w:val="center"/>
              <w:textAlignment w:val="auto"/>
              <w:rPr>
                <w:rFonts w:hint="default" w:ascii="Times New Roman" w:hAnsi="Times New Roman" w:cs="Times New Roman"/>
                <w:color w:val="auto"/>
                <w:sz w:val="26"/>
                <w:szCs w:val="26"/>
              </w:rPr>
            </w:pPr>
            <w:r>
              <w:rPr>
                <w:rFonts w:hint="default" w:ascii="Times New Roman" w:hAnsi="Times New Roman" w:cs="Times New Roman"/>
                <w:b w:val="0"/>
                <w:bCs w:val="0"/>
                <w:color w:val="auto"/>
                <w:sz w:val="22"/>
                <w:szCs w:val="22"/>
              </w:rPr>
              <w:t>表4</w:t>
            </w:r>
            <w:r>
              <w:rPr>
                <w:rFonts w:hint="default" w:ascii="Times New Roman" w:hAnsi="Times New Roman" w:cs="Times New Roman"/>
                <w:b w:val="0"/>
                <w:bCs w:val="0"/>
                <w:color w:val="auto"/>
                <w:sz w:val="22"/>
                <w:szCs w:val="22"/>
                <w:lang w:val="en-US" w:eastAsia="zh-CN"/>
              </w:rPr>
              <w:t>.2-</w:t>
            </w:r>
            <w:r>
              <w:rPr>
                <w:rFonts w:hint="eastAsia" w:cs="Times New Roman"/>
                <w:b w:val="0"/>
                <w:bCs w:val="0"/>
                <w:color w:val="auto"/>
                <w:sz w:val="22"/>
                <w:szCs w:val="22"/>
                <w:lang w:val="en-US" w:eastAsia="zh-CN"/>
              </w:rPr>
              <w:t>11</w:t>
            </w:r>
            <w:r>
              <w:rPr>
                <w:rFonts w:hint="default" w:ascii="Times New Roman" w:hAnsi="Times New Roman" w:cs="Times New Roman"/>
                <w:b w:val="0"/>
                <w:bCs w:val="0"/>
                <w:color w:val="auto"/>
                <w:sz w:val="22"/>
                <w:szCs w:val="22"/>
              </w:rPr>
              <w:t xml:space="preserve">  废水污染物排放信息表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86"/>
              <w:gridCol w:w="1744"/>
              <w:gridCol w:w="1240"/>
              <w:gridCol w:w="1651"/>
              <w:gridCol w:w="1230"/>
            </w:tblGrid>
            <w:tr w14:paraId="2529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38" w:type="pct"/>
                  <w:vMerge w:val="restart"/>
                  <w:noWrap w:val="0"/>
                  <w:vAlign w:val="center"/>
                </w:tcPr>
                <w:p w14:paraId="44AB754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排放口编号</w:t>
                  </w:r>
                </w:p>
              </w:tc>
              <w:tc>
                <w:tcPr>
                  <w:tcW w:w="750" w:type="pct"/>
                  <w:vMerge w:val="restart"/>
                  <w:noWrap w:val="0"/>
                  <w:vAlign w:val="center"/>
                </w:tcPr>
                <w:p w14:paraId="47D898F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污染物种类</w:t>
                  </w:r>
                </w:p>
              </w:tc>
              <w:tc>
                <w:tcPr>
                  <w:tcW w:w="1888" w:type="pct"/>
                  <w:gridSpan w:val="2"/>
                  <w:noWrap w:val="0"/>
                  <w:vAlign w:val="center"/>
                </w:tcPr>
                <w:p w14:paraId="6593E2F0">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排入市政管网</w:t>
                  </w:r>
                </w:p>
              </w:tc>
              <w:tc>
                <w:tcPr>
                  <w:tcW w:w="1822" w:type="pct"/>
                  <w:gridSpan w:val="2"/>
                  <w:noWrap w:val="0"/>
                  <w:vAlign w:val="center"/>
                </w:tcPr>
                <w:p w14:paraId="1D3ACABA">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排入外环境</w:t>
                  </w:r>
                </w:p>
              </w:tc>
            </w:tr>
            <w:tr w14:paraId="1083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38" w:type="pct"/>
                  <w:vMerge w:val="continue"/>
                  <w:noWrap w:val="0"/>
                  <w:vAlign w:val="center"/>
                </w:tcPr>
                <w:p w14:paraId="01CC4159">
                  <w:pPr>
                    <w:pStyle w:val="94"/>
                    <w:bidi w:val="0"/>
                    <w:rPr>
                      <w:rFonts w:hint="default" w:ascii="Times New Roman" w:hAnsi="Times New Roman" w:cs="Times New Roman"/>
                      <w:color w:val="auto"/>
                      <w:sz w:val="22"/>
                      <w:szCs w:val="22"/>
                    </w:rPr>
                  </w:pPr>
                </w:p>
              </w:tc>
              <w:tc>
                <w:tcPr>
                  <w:tcW w:w="750" w:type="pct"/>
                  <w:vMerge w:val="continue"/>
                  <w:noWrap w:val="0"/>
                  <w:vAlign w:val="center"/>
                </w:tcPr>
                <w:p w14:paraId="0C77A20D">
                  <w:pPr>
                    <w:pStyle w:val="94"/>
                    <w:bidi w:val="0"/>
                    <w:rPr>
                      <w:rFonts w:hint="default" w:ascii="Times New Roman" w:hAnsi="Times New Roman" w:cs="Times New Roman"/>
                      <w:color w:val="auto"/>
                      <w:sz w:val="22"/>
                      <w:szCs w:val="22"/>
                    </w:rPr>
                  </w:pPr>
                </w:p>
              </w:tc>
              <w:tc>
                <w:tcPr>
                  <w:tcW w:w="1103" w:type="pct"/>
                  <w:noWrap w:val="0"/>
                  <w:vAlign w:val="center"/>
                </w:tcPr>
                <w:p w14:paraId="0EFA9AF1">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排放浓度（mg/L）</w:t>
                  </w:r>
                </w:p>
              </w:tc>
              <w:tc>
                <w:tcPr>
                  <w:tcW w:w="784" w:type="pct"/>
                  <w:noWrap w:val="0"/>
                  <w:vAlign w:val="center"/>
                </w:tcPr>
                <w:p w14:paraId="5ABDE888">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排放量（t/a）</w:t>
                  </w:r>
                </w:p>
              </w:tc>
              <w:tc>
                <w:tcPr>
                  <w:tcW w:w="1044" w:type="pct"/>
                  <w:noWrap w:val="0"/>
                  <w:vAlign w:val="center"/>
                </w:tcPr>
                <w:p w14:paraId="25C0218A">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排放浓度（mg/L）</w:t>
                  </w:r>
                </w:p>
              </w:tc>
              <w:tc>
                <w:tcPr>
                  <w:tcW w:w="778" w:type="pct"/>
                  <w:noWrap w:val="0"/>
                  <w:vAlign w:val="center"/>
                </w:tcPr>
                <w:p w14:paraId="5D59B64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排放量（t/a）</w:t>
                  </w:r>
                </w:p>
              </w:tc>
            </w:tr>
            <w:tr w14:paraId="6D3B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8" w:type="pct"/>
                  <w:vMerge w:val="restart"/>
                  <w:noWrap w:val="0"/>
                  <w:vAlign w:val="center"/>
                </w:tcPr>
                <w:p w14:paraId="2719F08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DW001</w:t>
                  </w:r>
                </w:p>
              </w:tc>
              <w:tc>
                <w:tcPr>
                  <w:tcW w:w="750" w:type="pct"/>
                  <w:noWrap w:val="0"/>
                  <w:vAlign w:val="center"/>
                </w:tcPr>
                <w:p w14:paraId="4B4BAFC6">
                  <w:pPr>
                    <w:widowControl/>
                    <w:adjustRightInd w:val="0"/>
                    <w:snapToGrid w:val="0"/>
                    <w:jc w:val="center"/>
                    <w:rPr>
                      <w:rFonts w:hint="default" w:ascii="Times New Roman" w:hAnsi="Times New Roman" w:cs="Times New Roman"/>
                      <w:color w:val="auto"/>
                      <w:kern w:val="2"/>
                      <w:sz w:val="22"/>
                      <w:szCs w:val="22"/>
                      <w:lang w:val="en-US" w:eastAsia="zh-CN" w:bidi="ar"/>
                    </w:rPr>
                  </w:pPr>
                  <w:r>
                    <w:rPr>
                      <w:rFonts w:hint="default" w:ascii="Times New Roman" w:hAnsi="Times New Roman" w:cs="Times New Roman"/>
                      <w:color w:val="auto"/>
                      <w:sz w:val="22"/>
                      <w:szCs w:val="22"/>
                      <w:lang w:bidi="ar"/>
                    </w:rPr>
                    <w:t>COD</w:t>
                  </w:r>
                </w:p>
              </w:tc>
              <w:tc>
                <w:tcPr>
                  <w:tcW w:w="1103" w:type="pct"/>
                  <w:noWrap w:val="0"/>
                  <w:vAlign w:val="center"/>
                </w:tcPr>
                <w:p w14:paraId="07759FB8">
                  <w:pPr>
                    <w:pStyle w:val="94"/>
                    <w:bidi w:val="0"/>
                    <w:ind w:firstLine="0" w:firstLineChars="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350</w:t>
                  </w:r>
                </w:p>
              </w:tc>
              <w:tc>
                <w:tcPr>
                  <w:tcW w:w="1240" w:type="dxa"/>
                  <w:noWrap w:val="0"/>
                  <w:vAlign w:val="center"/>
                </w:tcPr>
                <w:p w14:paraId="29C4D60C">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0.41</w:t>
                  </w:r>
                  <w:r>
                    <w:rPr>
                      <w:rFonts w:hint="eastAsia" w:cs="Times New Roman"/>
                      <w:i w:val="0"/>
                      <w:iCs w:val="0"/>
                      <w:color w:val="000000"/>
                      <w:kern w:val="0"/>
                      <w:sz w:val="22"/>
                      <w:szCs w:val="22"/>
                      <w:u w:val="none"/>
                      <w:lang w:val="en-US" w:eastAsia="zh-CN" w:bidi="ar"/>
                    </w:rPr>
                    <w:t>7</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044" w:type="pct"/>
                  <w:noWrap w:val="0"/>
                  <w:vAlign w:val="center"/>
                </w:tcPr>
                <w:p w14:paraId="27DA6022">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50</w:t>
                  </w:r>
                </w:p>
              </w:tc>
              <w:tc>
                <w:tcPr>
                  <w:tcW w:w="1230" w:type="dxa"/>
                  <w:noWrap w:val="0"/>
                  <w:vAlign w:val="center"/>
                </w:tcPr>
                <w:p w14:paraId="10CCE9A3">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w:t>
                  </w:r>
                  <w:r>
                    <w:rPr>
                      <w:rFonts w:hint="eastAsia" w:cs="Times New Roman"/>
                      <w:i w:val="0"/>
                      <w:iCs w:val="0"/>
                      <w:color w:val="000000"/>
                      <w:kern w:val="0"/>
                      <w:sz w:val="22"/>
                      <w:szCs w:val="22"/>
                      <w:u w:val="none"/>
                      <w:lang w:val="en-US" w:eastAsia="zh-CN" w:bidi="ar"/>
                    </w:rPr>
                    <w:t>60</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14:paraId="19B7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8" w:type="pct"/>
                  <w:vMerge w:val="continue"/>
                  <w:noWrap w:val="0"/>
                  <w:vAlign w:val="center"/>
                </w:tcPr>
                <w:p w14:paraId="60CBAE5B">
                  <w:pPr>
                    <w:pStyle w:val="94"/>
                    <w:bidi w:val="0"/>
                    <w:rPr>
                      <w:rFonts w:hint="default" w:ascii="Times New Roman" w:hAnsi="Times New Roman" w:cs="Times New Roman"/>
                      <w:color w:val="auto"/>
                      <w:sz w:val="22"/>
                      <w:szCs w:val="22"/>
                    </w:rPr>
                  </w:pPr>
                </w:p>
              </w:tc>
              <w:tc>
                <w:tcPr>
                  <w:tcW w:w="750" w:type="pct"/>
                  <w:noWrap w:val="0"/>
                  <w:vAlign w:val="center"/>
                </w:tcPr>
                <w:p w14:paraId="1232EADF">
                  <w:pPr>
                    <w:adjustRightInd w:val="0"/>
                    <w:snapToGrid w:val="0"/>
                    <w:jc w:val="center"/>
                    <w:rPr>
                      <w:rFonts w:hint="default" w:ascii="Times New Roman" w:hAnsi="Times New Roman" w:cs="Times New Roman"/>
                      <w:color w:val="auto"/>
                      <w:kern w:val="2"/>
                      <w:sz w:val="22"/>
                      <w:szCs w:val="22"/>
                      <w:lang w:val="en-US" w:eastAsia="zh-CN" w:bidi="ar"/>
                    </w:rPr>
                  </w:pPr>
                  <w:r>
                    <w:rPr>
                      <w:rFonts w:hint="default" w:ascii="Times New Roman" w:hAnsi="Times New Roman" w:cs="Times New Roman"/>
                      <w:color w:val="auto"/>
                      <w:sz w:val="22"/>
                      <w:szCs w:val="22"/>
                      <w:lang w:bidi="ar"/>
                    </w:rPr>
                    <w:t>BOD</w:t>
                  </w:r>
                  <w:r>
                    <w:rPr>
                      <w:rFonts w:hint="default" w:ascii="Times New Roman" w:hAnsi="Times New Roman" w:cs="Times New Roman"/>
                      <w:color w:val="auto"/>
                      <w:sz w:val="22"/>
                      <w:szCs w:val="22"/>
                      <w:vertAlign w:val="subscript"/>
                      <w:lang w:bidi="ar"/>
                    </w:rPr>
                    <w:t>5</w:t>
                  </w:r>
                </w:p>
              </w:tc>
              <w:tc>
                <w:tcPr>
                  <w:tcW w:w="1103" w:type="pct"/>
                  <w:noWrap w:val="0"/>
                  <w:vAlign w:val="center"/>
                </w:tcPr>
                <w:p w14:paraId="1205DB8C">
                  <w:pPr>
                    <w:pStyle w:val="94"/>
                    <w:bidi w:val="0"/>
                    <w:ind w:firstLine="0" w:firstLineChars="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150</w:t>
                  </w:r>
                </w:p>
              </w:tc>
              <w:tc>
                <w:tcPr>
                  <w:tcW w:w="1240" w:type="dxa"/>
                  <w:noWrap w:val="0"/>
                  <w:vAlign w:val="center"/>
                </w:tcPr>
                <w:p w14:paraId="5AEF7906">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0.17</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044" w:type="pct"/>
                  <w:noWrap w:val="0"/>
                  <w:vAlign w:val="center"/>
                </w:tcPr>
                <w:p w14:paraId="2F68938E">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c>
                <w:tcPr>
                  <w:tcW w:w="1230" w:type="dxa"/>
                  <w:noWrap w:val="0"/>
                  <w:vAlign w:val="center"/>
                </w:tcPr>
                <w:p w14:paraId="0181E70D">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0.012 </w:t>
                  </w:r>
                </w:p>
              </w:tc>
            </w:tr>
            <w:tr w14:paraId="0BB0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8" w:type="pct"/>
                  <w:vMerge w:val="continue"/>
                  <w:noWrap w:val="0"/>
                  <w:vAlign w:val="center"/>
                </w:tcPr>
                <w:p w14:paraId="7442DB40">
                  <w:pPr>
                    <w:pStyle w:val="94"/>
                    <w:bidi w:val="0"/>
                    <w:rPr>
                      <w:rFonts w:hint="default" w:ascii="Times New Roman" w:hAnsi="Times New Roman" w:cs="Times New Roman"/>
                      <w:color w:val="auto"/>
                      <w:sz w:val="22"/>
                      <w:szCs w:val="22"/>
                    </w:rPr>
                  </w:pPr>
                </w:p>
              </w:tc>
              <w:tc>
                <w:tcPr>
                  <w:tcW w:w="750" w:type="pct"/>
                  <w:noWrap w:val="0"/>
                  <w:vAlign w:val="center"/>
                </w:tcPr>
                <w:p w14:paraId="78360508">
                  <w:pPr>
                    <w:adjustRightInd w:val="0"/>
                    <w:snapToGrid w:val="0"/>
                    <w:jc w:val="center"/>
                    <w:rPr>
                      <w:rFonts w:hint="default" w:ascii="Times New Roman" w:hAnsi="Times New Roman" w:cs="Times New Roman"/>
                      <w:color w:val="auto"/>
                      <w:kern w:val="2"/>
                      <w:sz w:val="22"/>
                      <w:szCs w:val="22"/>
                      <w:lang w:val="en-US" w:eastAsia="zh-CN" w:bidi="ar"/>
                    </w:rPr>
                  </w:pPr>
                  <w:r>
                    <w:rPr>
                      <w:rFonts w:hint="default" w:ascii="Times New Roman" w:hAnsi="Times New Roman" w:cs="Times New Roman"/>
                      <w:color w:val="auto"/>
                      <w:sz w:val="22"/>
                      <w:szCs w:val="22"/>
                      <w:lang w:bidi="ar"/>
                    </w:rPr>
                    <w:t>SS</w:t>
                  </w:r>
                </w:p>
              </w:tc>
              <w:tc>
                <w:tcPr>
                  <w:tcW w:w="1103" w:type="pct"/>
                  <w:noWrap w:val="0"/>
                  <w:vAlign w:val="center"/>
                </w:tcPr>
                <w:p w14:paraId="40C79AAF">
                  <w:pPr>
                    <w:pStyle w:val="94"/>
                    <w:bidi w:val="0"/>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200</w:t>
                  </w:r>
                </w:p>
              </w:tc>
              <w:tc>
                <w:tcPr>
                  <w:tcW w:w="1240" w:type="dxa"/>
                  <w:noWrap w:val="0"/>
                  <w:vAlign w:val="center"/>
                </w:tcPr>
                <w:p w14:paraId="7740FCB2">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w:t>
                  </w:r>
                  <w:r>
                    <w:rPr>
                      <w:rFonts w:hint="eastAsia" w:cs="Times New Roman"/>
                      <w:i w:val="0"/>
                      <w:iCs w:val="0"/>
                      <w:color w:val="000000"/>
                      <w:kern w:val="0"/>
                      <w:sz w:val="22"/>
                      <w:szCs w:val="22"/>
                      <w:u w:val="none"/>
                      <w:lang w:val="en-US" w:eastAsia="zh-CN" w:bidi="ar"/>
                    </w:rPr>
                    <w:t>38</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044" w:type="pct"/>
                  <w:noWrap w:val="0"/>
                  <w:vAlign w:val="center"/>
                </w:tcPr>
                <w:p w14:paraId="3FB00C1F">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c>
                <w:tcPr>
                  <w:tcW w:w="1230" w:type="dxa"/>
                  <w:noWrap w:val="0"/>
                  <w:vAlign w:val="center"/>
                </w:tcPr>
                <w:p w14:paraId="19B4F8F4">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0.012 </w:t>
                  </w:r>
                </w:p>
              </w:tc>
            </w:tr>
            <w:tr w14:paraId="5F7E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8" w:type="pct"/>
                  <w:vMerge w:val="continue"/>
                  <w:noWrap w:val="0"/>
                  <w:vAlign w:val="center"/>
                </w:tcPr>
                <w:p w14:paraId="7164BD15">
                  <w:pPr>
                    <w:pStyle w:val="94"/>
                    <w:bidi w:val="0"/>
                    <w:rPr>
                      <w:rFonts w:hint="default" w:ascii="Times New Roman" w:hAnsi="Times New Roman" w:cs="Times New Roman"/>
                      <w:color w:val="auto"/>
                      <w:sz w:val="22"/>
                      <w:szCs w:val="22"/>
                    </w:rPr>
                  </w:pPr>
                </w:p>
              </w:tc>
              <w:tc>
                <w:tcPr>
                  <w:tcW w:w="750" w:type="pct"/>
                  <w:noWrap w:val="0"/>
                  <w:vAlign w:val="center"/>
                </w:tcPr>
                <w:p w14:paraId="348DD7CB">
                  <w:pPr>
                    <w:adjustRightInd w:val="0"/>
                    <w:snapToGrid w:val="0"/>
                    <w:jc w:val="center"/>
                    <w:rPr>
                      <w:rFonts w:hint="default" w:ascii="Times New Roman" w:hAnsi="Times New Roman" w:cs="Times New Roman"/>
                      <w:color w:val="auto"/>
                      <w:kern w:val="2"/>
                      <w:sz w:val="22"/>
                      <w:szCs w:val="22"/>
                      <w:lang w:val="en-US" w:eastAsia="zh-CN" w:bidi="ar"/>
                    </w:rPr>
                  </w:pPr>
                  <w:r>
                    <w:rPr>
                      <w:rFonts w:hint="default" w:ascii="Times New Roman" w:hAnsi="Times New Roman" w:cs="Times New Roman"/>
                      <w:color w:val="auto"/>
                      <w:sz w:val="22"/>
                      <w:szCs w:val="22"/>
                      <w:lang w:bidi="ar"/>
                    </w:rPr>
                    <w:t>NH</w:t>
                  </w:r>
                  <w:r>
                    <w:rPr>
                      <w:rFonts w:hint="default" w:ascii="Times New Roman" w:hAnsi="Times New Roman" w:cs="Times New Roman"/>
                      <w:color w:val="auto"/>
                      <w:sz w:val="22"/>
                      <w:szCs w:val="22"/>
                      <w:vertAlign w:val="subscript"/>
                      <w:lang w:bidi="ar"/>
                    </w:rPr>
                    <w:t>3</w:t>
                  </w:r>
                  <w:r>
                    <w:rPr>
                      <w:rFonts w:hint="default" w:ascii="Times New Roman" w:hAnsi="Times New Roman" w:cs="Times New Roman"/>
                      <w:color w:val="auto"/>
                      <w:sz w:val="22"/>
                      <w:szCs w:val="22"/>
                      <w:lang w:bidi="ar"/>
                    </w:rPr>
                    <w:t>-N</w:t>
                  </w:r>
                </w:p>
              </w:tc>
              <w:tc>
                <w:tcPr>
                  <w:tcW w:w="1103" w:type="pct"/>
                  <w:noWrap w:val="0"/>
                  <w:vAlign w:val="center"/>
                </w:tcPr>
                <w:p w14:paraId="270A8773">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30</w:t>
                  </w:r>
                </w:p>
              </w:tc>
              <w:tc>
                <w:tcPr>
                  <w:tcW w:w="1240" w:type="dxa"/>
                  <w:noWrap w:val="0"/>
                  <w:vAlign w:val="center"/>
                </w:tcPr>
                <w:p w14:paraId="3A0E70C8">
                  <w:pPr>
                    <w:keepNext w:val="0"/>
                    <w:keepLines w:val="0"/>
                    <w:widowControl/>
                    <w:suppressLineNumbers w:val="0"/>
                    <w:jc w:val="center"/>
                    <w:textAlignment w:val="center"/>
                    <w:rPr>
                      <w:rFonts w:hint="default" w:ascii="Times New Roman" w:hAnsi="Times New Roman" w:cs="Times New Roman"/>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0.03</w:t>
                  </w:r>
                  <w:r>
                    <w:rPr>
                      <w:rFonts w:hint="eastAsia" w:cs="Times New Roman"/>
                      <w:i w:val="0"/>
                      <w:iCs w:val="0"/>
                      <w:color w:val="000000"/>
                      <w:kern w:val="0"/>
                      <w:sz w:val="22"/>
                      <w:szCs w:val="22"/>
                      <w:u w:val="none"/>
                      <w:lang w:val="en-US" w:eastAsia="zh-CN" w:bidi="ar"/>
                    </w:rPr>
                    <w:t>6</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044" w:type="pct"/>
                  <w:noWrap w:val="0"/>
                  <w:vAlign w:val="center"/>
                </w:tcPr>
                <w:p w14:paraId="5C9F2C14">
                  <w:pPr>
                    <w:pStyle w:val="94"/>
                    <w:bidi w:val="0"/>
                    <w:ind w:firstLine="0" w:firstLineChars="0"/>
                    <w:rPr>
                      <w:rFonts w:hint="default" w:ascii="Times New Roman" w:hAnsi="Times New Roman" w:cs="Times New Roman"/>
                      <w:color w:val="auto"/>
                      <w:kern w:val="2"/>
                      <w:sz w:val="22"/>
                      <w:szCs w:val="22"/>
                      <w:lang w:val="en-US" w:eastAsia="zh-CN" w:bidi="ar-SA"/>
                    </w:rPr>
                  </w:pPr>
                  <w:r>
                    <w:rPr>
                      <w:rFonts w:hint="eastAsia" w:ascii="Times New Roman" w:hAnsi="Times New Roman" w:cs="Times New Roman"/>
                      <w:color w:val="auto"/>
                      <w:sz w:val="22"/>
                      <w:szCs w:val="22"/>
                      <w:lang w:val="en-US" w:eastAsia="zh-CN"/>
                    </w:rPr>
                    <w:t>5</w:t>
                  </w:r>
                </w:p>
              </w:tc>
              <w:tc>
                <w:tcPr>
                  <w:tcW w:w="1230" w:type="dxa"/>
                  <w:noWrap w:val="0"/>
                  <w:vAlign w:val="center"/>
                </w:tcPr>
                <w:p w14:paraId="5EE1599C">
                  <w:pPr>
                    <w:keepNext w:val="0"/>
                    <w:keepLines w:val="0"/>
                    <w:widowControl/>
                    <w:suppressLineNumbers w:val="0"/>
                    <w:jc w:val="center"/>
                    <w:textAlignment w:val="center"/>
                    <w:rPr>
                      <w:rFonts w:hint="default" w:ascii="Times New Roman" w:hAnsi="Times New Roman" w:cs="Times New Roman"/>
                      <w:color w:val="auto"/>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 xml:space="preserve">0.006 </w:t>
                  </w:r>
                </w:p>
              </w:tc>
            </w:tr>
            <w:tr w14:paraId="266F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8" w:type="pct"/>
                  <w:vMerge w:val="continue"/>
                  <w:noWrap w:val="0"/>
                  <w:vAlign w:val="center"/>
                </w:tcPr>
                <w:p w14:paraId="29C53006">
                  <w:pPr>
                    <w:pStyle w:val="94"/>
                    <w:bidi w:val="0"/>
                    <w:rPr>
                      <w:rFonts w:hint="default" w:ascii="Times New Roman" w:hAnsi="Times New Roman" w:cs="Times New Roman"/>
                      <w:color w:val="auto"/>
                      <w:sz w:val="22"/>
                      <w:szCs w:val="22"/>
                    </w:rPr>
                  </w:pPr>
                </w:p>
              </w:tc>
              <w:tc>
                <w:tcPr>
                  <w:tcW w:w="750" w:type="pct"/>
                  <w:noWrap w:val="0"/>
                  <w:vAlign w:val="center"/>
                </w:tcPr>
                <w:p w14:paraId="402D9D05">
                  <w:pPr>
                    <w:keepNext w:val="0"/>
                    <w:keepLines w:val="0"/>
                    <w:widowControl/>
                    <w:suppressLineNumbers w:val="0"/>
                    <w:jc w:val="center"/>
                    <w:textAlignment w:val="center"/>
                    <w:rPr>
                      <w:rFonts w:hint="eastAsia" w:ascii="Times New Roman" w:hAnsi="Times New Roman" w:eastAsia="宋体" w:cs="Times New Roman"/>
                      <w:color w:val="auto"/>
                      <w:sz w:val="22"/>
                      <w:szCs w:val="22"/>
                      <w:lang w:val="en-US" w:eastAsia="zh-CN" w:bidi="ar"/>
                    </w:rPr>
                  </w:pPr>
                  <w:r>
                    <w:rPr>
                      <w:rFonts w:hint="eastAsia" w:ascii="Times New Roman" w:hAnsi="Times New Roman" w:cs="Times New Roman"/>
                      <w:color w:val="auto"/>
                      <w:sz w:val="22"/>
                      <w:szCs w:val="22"/>
                      <w:lang w:val="en-US" w:eastAsia="zh-CN" w:bidi="ar"/>
                    </w:rPr>
                    <w:t>石油类</w:t>
                  </w:r>
                </w:p>
              </w:tc>
              <w:tc>
                <w:tcPr>
                  <w:tcW w:w="1103" w:type="pct"/>
                  <w:noWrap w:val="0"/>
                  <w:vAlign w:val="center"/>
                </w:tcPr>
                <w:p w14:paraId="260D9F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7</w:t>
                  </w:r>
                </w:p>
              </w:tc>
              <w:tc>
                <w:tcPr>
                  <w:tcW w:w="1240" w:type="dxa"/>
                  <w:noWrap w:val="0"/>
                  <w:vAlign w:val="center"/>
                </w:tcPr>
                <w:p w14:paraId="40C256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0.008 </w:t>
                  </w:r>
                </w:p>
              </w:tc>
              <w:tc>
                <w:tcPr>
                  <w:tcW w:w="1044" w:type="pct"/>
                  <w:noWrap w:val="0"/>
                  <w:vAlign w:val="center"/>
                </w:tcPr>
                <w:p w14:paraId="72F207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1230" w:type="dxa"/>
                  <w:noWrap w:val="0"/>
                  <w:vAlign w:val="center"/>
                </w:tcPr>
                <w:p w14:paraId="685D74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0.001 </w:t>
                  </w:r>
                </w:p>
              </w:tc>
            </w:tr>
            <w:tr w14:paraId="5A16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restart"/>
                  <w:noWrap w:val="0"/>
                  <w:vAlign w:val="center"/>
                </w:tcPr>
                <w:p w14:paraId="4CF2B68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全厂排放口合计</w:t>
                  </w:r>
                </w:p>
              </w:tc>
              <w:tc>
                <w:tcPr>
                  <w:tcW w:w="750" w:type="pct"/>
                  <w:noWrap w:val="0"/>
                  <w:vAlign w:val="center"/>
                </w:tcPr>
                <w:p w14:paraId="5149BA2A">
                  <w:pPr>
                    <w:widowControl/>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COD</w:t>
                  </w:r>
                </w:p>
              </w:tc>
              <w:tc>
                <w:tcPr>
                  <w:tcW w:w="2984" w:type="dxa"/>
                  <w:gridSpan w:val="2"/>
                  <w:noWrap w:val="0"/>
                  <w:vAlign w:val="center"/>
                </w:tcPr>
                <w:p w14:paraId="3BB2ECCF">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0.4</w:t>
                  </w:r>
                  <w:r>
                    <w:rPr>
                      <w:rFonts w:hint="eastAsia" w:cs="Times New Roman"/>
                      <w:i w:val="0"/>
                      <w:iCs w:val="0"/>
                      <w:color w:val="000000"/>
                      <w:kern w:val="0"/>
                      <w:sz w:val="22"/>
                      <w:szCs w:val="22"/>
                      <w:u w:val="none"/>
                      <w:lang w:val="en-US" w:eastAsia="zh-CN" w:bidi="ar"/>
                    </w:rPr>
                    <w:t>17</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2881" w:type="dxa"/>
                  <w:gridSpan w:val="2"/>
                  <w:noWrap w:val="0"/>
                  <w:vAlign w:val="center"/>
                </w:tcPr>
                <w:p w14:paraId="2EBA7307">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w:t>
                  </w:r>
                  <w:r>
                    <w:rPr>
                      <w:rFonts w:hint="eastAsia" w:cs="Times New Roman"/>
                      <w:i w:val="0"/>
                      <w:iCs w:val="0"/>
                      <w:color w:val="000000"/>
                      <w:kern w:val="0"/>
                      <w:sz w:val="22"/>
                      <w:szCs w:val="22"/>
                      <w:u w:val="none"/>
                      <w:lang w:val="en-US" w:eastAsia="zh-CN" w:bidi="ar"/>
                    </w:rPr>
                    <w:t>60</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14:paraId="3271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8" w:type="pct"/>
                  <w:vMerge w:val="continue"/>
                  <w:noWrap w:val="0"/>
                  <w:vAlign w:val="center"/>
                </w:tcPr>
                <w:p w14:paraId="1A9479C2">
                  <w:pPr>
                    <w:pStyle w:val="94"/>
                    <w:bidi w:val="0"/>
                    <w:rPr>
                      <w:rFonts w:hint="default" w:ascii="Times New Roman" w:hAnsi="Times New Roman" w:cs="Times New Roman"/>
                      <w:color w:val="auto"/>
                      <w:sz w:val="22"/>
                      <w:szCs w:val="22"/>
                    </w:rPr>
                  </w:pPr>
                </w:p>
              </w:tc>
              <w:tc>
                <w:tcPr>
                  <w:tcW w:w="750" w:type="pct"/>
                  <w:noWrap w:val="0"/>
                  <w:vAlign w:val="center"/>
                </w:tcPr>
                <w:p w14:paraId="2F6BF19A">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BOD</w:t>
                  </w:r>
                  <w:r>
                    <w:rPr>
                      <w:rFonts w:hint="default" w:ascii="Times New Roman" w:hAnsi="Times New Roman" w:cs="Times New Roman"/>
                      <w:color w:val="auto"/>
                      <w:sz w:val="22"/>
                      <w:szCs w:val="22"/>
                      <w:vertAlign w:val="subscript"/>
                      <w:lang w:bidi="ar"/>
                    </w:rPr>
                    <w:t>5</w:t>
                  </w:r>
                </w:p>
              </w:tc>
              <w:tc>
                <w:tcPr>
                  <w:tcW w:w="2984" w:type="dxa"/>
                  <w:gridSpan w:val="2"/>
                  <w:noWrap w:val="0"/>
                  <w:vAlign w:val="center"/>
                </w:tcPr>
                <w:p w14:paraId="7C1F9E37">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0.17</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2881" w:type="dxa"/>
                  <w:gridSpan w:val="2"/>
                  <w:noWrap w:val="0"/>
                  <w:vAlign w:val="center"/>
                </w:tcPr>
                <w:p w14:paraId="33315510">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0.012 </w:t>
                  </w:r>
                </w:p>
              </w:tc>
            </w:tr>
            <w:tr w14:paraId="7E51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8" w:type="pct"/>
                  <w:vMerge w:val="continue"/>
                  <w:noWrap w:val="0"/>
                  <w:vAlign w:val="center"/>
                </w:tcPr>
                <w:p w14:paraId="3B886704">
                  <w:pPr>
                    <w:pStyle w:val="94"/>
                    <w:bidi w:val="0"/>
                    <w:rPr>
                      <w:rFonts w:hint="default" w:ascii="Times New Roman" w:hAnsi="Times New Roman" w:cs="Times New Roman"/>
                      <w:color w:val="auto"/>
                      <w:sz w:val="22"/>
                      <w:szCs w:val="22"/>
                    </w:rPr>
                  </w:pPr>
                </w:p>
              </w:tc>
              <w:tc>
                <w:tcPr>
                  <w:tcW w:w="750" w:type="pct"/>
                  <w:noWrap w:val="0"/>
                  <w:vAlign w:val="center"/>
                </w:tcPr>
                <w:p w14:paraId="5689A826">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SS</w:t>
                  </w:r>
                </w:p>
              </w:tc>
              <w:tc>
                <w:tcPr>
                  <w:tcW w:w="2984" w:type="dxa"/>
                  <w:gridSpan w:val="2"/>
                  <w:noWrap w:val="0"/>
                  <w:vAlign w:val="center"/>
                </w:tcPr>
                <w:p w14:paraId="3E277D0A">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0.23</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2881" w:type="dxa"/>
                  <w:gridSpan w:val="2"/>
                  <w:noWrap w:val="0"/>
                  <w:vAlign w:val="center"/>
                </w:tcPr>
                <w:p w14:paraId="248314B1">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0.012 </w:t>
                  </w:r>
                </w:p>
              </w:tc>
            </w:tr>
            <w:tr w14:paraId="4124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38" w:type="pct"/>
                  <w:vMerge w:val="continue"/>
                  <w:noWrap w:val="0"/>
                  <w:vAlign w:val="center"/>
                </w:tcPr>
                <w:p w14:paraId="0BCACD1C">
                  <w:pPr>
                    <w:pStyle w:val="94"/>
                    <w:bidi w:val="0"/>
                    <w:rPr>
                      <w:rFonts w:hint="default" w:ascii="Times New Roman" w:hAnsi="Times New Roman" w:cs="Times New Roman"/>
                      <w:color w:val="auto"/>
                      <w:sz w:val="22"/>
                      <w:szCs w:val="22"/>
                    </w:rPr>
                  </w:pPr>
                </w:p>
              </w:tc>
              <w:tc>
                <w:tcPr>
                  <w:tcW w:w="750" w:type="pct"/>
                  <w:noWrap w:val="0"/>
                  <w:vAlign w:val="center"/>
                </w:tcPr>
                <w:p w14:paraId="12EF9B8E">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NH</w:t>
                  </w:r>
                  <w:r>
                    <w:rPr>
                      <w:rFonts w:hint="default" w:ascii="Times New Roman" w:hAnsi="Times New Roman" w:cs="Times New Roman"/>
                      <w:color w:val="auto"/>
                      <w:sz w:val="22"/>
                      <w:szCs w:val="22"/>
                      <w:vertAlign w:val="subscript"/>
                      <w:lang w:bidi="ar"/>
                    </w:rPr>
                    <w:t>3</w:t>
                  </w:r>
                  <w:r>
                    <w:rPr>
                      <w:rFonts w:hint="default" w:ascii="Times New Roman" w:hAnsi="Times New Roman" w:cs="Times New Roman"/>
                      <w:color w:val="auto"/>
                      <w:sz w:val="22"/>
                      <w:szCs w:val="22"/>
                      <w:lang w:bidi="ar"/>
                    </w:rPr>
                    <w:t>-N</w:t>
                  </w:r>
                </w:p>
              </w:tc>
              <w:tc>
                <w:tcPr>
                  <w:tcW w:w="2984" w:type="dxa"/>
                  <w:gridSpan w:val="2"/>
                  <w:noWrap w:val="0"/>
                  <w:vAlign w:val="center"/>
                </w:tcPr>
                <w:p w14:paraId="3301DD0F">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0.03</w:t>
                  </w:r>
                  <w:r>
                    <w:rPr>
                      <w:rFonts w:hint="eastAsia" w:cs="Times New Roman"/>
                      <w:i w:val="0"/>
                      <w:iCs w:val="0"/>
                      <w:color w:val="000000"/>
                      <w:kern w:val="0"/>
                      <w:sz w:val="22"/>
                      <w:szCs w:val="22"/>
                      <w:u w:val="none"/>
                      <w:lang w:val="en-US" w:eastAsia="zh-CN" w:bidi="ar"/>
                    </w:rPr>
                    <w:t>6</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2881" w:type="dxa"/>
                  <w:gridSpan w:val="2"/>
                  <w:noWrap w:val="0"/>
                  <w:vAlign w:val="center"/>
                </w:tcPr>
                <w:p w14:paraId="18662D46">
                  <w:pPr>
                    <w:keepNext w:val="0"/>
                    <w:keepLines w:val="0"/>
                    <w:widowControl/>
                    <w:suppressLineNumbers w:val="0"/>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0.006 </w:t>
                  </w:r>
                </w:p>
              </w:tc>
            </w:tr>
            <w:tr w14:paraId="57BF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38" w:type="pct"/>
                  <w:vMerge w:val="continue"/>
                  <w:noWrap w:val="0"/>
                  <w:vAlign w:val="center"/>
                </w:tcPr>
                <w:p w14:paraId="23D4C78B">
                  <w:pPr>
                    <w:pStyle w:val="94"/>
                    <w:bidi w:val="0"/>
                    <w:rPr>
                      <w:rFonts w:hint="default" w:ascii="Times New Roman" w:hAnsi="Times New Roman" w:cs="Times New Roman"/>
                      <w:color w:val="auto"/>
                      <w:sz w:val="22"/>
                      <w:szCs w:val="22"/>
                    </w:rPr>
                  </w:pPr>
                </w:p>
              </w:tc>
              <w:tc>
                <w:tcPr>
                  <w:tcW w:w="750" w:type="pct"/>
                  <w:noWrap w:val="0"/>
                  <w:vAlign w:val="center"/>
                </w:tcPr>
                <w:p w14:paraId="68A70C7A">
                  <w:pPr>
                    <w:keepNext w:val="0"/>
                    <w:keepLines w:val="0"/>
                    <w:widowControl/>
                    <w:suppressLineNumbers w:val="0"/>
                    <w:jc w:val="center"/>
                    <w:textAlignment w:val="center"/>
                    <w:rPr>
                      <w:rFonts w:hint="default" w:ascii="Times New Roman" w:hAnsi="Times New Roman" w:cs="Times New Roman"/>
                      <w:color w:val="auto"/>
                      <w:sz w:val="22"/>
                      <w:szCs w:val="22"/>
                      <w:lang w:bidi="ar"/>
                    </w:rPr>
                  </w:pPr>
                  <w:r>
                    <w:rPr>
                      <w:rFonts w:hint="eastAsia" w:ascii="Times New Roman" w:hAnsi="Times New Roman" w:cs="Times New Roman"/>
                      <w:color w:val="auto"/>
                      <w:sz w:val="22"/>
                      <w:szCs w:val="22"/>
                      <w:lang w:val="en-US" w:eastAsia="zh-CN" w:bidi="ar"/>
                    </w:rPr>
                    <w:t>石油类</w:t>
                  </w:r>
                </w:p>
              </w:tc>
              <w:tc>
                <w:tcPr>
                  <w:tcW w:w="2984" w:type="dxa"/>
                  <w:gridSpan w:val="2"/>
                  <w:noWrap w:val="0"/>
                  <w:vAlign w:val="center"/>
                </w:tcPr>
                <w:p w14:paraId="365924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0.008 </w:t>
                  </w:r>
                </w:p>
              </w:tc>
              <w:tc>
                <w:tcPr>
                  <w:tcW w:w="2881" w:type="dxa"/>
                  <w:gridSpan w:val="2"/>
                  <w:noWrap w:val="0"/>
                  <w:vAlign w:val="center"/>
                </w:tcPr>
                <w:p w14:paraId="685FEF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0.001 </w:t>
                  </w:r>
                </w:p>
              </w:tc>
            </w:tr>
          </w:tbl>
          <w:p w14:paraId="6EDD5EA7">
            <w:pPr>
              <w:pStyle w:val="93"/>
              <w:bidi w:val="0"/>
              <w:rPr>
                <w:rFonts w:hint="default" w:ascii="Times New Roman" w:hAnsi="Times New Roman" w:cs="Times New Roman"/>
                <w:color w:val="auto"/>
                <w:sz w:val="26"/>
                <w:szCs w:val="26"/>
              </w:rPr>
            </w:pPr>
            <w:r>
              <w:rPr>
                <w:rFonts w:hint="default" w:ascii="Times New Roman" w:hAnsi="Times New Roman" w:cs="Times New Roman"/>
                <w:bCs/>
                <w:color w:val="auto"/>
                <w:kern w:val="0"/>
                <w:sz w:val="26"/>
                <w:szCs w:val="26"/>
                <w:lang w:eastAsia="ja-JP"/>
              </w:rPr>
              <w:t>⑤</w:t>
            </w:r>
            <w:r>
              <w:rPr>
                <w:rFonts w:hint="default" w:ascii="Times New Roman" w:hAnsi="Times New Roman" w:cs="Times New Roman"/>
                <w:bCs/>
                <w:color w:val="auto"/>
                <w:kern w:val="0"/>
                <w:sz w:val="26"/>
                <w:szCs w:val="26"/>
              </w:rPr>
              <w:t>废水达标排放分析</w:t>
            </w:r>
          </w:p>
          <w:p w14:paraId="6BF1D66B">
            <w:pPr>
              <w:pStyle w:val="69"/>
              <w:keepNext w:val="0"/>
              <w:keepLines w:val="0"/>
              <w:pageBreakBefore w:val="0"/>
              <w:widowControl w:val="0"/>
              <w:kinsoku/>
              <w:wordWrap/>
              <w:overflowPunct/>
              <w:topLinePunct w:val="0"/>
              <w:autoSpaceDE w:val="0"/>
              <w:autoSpaceDN w:val="0"/>
              <w:bidi w:val="0"/>
              <w:adjustRightInd w:val="0"/>
              <w:snapToGrid/>
              <w:spacing w:before="0" w:beforeLines="0"/>
              <w:ind w:firstLine="0" w:firstLineChars="0"/>
              <w:jc w:val="center"/>
              <w:textAlignment w:val="auto"/>
              <w:rPr>
                <w:rFonts w:hint="default" w:ascii="Times New Roman" w:hAnsi="Times New Roman" w:cs="Times New Roman"/>
                <w:color w:val="auto"/>
                <w:sz w:val="26"/>
                <w:szCs w:val="26"/>
              </w:rPr>
            </w:pPr>
            <w:r>
              <w:rPr>
                <w:rFonts w:hint="default" w:ascii="Times New Roman" w:hAnsi="Times New Roman" w:cs="Times New Roman"/>
                <w:b w:val="0"/>
                <w:bCs w:val="0"/>
                <w:color w:val="auto"/>
                <w:sz w:val="22"/>
                <w:szCs w:val="22"/>
              </w:rPr>
              <w:t>表4</w:t>
            </w:r>
            <w:r>
              <w:rPr>
                <w:rFonts w:hint="default" w:ascii="Times New Roman" w:hAnsi="Times New Roman" w:cs="Times New Roman"/>
                <w:b w:val="0"/>
                <w:bCs w:val="0"/>
                <w:color w:val="auto"/>
                <w:sz w:val="22"/>
                <w:szCs w:val="22"/>
                <w:lang w:val="en-US" w:eastAsia="zh-CN"/>
              </w:rPr>
              <w:t>.2-</w:t>
            </w:r>
            <w:r>
              <w:rPr>
                <w:rFonts w:hint="eastAsia" w:cs="Times New Roman"/>
                <w:b w:val="0"/>
                <w:bCs w:val="0"/>
                <w:color w:val="auto"/>
                <w:sz w:val="22"/>
                <w:szCs w:val="22"/>
                <w:lang w:val="en-US" w:eastAsia="zh-CN"/>
              </w:rPr>
              <w:t>12</w:t>
            </w:r>
            <w:r>
              <w:rPr>
                <w:rFonts w:hint="default" w:ascii="Times New Roman" w:hAnsi="Times New Roman" w:cs="Times New Roman"/>
                <w:b w:val="0"/>
                <w:bCs w:val="0"/>
                <w:color w:val="auto"/>
                <w:sz w:val="22"/>
                <w:szCs w:val="22"/>
              </w:rPr>
              <w:t xml:space="preserve">  废水达标排放分析情况表</w:t>
            </w:r>
          </w:p>
          <w:tbl>
            <w:tblPr>
              <w:tblStyle w:val="17"/>
              <w:tblpPr w:leftFromText="180" w:rightFromText="180" w:vertAnchor="text" w:tblpXSpec="center" w:tblpY="1"/>
              <w:tblOverlap w:val="never"/>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7"/>
              <w:gridCol w:w="709"/>
              <w:gridCol w:w="823"/>
              <w:gridCol w:w="823"/>
              <w:gridCol w:w="1709"/>
              <w:gridCol w:w="926"/>
              <w:gridCol w:w="796"/>
              <w:gridCol w:w="959"/>
              <w:gridCol w:w="555"/>
            </w:tblGrid>
            <w:tr w14:paraId="7DD7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14" w:hRule="atLeast"/>
              </w:trPr>
              <w:tc>
                <w:tcPr>
                  <w:tcW w:w="384" w:type="pct"/>
                  <w:vMerge w:val="restart"/>
                  <w:tcBorders>
                    <w:top w:val="single" w:color="auto" w:sz="4" w:space="0"/>
                    <w:left w:val="single" w:color="auto" w:sz="4" w:space="0"/>
                    <w:bottom w:val="single" w:color="auto" w:sz="4" w:space="0"/>
                    <w:right w:val="single" w:color="auto" w:sz="4" w:space="0"/>
                  </w:tcBorders>
                  <w:noWrap w:val="0"/>
                  <w:vAlign w:val="center"/>
                </w:tcPr>
                <w:p w14:paraId="1AD3407F">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污染源</w:t>
                  </w:r>
                </w:p>
              </w:tc>
              <w:tc>
                <w:tcPr>
                  <w:tcW w:w="448" w:type="pct"/>
                  <w:vMerge w:val="restart"/>
                  <w:tcBorders>
                    <w:top w:val="single" w:color="auto" w:sz="4" w:space="0"/>
                    <w:left w:val="single" w:color="auto" w:sz="4" w:space="0"/>
                    <w:bottom w:val="single" w:color="auto" w:sz="4" w:space="0"/>
                    <w:right w:val="single" w:color="auto" w:sz="4" w:space="0"/>
                  </w:tcBorders>
                  <w:noWrap w:val="0"/>
                  <w:vAlign w:val="center"/>
                </w:tcPr>
                <w:p w14:paraId="7ED1361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w:t>
                  </w:r>
                </w:p>
                <w:p w14:paraId="351170D4">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因子</w:t>
                  </w:r>
                </w:p>
              </w:tc>
              <w:tc>
                <w:tcPr>
                  <w:tcW w:w="2120" w:type="pct"/>
                  <w:gridSpan w:val="3"/>
                  <w:tcBorders>
                    <w:top w:val="single" w:color="auto" w:sz="4" w:space="0"/>
                    <w:left w:val="single" w:color="auto" w:sz="4" w:space="0"/>
                    <w:bottom w:val="single" w:color="auto" w:sz="4" w:space="0"/>
                    <w:right w:val="single" w:color="auto" w:sz="4" w:space="0"/>
                  </w:tcBorders>
                  <w:noWrap w:val="0"/>
                  <w:vAlign w:val="center"/>
                </w:tcPr>
                <w:p w14:paraId="079AE78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厂区排放口</w:t>
                  </w:r>
                </w:p>
              </w:tc>
              <w:tc>
                <w:tcPr>
                  <w:tcW w:w="1694" w:type="pct"/>
                  <w:gridSpan w:val="3"/>
                  <w:tcBorders>
                    <w:top w:val="single" w:color="auto" w:sz="4" w:space="0"/>
                    <w:left w:val="single" w:color="auto" w:sz="4" w:space="0"/>
                    <w:bottom w:val="single" w:color="auto" w:sz="4" w:space="0"/>
                    <w:right w:val="single" w:color="auto" w:sz="4" w:space="0"/>
                  </w:tcBorders>
                  <w:noWrap w:val="0"/>
                  <w:vAlign w:val="center"/>
                </w:tcPr>
                <w:p w14:paraId="035B4E37">
                  <w:pPr>
                    <w:pStyle w:val="94"/>
                    <w:bidi w:val="0"/>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大九污水处理厂</w:t>
                  </w:r>
                  <w:r>
                    <w:rPr>
                      <w:rFonts w:hint="default" w:ascii="Times New Roman" w:hAnsi="Times New Roman" w:cs="Times New Roman"/>
                      <w:color w:val="auto"/>
                      <w:sz w:val="22"/>
                      <w:szCs w:val="22"/>
                    </w:rPr>
                    <w:t>排放口</w:t>
                  </w:r>
                </w:p>
              </w:tc>
              <w:tc>
                <w:tcPr>
                  <w:tcW w:w="351" w:type="pct"/>
                  <w:vMerge w:val="restart"/>
                  <w:tcBorders>
                    <w:top w:val="single" w:color="auto" w:sz="4" w:space="0"/>
                    <w:left w:val="single" w:color="auto" w:sz="4" w:space="0"/>
                    <w:right w:val="single" w:color="auto" w:sz="4" w:space="0"/>
                  </w:tcBorders>
                  <w:noWrap w:val="0"/>
                  <w:vAlign w:val="center"/>
                </w:tcPr>
                <w:p w14:paraId="252EC3E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达标分析</w:t>
                  </w:r>
                </w:p>
              </w:tc>
            </w:tr>
            <w:tr w14:paraId="3B1E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6" w:hRule="atLeast"/>
              </w:trPr>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14:paraId="0F157DA5">
                  <w:pPr>
                    <w:pStyle w:val="94"/>
                    <w:bidi w:val="0"/>
                    <w:rPr>
                      <w:rFonts w:hint="default" w:ascii="Times New Roman" w:hAnsi="Times New Roman" w:cs="Times New Roman"/>
                      <w:color w:val="auto"/>
                      <w:sz w:val="22"/>
                      <w:szCs w:val="22"/>
                    </w:rPr>
                  </w:pPr>
                </w:p>
              </w:tc>
              <w:tc>
                <w:tcPr>
                  <w:tcW w:w="448" w:type="pct"/>
                  <w:vMerge w:val="continue"/>
                  <w:tcBorders>
                    <w:top w:val="single" w:color="auto" w:sz="4" w:space="0"/>
                    <w:left w:val="single" w:color="auto" w:sz="4" w:space="0"/>
                    <w:bottom w:val="single" w:color="auto" w:sz="4" w:space="0"/>
                    <w:right w:val="single" w:color="auto" w:sz="4" w:space="0"/>
                  </w:tcBorders>
                  <w:noWrap w:val="0"/>
                  <w:vAlign w:val="center"/>
                </w:tcPr>
                <w:p w14:paraId="68AD3642">
                  <w:pPr>
                    <w:pStyle w:val="94"/>
                    <w:bidi w:val="0"/>
                    <w:rPr>
                      <w:rFonts w:hint="default" w:ascii="Times New Roman" w:hAnsi="Times New Roman" w:cs="Times New Roman"/>
                      <w:color w:val="auto"/>
                      <w:sz w:val="22"/>
                      <w:szCs w:val="22"/>
                    </w:rPr>
                  </w:pPr>
                </w:p>
              </w:tc>
              <w:tc>
                <w:tcPr>
                  <w:tcW w:w="520" w:type="pct"/>
                  <w:tcBorders>
                    <w:top w:val="single" w:color="auto" w:sz="4" w:space="0"/>
                    <w:left w:val="single" w:color="auto" w:sz="4" w:space="0"/>
                    <w:bottom w:val="single" w:color="auto" w:sz="4" w:space="0"/>
                    <w:right w:val="single" w:color="auto" w:sz="4" w:space="0"/>
                  </w:tcBorders>
                  <w:noWrap w:val="0"/>
                  <w:vAlign w:val="center"/>
                </w:tcPr>
                <w:p w14:paraId="0EF2EE1B">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排放情况（mg/L）</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21A4D8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排放标准限值（mg/L）</w:t>
                  </w:r>
                </w:p>
              </w:tc>
              <w:tc>
                <w:tcPr>
                  <w:tcW w:w="1079" w:type="pct"/>
                  <w:tcBorders>
                    <w:top w:val="single" w:color="auto" w:sz="4" w:space="0"/>
                    <w:left w:val="single" w:color="auto" w:sz="4" w:space="0"/>
                    <w:bottom w:val="single" w:color="auto" w:sz="4" w:space="0"/>
                    <w:right w:val="single" w:color="auto" w:sz="4" w:space="0"/>
                  </w:tcBorders>
                  <w:noWrap w:val="0"/>
                  <w:vAlign w:val="center"/>
                </w:tcPr>
                <w:p w14:paraId="0321CC1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排放标准</w:t>
                  </w:r>
                </w:p>
                <w:p w14:paraId="743D8C7A">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及标准号</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4A0BD261">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排放情况（mg/L）</w:t>
                  </w:r>
                </w:p>
              </w:tc>
              <w:tc>
                <w:tcPr>
                  <w:tcW w:w="503" w:type="pct"/>
                  <w:tcBorders>
                    <w:top w:val="single" w:color="auto" w:sz="4" w:space="0"/>
                    <w:left w:val="single" w:color="auto" w:sz="4" w:space="0"/>
                    <w:bottom w:val="single" w:color="auto" w:sz="4" w:space="0"/>
                    <w:right w:val="single" w:color="auto" w:sz="4" w:space="0"/>
                  </w:tcBorders>
                  <w:noWrap w:val="0"/>
                  <w:vAlign w:val="center"/>
                </w:tcPr>
                <w:p w14:paraId="7C07BD6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排放标准限值（mg/L）</w:t>
                  </w:r>
                </w:p>
              </w:tc>
              <w:tc>
                <w:tcPr>
                  <w:tcW w:w="606" w:type="pct"/>
                  <w:tcBorders>
                    <w:top w:val="single" w:color="auto" w:sz="4" w:space="0"/>
                    <w:left w:val="single" w:color="auto" w:sz="4" w:space="0"/>
                    <w:bottom w:val="single" w:color="auto" w:sz="4" w:space="0"/>
                    <w:right w:val="single" w:color="auto" w:sz="4" w:space="0"/>
                  </w:tcBorders>
                  <w:noWrap w:val="0"/>
                  <w:vAlign w:val="center"/>
                </w:tcPr>
                <w:p w14:paraId="12813D4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排放标准</w:t>
                  </w:r>
                </w:p>
                <w:p w14:paraId="0E0BCBB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及标准号</w:t>
                  </w:r>
                </w:p>
              </w:tc>
              <w:tc>
                <w:tcPr>
                  <w:tcW w:w="351" w:type="pct"/>
                  <w:vMerge w:val="continue"/>
                  <w:tcBorders>
                    <w:left w:val="single" w:color="auto" w:sz="4" w:space="0"/>
                    <w:bottom w:val="single" w:color="auto" w:sz="4" w:space="0"/>
                    <w:right w:val="single" w:color="auto" w:sz="4" w:space="0"/>
                  </w:tcBorders>
                  <w:noWrap w:val="0"/>
                  <w:vAlign w:val="center"/>
                </w:tcPr>
                <w:p w14:paraId="310896BA">
                  <w:pPr>
                    <w:pStyle w:val="94"/>
                    <w:bidi w:val="0"/>
                    <w:rPr>
                      <w:rFonts w:hint="default" w:ascii="Times New Roman" w:hAnsi="Times New Roman" w:cs="Times New Roman"/>
                      <w:color w:val="auto"/>
                      <w:sz w:val="22"/>
                      <w:szCs w:val="22"/>
                    </w:rPr>
                  </w:pPr>
                </w:p>
              </w:tc>
            </w:tr>
            <w:tr w14:paraId="5044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84" w:type="pct"/>
                  <w:vMerge w:val="restart"/>
                  <w:tcBorders>
                    <w:left w:val="single" w:color="auto" w:sz="4" w:space="0"/>
                    <w:right w:val="single" w:color="auto" w:sz="4" w:space="0"/>
                  </w:tcBorders>
                  <w:noWrap w:val="0"/>
                  <w:vAlign w:val="center"/>
                </w:tcPr>
                <w:p w14:paraId="0FC34BB0">
                  <w:pPr>
                    <w:pStyle w:val="94"/>
                    <w:bidi w:val="0"/>
                    <w:jc w:val="both"/>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废水</w:t>
                  </w:r>
                  <w:r>
                    <w:rPr>
                      <w:rFonts w:hint="eastAsia" w:ascii="Times New Roman" w:hAnsi="Times New Roman" w:cs="Times New Roman"/>
                      <w:color w:val="auto"/>
                      <w:sz w:val="22"/>
                      <w:szCs w:val="22"/>
                      <w:lang w:val="en-US" w:eastAsia="zh-CN"/>
                    </w:rPr>
                    <w:t>10</w:t>
                  </w:r>
                  <w:r>
                    <w:rPr>
                      <w:rFonts w:hint="eastAsia" w:cs="Times New Roman"/>
                      <w:color w:val="auto"/>
                      <w:sz w:val="22"/>
                      <w:szCs w:val="22"/>
                      <w:lang w:val="en-US" w:eastAsia="zh-CN"/>
                    </w:rPr>
                    <w:t>57</w:t>
                  </w:r>
                  <w:r>
                    <w:rPr>
                      <w:rFonts w:hint="default" w:ascii="Times New Roman" w:hAnsi="Times New Roman" w:cs="Times New Roman"/>
                      <w:color w:val="auto"/>
                      <w:sz w:val="22"/>
                      <w:szCs w:val="22"/>
                      <w:lang w:val="en-US" w:eastAsia="zh-CN"/>
                    </w:rPr>
                    <w:t>t/a</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3499069E">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COD</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822AE0D">
                  <w:pPr>
                    <w:pStyle w:val="94"/>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350</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54E574B">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500</w:t>
                  </w:r>
                </w:p>
              </w:tc>
              <w:tc>
                <w:tcPr>
                  <w:tcW w:w="1079" w:type="pct"/>
                  <w:vMerge w:val="restart"/>
                  <w:tcBorders>
                    <w:left w:val="single" w:color="auto" w:sz="4" w:space="0"/>
                    <w:right w:val="single" w:color="auto" w:sz="4" w:space="0"/>
                  </w:tcBorders>
                  <w:noWrap w:val="0"/>
                  <w:vAlign w:val="center"/>
                </w:tcPr>
                <w:p w14:paraId="2FF3146C">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《污水综合排放标准》（GB8978-1996）三级标准</w:t>
                  </w:r>
                  <w:r>
                    <w:rPr>
                      <w:rFonts w:hint="default" w:ascii="Times New Roman" w:hAnsi="Times New Roman" w:cs="Times New Roman"/>
                      <w:color w:val="auto"/>
                      <w:sz w:val="22"/>
                      <w:szCs w:val="22"/>
                      <w:lang w:eastAsia="zh-CN"/>
                    </w:rPr>
                    <w:t>；</w:t>
                  </w:r>
                  <w:r>
                    <w:rPr>
                      <w:rFonts w:hint="default" w:ascii="Times New Roman" w:hAnsi="Times New Roman" w:cs="Times New Roman"/>
                      <w:color w:val="auto"/>
                      <w:sz w:val="22"/>
                      <w:szCs w:val="22"/>
                      <w:lang w:val="en-US" w:eastAsia="zh-CN"/>
                    </w:rPr>
                    <w:t>NH</w:t>
                  </w:r>
                  <w:r>
                    <w:rPr>
                      <w:rFonts w:hint="default" w:ascii="Times New Roman" w:hAnsi="Times New Roman" w:cs="Times New Roman"/>
                      <w:color w:val="auto"/>
                      <w:sz w:val="22"/>
                      <w:szCs w:val="22"/>
                      <w:vertAlign w:val="subscript"/>
                      <w:lang w:val="en-US" w:eastAsia="zh-CN"/>
                    </w:rPr>
                    <w:t>3</w:t>
                  </w:r>
                  <w:r>
                    <w:rPr>
                      <w:rFonts w:hint="default" w:ascii="Times New Roman" w:hAnsi="Times New Roman" w:cs="Times New Roman"/>
                      <w:color w:val="auto"/>
                      <w:sz w:val="22"/>
                      <w:szCs w:val="22"/>
                      <w:lang w:val="en-US" w:eastAsia="zh-CN"/>
                    </w:rPr>
                    <w:t>-N参照执行《污水排入城镇下水道水质标准》(GB/T31962-2015)表1的B级标准</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763E9267">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50</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E7634E6">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50</w:t>
                  </w:r>
                </w:p>
              </w:tc>
              <w:tc>
                <w:tcPr>
                  <w:tcW w:w="606" w:type="pct"/>
                  <w:vMerge w:val="restart"/>
                  <w:tcBorders>
                    <w:left w:val="single" w:color="auto" w:sz="4" w:space="0"/>
                    <w:right w:val="single" w:color="auto" w:sz="4" w:space="0"/>
                  </w:tcBorders>
                  <w:noWrap w:val="0"/>
                  <w:vAlign w:val="center"/>
                </w:tcPr>
                <w:p w14:paraId="5EAFBB0F">
                  <w:pPr>
                    <w:pStyle w:val="94"/>
                    <w:bidi w:val="0"/>
                    <w:rPr>
                      <w:rFonts w:hint="default" w:ascii="Times New Roman" w:hAnsi="Times New Roman" w:cs="Times New Roman"/>
                      <w:color w:val="auto"/>
                      <w:sz w:val="22"/>
                      <w:szCs w:val="22"/>
                      <w:lang w:eastAsia="zh-CN"/>
                    </w:rPr>
                  </w:pPr>
                  <w:r>
                    <w:rPr>
                      <w:rFonts w:hint="default" w:ascii="Times New Roman" w:hAnsi="Times New Roman" w:cs="Times New Roman"/>
                      <w:color w:val="auto"/>
                      <w:sz w:val="22"/>
                      <w:szCs w:val="22"/>
                      <w:lang w:eastAsia="zh-CN"/>
                    </w:rPr>
                    <w:t>《城镇污水处理厂污染物排放标准》（GB18918-2002）一级A类标准</w:t>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7E0698AA">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达标</w:t>
                  </w:r>
                </w:p>
              </w:tc>
            </w:tr>
            <w:tr w14:paraId="6F37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trPr>
              <w:tc>
                <w:tcPr>
                  <w:tcW w:w="384" w:type="pct"/>
                  <w:vMerge w:val="continue"/>
                  <w:tcBorders>
                    <w:left w:val="single" w:color="auto" w:sz="4" w:space="0"/>
                    <w:right w:val="single" w:color="auto" w:sz="4" w:space="0"/>
                  </w:tcBorders>
                  <w:noWrap w:val="0"/>
                  <w:vAlign w:val="center"/>
                </w:tcPr>
                <w:p w14:paraId="7EB64453">
                  <w:pPr>
                    <w:pStyle w:val="94"/>
                    <w:bidi w:val="0"/>
                    <w:rPr>
                      <w:rFonts w:hint="default" w:ascii="Times New Roman" w:hAnsi="Times New Roman" w:cs="Times New Roman"/>
                      <w:color w:val="auto"/>
                      <w:sz w:val="22"/>
                      <w:szCs w:val="22"/>
                    </w:rPr>
                  </w:pPr>
                </w:p>
              </w:tc>
              <w:tc>
                <w:tcPr>
                  <w:tcW w:w="448" w:type="pct"/>
                  <w:tcBorders>
                    <w:top w:val="single" w:color="auto" w:sz="4" w:space="0"/>
                    <w:left w:val="single" w:color="auto" w:sz="4" w:space="0"/>
                    <w:bottom w:val="single" w:color="auto" w:sz="4" w:space="0"/>
                    <w:right w:val="single" w:color="auto" w:sz="4" w:space="0"/>
                  </w:tcBorders>
                  <w:noWrap w:val="0"/>
                  <w:vAlign w:val="center"/>
                </w:tcPr>
                <w:p w14:paraId="16317FBE">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BOD</w:t>
                  </w:r>
                  <w:r>
                    <w:rPr>
                      <w:rFonts w:hint="default" w:ascii="Times New Roman" w:hAnsi="Times New Roman" w:cs="Times New Roman"/>
                      <w:color w:val="auto"/>
                      <w:sz w:val="22"/>
                      <w:szCs w:val="22"/>
                      <w:vertAlign w:val="subscript"/>
                    </w:rPr>
                    <w:t>5</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40E4C965">
                  <w:pPr>
                    <w:pStyle w:val="94"/>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150</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1EC8C33A">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300</w:t>
                  </w:r>
                </w:p>
              </w:tc>
              <w:tc>
                <w:tcPr>
                  <w:tcW w:w="1079" w:type="pct"/>
                  <w:vMerge w:val="continue"/>
                  <w:tcBorders>
                    <w:left w:val="single" w:color="auto" w:sz="4" w:space="0"/>
                    <w:right w:val="single" w:color="auto" w:sz="4" w:space="0"/>
                  </w:tcBorders>
                  <w:noWrap w:val="0"/>
                  <w:vAlign w:val="center"/>
                </w:tcPr>
                <w:p w14:paraId="53469035">
                  <w:pPr>
                    <w:pStyle w:val="94"/>
                    <w:bidi w:val="0"/>
                    <w:rPr>
                      <w:rFonts w:hint="default" w:ascii="Times New Roman" w:hAnsi="Times New Roman" w:cs="Times New Roman"/>
                      <w:color w:val="auto"/>
                      <w:sz w:val="22"/>
                      <w:szCs w:val="22"/>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79F36510">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771A555">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c>
                <w:tcPr>
                  <w:tcW w:w="606" w:type="pct"/>
                  <w:vMerge w:val="continue"/>
                  <w:tcBorders>
                    <w:left w:val="single" w:color="auto" w:sz="4" w:space="0"/>
                    <w:right w:val="single" w:color="auto" w:sz="4" w:space="0"/>
                  </w:tcBorders>
                  <w:noWrap w:val="0"/>
                  <w:vAlign w:val="center"/>
                </w:tcPr>
                <w:p w14:paraId="103A1D2C">
                  <w:pPr>
                    <w:pStyle w:val="94"/>
                    <w:bidi w:val="0"/>
                    <w:rPr>
                      <w:rFonts w:hint="default" w:ascii="Times New Roman" w:hAnsi="Times New Roman" w:cs="Times New Roman"/>
                      <w:color w:val="auto"/>
                      <w:sz w:val="22"/>
                      <w:szCs w:val="22"/>
                    </w:rPr>
                  </w:pPr>
                </w:p>
              </w:tc>
              <w:tc>
                <w:tcPr>
                  <w:tcW w:w="351" w:type="pct"/>
                  <w:tcBorders>
                    <w:top w:val="single" w:color="auto" w:sz="4" w:space="0"/>
                    <w:left w:val="single" w:color="auto" w:sz="4" w:space="0"/>
                    <w:bottom w:val="single" w:color="auto" w:sz="4" w:space="0"/>
                    <w:right w:val="single" w:color="auto" w:sz="4" w:space="0"/>
                  </w:tcBorders>
                  <w:noWrap w:val="0"/>
                  <w:vAlign w:val="center"/>
                </w:tcPr>
                <w:p w14:paraId="3A287799">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达标</w:t>
                  </w:r>
                </w:p>
              </w:tc>
            </w:tr>
            <w:tr w14:paraId="1052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trPr>
              <w:tc>
                <w:tcPr>
                  <w:tcW w:w="384" w:type="pct"/>
                  <w:vMerge w:val="continue"/>
                  <w:tcBorders>
                    <w:left w:val="single" w:color="auto" w:sz="4" w:space="0"/>
                    <w:right w:val="single" w:color="auto" w:sz="4" w:space="0"/>
                  </w:tcBorders>
                  <w:noWrap w:val="0"/>
                  <w:vAlign w:val="center"/>
                </w:tcPr>
                <w:p w14:paraId="6DC5C598">
                  <w:pPr>
                    <w:pStyle w:val="94"/>
                    <w:bidi w:val="0"/>
                    <w:rPr>
                      <w:rFonts w:hint="default" w:ascii="Times New Roman" w:hAnsi="Times New Roman" w:cs="Times New Roman"/>
                      <w:color w:val="auto"/>
                      <w:sz w:val="22"/>
                      <w:szCs w:val="22"/>
                    </w:rPr>
                  </w:pPr>
                </w:p>
              </w:tc>
              <w:tc>
                <w:tcPr>
                  <w:tcW w:w="448" w:type="pct"/>
                  <w:tcBorders>
                    <w:top w:val="single" w:color="auto" w:sz="4" w:space="0"/>
                    <w:left w:val="single" w:color="auto" w:sz="4" w:space="0"/>
                    <w:bottom w:val="single" w:color="auto" w:sz="4" w:space="0"/>
                    <w:right w:val="single" w:color="auto" w:sz="4" w:space="0"/>
                  </w:tcBorders>
                  <w:noWrap w:val="0"/>
                  <w:vAlign w:val="center"/>
                </w:tcPr>
                <w:p w14:paraId="37BB994C">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SS</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5FD76A7">
                  <w:pPr>
                    <w:pStyle w:val="94"/>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200</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4DB990C">
                  <w:pPr>
                    <w:pStyle w:val="94"/>
                    <w:bidi w:val="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400</w:t>
                  </w:r>
                </w:p>
              </w:tc>
              <w:tc>
                <w:tcPr>
                  <w:tcW w:w="1079" w:type="pct"/>
                  <w:vMerge w:val="continue"/>
                  <w:tcBorders>
                    <w:left w:val="single" w:color="auto" w:sz="4" w:space="0"/>
                    <w:right w:val="single" w:color="auto" w:sz="4" w:space="0"/>
                  </w:tcBorders>
                  <w:noWrap w:val="0"/>
                  <w:vAlign w:val="center"/>
                </w:tcPr>
                <w:p w14:paraId="577563CB">
                  <w:pPr>
                    <w:pStyle w:val="94"/>
                    <w:bidi w:val="0"/>
                    <w:rPr>
                      <w:rFonts w:hint="default" w:ascii="Times New Roman" w:hAnsi="Times New Roman" w:cs="Times New Roman"/>
                      <w:color w:val="auto"/>
                      <w:sz w:val="22"/>
                      <w:szCs w:val="22"/>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727B8DA5">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005FEFF">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c>
                <w:tcPr>
                  <w:tcW w:w="606" w:type="pct"/>
                  <w:vMerge w:val="continue"/>
                  <w:tcBorders>
                    <w:left w:val="single" w:color="auto" w:sz="4" w:space="0"/>
                    <w:right w:val="single" w:color="auto" w:sz="4" w:space="0"/>
                  </w:tcBorders>
                  <w:noWrap w:val="0"/>
                  <w:vAlign w:val="center"/>
                </w:tcPr>
                <w:p w14:paraId="4A5CFF09">
                  <w:pPr>
                    <w:pStyle w:val="94"/>
                    <w:bidi w:val="0"/>
                    <w:rPr>
                      <w:rFonts w:hint="default" w:ascii="Times New Roman" w:hAnsi="Times New Roman" w:cs="Times New Roman"/>
                      <w:color w:val="auto"/>
                      <w:sz w:val="22"/>
                      <w:szCs w:val="22"/>
                    </w:rPr>
                  </w:pPr>
                </w:p>
              </w:tc>
              <w:tc>
                <w:tcPr>
                  <w:tcW w:w="351" w:type="pct"/>
                  <w:tcBorders>
                    <w:top w:val="single" w:color="auto" w:sz="4" w:space="0"/>
                    <w:left w:val="single" w:color="auto" w:sz="4" w:space="0"/>
                    <w:bottom w:val="single" w:color="auto" w:sz="4" w:space="0"/>
                    <w:right w:val="single" w:color="auto" w:sz="4" w:space="0"/>
                  </w:tcBorders>
                  <w:noWrap w:val="0"/>
                  <w:vAlign w:val="center"/>
                </w:tcPr>
                <w:p w14:paraId="7785E90E">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达标</w:t>
                  </w:r>
                </w:p>
              </w:tc>
            </w:tr>
            <w:tr w14:paraId="190E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trPr>
              <w:tc>
                <w:tcPr>
                  <w:tcW w:w="384" w:type="pct"/>
                  <w:vMerge w:val="continue"/>
                  <w:tcBorders>
                    <w:left w:val="single" w:color="auto" w:sz="4" w:space="0"/>
                    <w:right w:val="single" w:color="auto" w:sz="4" w:space="0"/>
                  </w:tcBorders>
                  <w:noWrap w:val="0"/>
                  <w:vAlign w:val="center"/>
                </w:tcPr>
                <w:p w14:paraId="24A6448C">
                  <w:pPr>
                    <w:pStyle w:val="94"/>
                    <w:bidi w:val="0"/>
                    <w:rPr>
                      <w:rFonts w:hint="default" w:ascii="Times New Roman" w:hAnsi="Times New Roman" w:cs="Times New Roman"/>
                      <w:color w:val="auto"/>
                      <w:sz w:val="22"/>
                      <w:szCs w:val="22"/>
                    </w:rPr>
                  </w:pPr>
                </w:p>
              </w:tc>
              <w:tc>
                <w:tcPr>
                  <w:tcW w:w="448" w:type="pct"/>
                  <w:tcBorders>
                    <w:top w:val="single" w:color="auto" w:sz="4" w:space="0"/>
                    <w:left w:val="single" w:color="auto" w:sz="4" w:space="0"/>
                    <w:bottom w:val="single" w:color="auto" w:sz="4" w:space="0"/>
                    <w:right w:val="single" w:color="auto" w:sz="4" w:space="0"/>
                  </w:tcBorders>
                  <w:noWrap w:val="0"/>
                  <w:vAlign w:val="center"/>
                </w:tcPr>
                <w:p w14:paraId="3A76642D">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NH</w:t>
                  </w:r>
                  <w:r>
                    <w:rPr>
                      <w:rFonts w:hint="default" w:ascii="Times New Roman" w:hAnsi="Times New Roman" w:cs="Times New Roman"/>
                      <w:color w:val="auto"/>
                      <w:sz w:val="22"/>
                      <w:szCs w:val="22"/>
                      <w:vertAlign w:val="subscript"/>
                    </w:rPr>
                    <w:t>3</w:t>
                  </w:r>
                  <w:r>
                    <w:rPr>
                      <w:rFonts w:hint="default" w:ascii="Times New Roman" w:hAnsi="Times New Roman" w:cs="Times New Roman"/>
                      <w:color w:val="auto"/>
                      <w:sz w:val="22"/>
                      <w:szCs w:val="22"/>
                    </w:rPr>
                    <w:t>-N</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207BB8A5">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30</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7B4B7022">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45</w:t>
                  </w:r>
                </w:p>
              </w:tc>
              <w:tc>
                <w:tcPr>
                  <w:tcW w:w="1079" w:type="pct"/>
                  <w:vMerge w:val="continue"/>
                  <w:tcBorders>
                    <w:left w:val="single" w:color="auto" w:sz="4" w:space="0"/>
                    <w:right w:val="single" w:color="auto" w:sz="4" w:space="0"/>
                  </w:tcBorders>
                  <w:noWrap w:val="0"/>
                  <w:vAlign w:val="center"/>
                </w:tcPr>
                <w:p w14:paraId="61F56700">
                  <w:pPr>
                    <w:pStyle w:val="94"/>
                    <w:bidi w:val="0"/>
                    <w:ind w:firstLine="0" w:firstLineChars="0"/>
                    <w:rPr>
                      <w:rFonts w:hint="default" w:ascii="Times New Roman" w:hAnsi="Times New Roman" w:eastAsia="宋体" w:cs="Times New Roman"/>
                      <w:color w:val="auto"/>
                      <w:kern w:val="0"/>
                      <w:sz w:val="22"/>
                      <w:szCs w:val="22"/>
                      <w:lang w:val="en-US" w:eastAsia="zh-CN" w:bidi="ar-SA"/>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3072EAB3">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kern w:val="0"/>
                      <w:sz w:val="22"/>
                      <w:szCs w:val="22"/>
                      <w:lang w:val="en-US" w:eastAsia="zh-CN" w:bidi="ar-SA"/>
                    </w:rPr>
                    <w:t>5</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A62E33B">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kern w:val="0"/>
                      <w:sz w:val="22"/>
                      <w:szCs w:val="22"/>
                      <w:lang w:val="en-US" w:eastAsia="zh-CN" w:bidi="ar-SA"/>
                    </w:rPr>
                    <w:t>5</w:t>
                  </w:r>
                </w:p>
              </w:tc>
              <w:tc>
                <w:tcPr>
                  <w:tcW w:w="606" w:type="pct"/>
                  <w:vMerge w:val="continue"/>
                  <w:tcBorders>
                    <w:left w:val="single" w:color="auto" w:sz="4" w:space="0"/>
                    <w:right w:val="single" w:color="auto" w:sz="4" w:space="0"/>
                  </w:tcBorders>
                  <w:noWrap w:val="0"/>
                  <w:vAlign w:val="center"/>
                </w:tcPr>
                <w:p w14:paraId="5C9E066C">
                  <w:pPr>
                    <w:pStyle w:val="94"/>
                    <w:bidi w:val="0"/>
                    <w:ind w:firstLine="0" w:firstLineChars="0"/>
                    <w:rPr>
                      <w:rFonts w:hint="default" w:ascii="Times New Roman" w:hAnsi="Times New Roman" w:eastAsia="宋体" w:cs="Times New Roman"/>
                      <w:color w:val="auto"/>
                      <w:kern w:val="0"/>
                      <w:sz w:val="22"/>
                      <w:szCs w:val="22"/>
                      <w:lang w:val="en-US" w:eastAsia="zh-CN" w:bidi="ar-SA"/>
                    </w:rPr>
                  </w:pPr>
                </w:p>
              </w:tc>
              <w:tc>
                <w:tcPr>
                  <w:tcW w:w="351" w:type="pct"/>
                  <w:tcBorders>
                    <w:top w:val="single" w:color="auto" w:sz="4" w:space="0"/>
                    <w:left w:val="single" w:color="auto" w:sz="4" w:space="0"/>
                    <w:bottom w:val="single" w:color="auto" w:sz="4" w:space="0"/>
                    <w:right w:val="single" w:color="auto" w:sz="4" w:space="0"/>
                  </w:tcBorders>
                  <w:noWrap w:val="0"/>
                  <w:vAlign w:val="center"/>
                </w:tcPr>
                <w:p w14:paraId="4DE1643E">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达标</w:t>
                  </w:r>
                </w:p>
              </w:tc>
            </w:tr>
            <w:tr w14:paraId="4373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trPr>
              <w:tc>
                <w:tcPr>
                  <w:tcW w:w="384" w:type="pct"/>
                  <w:vMerge w:val="continue"/>
                  <w:tcBorders>
                    <w:left w:val="single" w:color="auto" w:sz="4" w:space="0"/>
                    <w:right w:val="single" w:color="auto" w:sz="4" w:space="0"/>
                  </w:tcBorders>
                  <w:noWrap w:val="0"/>
                  <w:vAlign w:val="center"/>
                </w:tcPr>
                <w:p w14:paraId="133FF58C">
                  <w:pPr>
                    <w:pStyle w:val="94"/>
                    <w:bidi w:val="0"/>
                    <w:rPr>
                      <w:rFonts w:hint="default" w:ascii="Times New Roman" w:hAnsi="Times New Roman" w:cs="Times New Roman"/>
                      <w:color w:val="auto"/>
                      <w:sz w:val="22"/>
                      <w:szCs w:val="22"/>
                    </w:rPr>
                  </w:pPr>
                </w:p>
              </w:tc>
              <w:tc>
                <w:tcPr>
                  <w:tcW w:w="448" w:type="pct"/>
                  <w:tcBorders>
                    <w:top w:val="single" w:color="auto" w:sz="4" w:space="0"/>
                    <w:left w:val="single" w:color="auto" w:sz="4" w:space="0"/>
                    <w:bottom w:val="single" w:color="auto" w:sz="4" w:space="0"/>
                    <w:right w:val="single" w:color="auto" w:sz="4" w:space="0"/>
                  </w:tcBorders>
                  <w:noWrap w:val="0"/>
                  <w:vAlign w:val="center"/>
                </w:tcPr>
                <w:p w14:paraId="5757E6B4">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LAS</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57B92379">
                  <w:pPr>
                    <w:pStyle w:val="94"/>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10</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451D15B0">
                  <w:pPr>
                    <w:pStyle w:val="94"/>
                    <w:bidi w:val="0"/>
                    <w:ind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20</w:t>
                  </w:r>
                </w:p>
              </w:tc>
              <w:tc>
                <w:tcPr>
                  <w:tcW w:w="1079" w:type="pct"/>
                  <w:vMerge w:val="continue"/>
                  <w:tcBorders>
                    <w:left w:val="single" w:color="auto" w:sz="4" w:space="0"/>
                    <w:right w:val="single" w:color="auto" w:sz="4" w:space="0"/>
                  </w:tcBorders>
                  <w:noWrap w:val="0"/>
                  <w:vAlign w:val="center"/>
                </w:tcPr>
                <w:p w14:paraId="2538A0AD">
                  <w:pPr>
                    <w:pStyle w:val="94"/>
                    <w:bidi w:val="0"/>
                    <w:ind w:firstLine="0" w:firstLineChars="0"/>
                    <w:rPr>
                      <w:rFonts w:hint="default" w:ascii="Times New Roman" w:hAnsi="Times New Roman" w:eastAsia="宋体" w:cs="Times New Roman"/>
                      <w:color w:val="auto"/>
                      <w:kern w:val="0"/>
                      <w:sz w:val="22"/>
                      <w:szCs w:val="22"/>
                      <w:lang w:val="en-US" w:eastAsia="zh-CN" w:bidi="ar-SA"/>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55AEF7F6">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0.5</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ED8E603">
                  <w:pPr>
                    <w:pStyle w:val="94"/>
                    <w:bidi w:val="0"/>
                    <w:ind w:firstLine="0" w:firstLineChars="0"/>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0.5</w:t>
                  </w:r>
                </w:p>
              </w:tc>
              <w:tc>
                <w:tcPr>
                  <w:tcW w:w="606" w:type="pct"/>
                  <w:vMerge w:val="continue"/>
                  <w:tcBorders>
                    <w:left w:val="single" w:color="auto" w:sz="4" w:space="0"/>
                    <w:right w:val="single" w:color="auto" w:sz="4" w:space="0"/>
                  </w:tcBorders>
                  <w:noWrap w:val="0"/>
                  <w:vAlign w:val="center"/>
                </w:tcPr>
                <w:p w14:paraId="20B810F8">
                  <w:pPr>
                    <w:pStyle w:val="94"/>
                    <w:bidi w:val="0"/>
                    <w:ind w:firstLine="0" w:firstLineChars="0"/>
                    <w:rPr>
                      <w:rFonts w:hint="default" w:ascii="Times New Roman" w:hAnsi="Times New Roman" w:eastAsia="宋体" w:cs="Times New Roman"/>
                      <w:color w:val="auto"/>
                      <w:kern w:val="0"/>
                      <w:sz w:val="22"/>
                      <w:szCs w:val="22"/>
                      <w:lang w:val="en-US" w:eastAsia="zh-CN" w:bidi="ar-SA"/>
                    </w:rPr>
                  </w:pPr>
                </w:p>
              </w:tc>
              <w:tc>
                <w:tcPr>
                  <w:tcW w:w="351" w:type="pct"/>
                  <w:tcBorders>
                    <w:top w:val="single" w:color="auto" w:sz="4" w:space="0"/>
                    <w:left w:val="single" w:color="auto" w:sz="4" w:space="0"/>
                    <w:bottom w:val="single" w:color="auto" w:sz="4" w:space="0"/>
                    <w:right w:val="single" w:color="auto" w:sz="4" w:space="0"/>
                  </w:tcBorders>
                  <w:noWrap w:val="0"/>
                  <w:vAlign w:val="center"/>
                </w:tcPr>
                <w:p w14:paraId="621B0735">
                  <w:pPr>
                    <w:pStyle w:val="94"/>
                    <w:bidi w:val="0"/>
                    <w:ind w:firstLine="0" w:firstLineChars="0"/>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达标</w:t>
                  </w:r>
                </w:p>
              </w:tc>
            </w:tr>
            <w:tr w14:paraId="3125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trPr>
              <w:tc>
                <w:tcPr>
                  <w:tcW w:w="384" w:type="pct"/>
                  <w:vMerge w:val="continue"/>
                  <w:tcBorders>
                    <w:left w:val="single" w:color="auto" w:sz="4" w:space="0"/>
                    <w:right w:val="single" w:color="auto" w:sz="4" w:space="0"/>
                  </w:tcBorders>
                  <w:noWrap w:val="0"/>
                  <w:vAlign w:val="center"/>
                </w:tcPr>
                <w:p w14:paraId="084C210D">
                  <w:pPr>
                    <w:pStyle w:val="94"/>
                    <w:bidi w:val="0"/>
                    <w:rPr>
                      <w:rFonts w:hint="default" w:ascii="Times New Roman" w:hAnsi="Times New Roman" w:cs="Times New Roman"/>
                      <w:color w:val="auto"/>
                      <w:sz w:val="22"/>
                      <w:szCs w:val="22"/>
                    </w:rPr>
                  </w:pPr>
                </w:p>
              </w:tc>
              <w:tc>
                <w:tcPr>
                  <w:tcW w:w="448" w:type="pct"/>
                  <w:tcBorders>
                    <w:top w:val="single" w:color="auto" w:sz="4" w:space="0"/>
                    <w:left w:val="single" w:color="auto" w:sz="4" w:space="0"/>
                    <w:bottom w:val="single" w:color="auto" w:sz="4" w:space="0"/>
                    <w:right w:val="single" w:color="auto" w:sz="4" w:space="0"/>
                  </w:tcBorders>
                  <w:noWrap w:val="0"/>
                  <w:vAlign w:val="center"/>
                </w:tcPr>
                <w:p w14:paraId="6FA33AA0">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石油类</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81B51D3">
                  <w:pPr>
                    <w:pStyle w:val="94"/>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7</w:t>
                  </w:r>
                </w:p>
              </w:tc>
              <w:tc>
                <w:tcPr>
                  <w:tcW w:w="520" w:type="pct"/>
                  <w:tcBorders>
                    <w:top w:val="single" w:color="auto" w:sz="4" w:space="0"/>
                    <w:left w:val="single" w:color="auto" w:sz="4" w:space="0"/>
                    <w:bottom w:val="single" w:color="auto" w:sz="4" w:space="0"/>
                    <w:right w:val="single" w:color="auto" w:sz="4" w:space="0"/>
                  </w:tcBorders>
                  <w:noWrap w:val="0"/>
                  <w:vAlign w:val="center"/>
                </w:tcPr>
                <w:p w14:paraId="3F3B0AC2">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20</w:t>
                  </w:r>
                </w:p>
              </w:tc>
              <w:tc>
                <w:tcPr>
                  <w:tcW w:w="1079" w:type="pct"/>
                  <w:vMerge w:val="continue"/>
                  <w:tcBorders>
                    <w:left w:val="single" w:color="auto" w:sz="4" w:space="0"/>
                    <w:right w:val="single" w:color="auto" w:sz="4" w:space="0"/>
                  </w:tcBorders>
                  <w:noWrap w:val="0"/>
                  <w:vAlign w:val="center"/>
                </w:tcPr>
                <w:p w14:paraId="1F634AD3">
                  <w:pPr>
                    <w:pStyle w:val="94"/>
                    <w:bidi w:val="0"/>
                    <w:rPr>
                      <w:rFonts w:hint="default" w:ascii="Times New Roman" w:hAnsi="Times New Roman" w:cs="Times New Roman"/>
                      <w:color w:val="auto"/>
                      <w:sz w:val="22"/>
                      <w:szCs w:val="22"/>
                    </w:rPr>
                  </w:pPr>
                </w:p>
              </w:tc>
              <w:tc>
                <w:tcPr>
                  <w:tcW w:w="585" w:type="pct"/>
                  <w:tcBorders>
                    <w:top w:val="single" w:color="auto" w:sz="4" w:space="0"/>
                    <w:left w:val="single" w:color="auto" w:sz="4" w:space="0"/>
                    <w:bottom w:val="single" w:color="auto" w:sz="4" w:space="0"/>
                    <w:right w:val="single" w:color="auto" w:sz="4" w:space="0"/>
                  </w:tcBorders>
                  <w:noWrap w:val="0"/>
                  <w:vAlign w:val="center"/>
                </w:tcPr>
                <w:p w14:paraId="1C2DC32E">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CEE5D07">
                  <w:pPr>
                    <w:pStyle w:val="94"/>
                    <w:bidi w:val="0"/>
                    <w:ind w:firstLine="0" w:firstLineChars="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1</w:t>
                  </w:r>
                </w:p>
              </w:tc>
              <w:tc>
                <w:tcPr>
                  <w:tcW w:w="606" w:type="pct"/>
                  <w:vMerge w:val="continue"/>
                  <w:tcBorders>
                    <w:left w:val="single" w:color="auto" w:sz="4" w:space="0"/>
                    <w:right w:val="single" w:color="auto" w:sz="4" w:space="0"/>
                  </w:tcBorders>
                  <w:noWrap w:val="0"/>
                  <w:vAlign w:val="center"/>
                </w:tcPr>
                <w:p w14:paraId="1ACF84F5">
                  <w:pPr>
                    <w:pStyle w:val="94"/>
                    <w:bidi w:val="0"/>
                    <w:rPr>
                      <w:rFonts w:hint="default" w:ascii="Times New Roman" w:hAnsi="Times New Roman" w:cs="Times New Roman"/>
                      <w:color w:val="auto"/>
                      <w:sz w:val="22"/>
                      <w:szCs w:val="22"/>
                    </w:rPr>
                  </w:pPr>
                </w:p>
              </w:tc>
              <w:tc>
                <w:tcPr>
                  <w:tcW w:w="351" w:type="pct"/>
                  <w:tcBorders>
                    <w:top w:val="single" w:color="auto" w:sz="4" w:space="0"/>
                    <w:left w:val="single" w:color="auto" w:sz="4" w:space="0"/>
                    <w:bottom w:val="single" w:color="auto" w:sz="4" w:space="0"/>
                    <w:right w:val="single" w:color="auto" w:sz="4" w:space="0"/>
                  </w:tcBorders>
                  <w:noWrap w:val="0"/>
                  <w:vAlign w:val="center"/>
                </w:tcPr>
                <w:p w14:paraId="464617D1">
                  <w:pPr>
                    <w:pStyle w:val="94"/>
                    <w:bidi w:val="0"/>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达标</w:t>
                  </w:r>
                </w:p>
              </w:tc>
            </w:tr>
          </w:tbl>
          <w:p w14:paraId="2DD56F1B">
            <w:pPr>
              <w:pStyle w:val="4"/>
              <w:keepNext/>
              <w:keepLines/>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eastAsia="宋体" w:cs="Times New Roman"/>
                <w:b/>
                <w:bCs w:val="0"/>
                <w:kern w:val="2"/>
                <w:sz w:val="26"/>
                <w:szCs w:val="26"/>
                <w:lang w:val="en-US" w:eastAsia="zh-CN" w:bidi="ar-SA"/>
              </w:rPr>
            </w:pPr>
            <w:r>
              <w:rPr>
                <w:rFonts w:hint="default" w:ascii="Times New Roman" w:hAnsi="Times New Roman" w:eastAsia="宋体" w:cs="Times New Roman"/>
                <w:b/>
                <w:bCs w:val="0"/>
                <w:kern w:val="2"/>
                <w:sz w:val="26"/>
                <w:szCs w:val="26"/>
                <w:lang w:val="en-US" w:eastAsia="zh-CN" w:bidi="ar-SA"/>
              </w:rPr>
              <w:t>4.2.2.</w:t>
            </w:r>
            <w:r>
              <w:rPr>
                <w:rFonts w:hint="eastAsia" w:ascii="Times New Roman" w:hAnsi="Times New Roman" w:eastAsia="宋体" w:cs="Times New Roman"/>
                <w:b/>
                <w:bCs w:val="0"/>
                <w:kern w:val="2"/>
                <w:sz w:val="26"/>
                <w:szCs w:val="26"/>
                <w:lang w:val="en-US" w:eastAsia="zh-CN" w:bidi="ar-SA"/>
              </w:rPr>
              <w:t>3监测计划</w:t>
            </w:r>
          </w:p>
          <w:p w14:paraId="548A34DD">
            <w:pPr>
              <w:pStyle w:val="3"/>
              <w:keepNext/>
              <w:keepLines/>
              <w:pageBreakBefore w:val="0"/>
              <w:widowControl w:val="0"/>
              <w:kinsoku/>
              <w:wordWrap/>
              <w:overflowPunct/>
              <w:topLinePunct w:val="0"/>
              <w:autoSpaceDE/>
              <w:autoSpaceDN/>
              <w:bidi w:val="0"/>
              <w:adjustRightInd w:val="0"/>
              <w:snapToGrid w:val="0"/>
              <w:spacing w:before="0" w:after="0" w:line="460" w:lineRule="exact"/>
              <w:ind w:firstLine="520" w:firstLineChars="200"/>
              <w:textAlignment w:val="baseline"/>
              <w:rPr>
                <w:rFonts w:hint="default" w:ascii="Times New Roman" w:hAnsi="Times New Roman" w:eastAsia="宋体" w:cs="Times New Roman"/>
                <w:b w:val="0"/>
                <w:bCs w:val="0"/>
                <w:color w:val="auto"/>
                <w:kern w:val="2"/>
                <w:sz w:val="26"/>
                <w:szCs w:val="26"/>
                <w:lang w:val="en-US" w:eastAsia="zh-CN" w:bidi="ar-SA"/>
              </w:rPr>
            </w:pPr>
            <w:r>
              <w:rPr>
                <w:rFonts w:hint="default" w:ascii="Times New Roman" w:hAnsi="Times New Roman" w:eastAsia="宋体" w:cs="Times New Roman"/>
                <w:b w:val="0"/>
                <w:bCs w:val="0"/>
                <w:color w:val="auto"/>
                <w:kern w:val="2"/>
                <w:sz w:val="26"/>
                <w:szCs w:val="26"/>
                <w:lang w:val="en-US" w:eastAsia="zh-CN" w:bidi="ar-SA"/>
              </w:rPr>
              <w:t>根据《排污单位自行监测技术指南 总则》（HJ 819-2017）、《排污单位自行监测技术 指南储油库、加油站》（HJ1249-2022）、《排污许可证申请与核发技术规范 储油库、加油站》（HJ1118-2020）</w:t>
            </w:r>
            <w:r>
              <w:rPr>
                <w:rFonts w:hint="eastAsia" w:ascii="Times New Roman" w:hAnsi="Times New Roman" w:eastAsia="宋体" w:cs="Times New Roman"/>
                <w:b w:val="0"/>
                <w:bCs w:val="0"/>
                <w:color w:val="auto"/>
                <w:kern w:val="2"/>
                <w:sz w:val="26"/>
                <w:szCs w:val="26"/>
                <w:lang w:val="en-US" w:eastAsia="zh-CN" w:bidi="ar-SA"/>
              </w:rPr>
              <w:t>，</w:t>
            </w:r>
            <w:r>
              <w:rPr>
                <w:rFonts w:hint="default" w:ascii="Times New Roman" w:hAnsi="Times New Roman" w:eastAsia="宋体" w:cs="Times New Roman"/>
                <w:b w:val="0"/>
                <w:bCs w:val="0"/>
                <w:color w:val="auto"/>
                <w:kern w:val="2"/>
                <w:sz w:val="26"/>
                <w:szCs w:val="26"/>
                <w:lang w:val="en-US" w:eastAsia="zh-CN" w:bidi="ar-SA"/>
              </w:rPr>
              <w:t>项目运营后生活污水外排的自行监测频次见下表。</w:t>
            </w:r>
          </w:p>
          <w:p w14:paraId="3F2F9A49">
            <w:pPr>
              <w:numPr>
                <w:ilvl w:val="0"/>
                <w:numId w:val="0"/>
              </w:numPr>
              <w:spacing w:line="240" w:lineRule="auto"/>
              <w:jc w:val="center"/>
              <w:rPr>
                <w:rFonts w:hint="default" w:ascii="Times New Roman" w:hAnsi="Times New Roman" w:eastAsia="宋体" w:cs="Times New Roman"/>
                <w:color w:val="auto"/>
                <w:sz w:val="22"/>
                <w:szCs w:val="22"/>
                <w:highlight w:val="none"/>
                <w:vertAlign w:val="baseline"/>
                <w:lang w:val="en-US" w:eastAsia="zh-CN"/>
              </w:rPr>
            </w:pPr>
            <w:r>
              <w:rPr>
                <w:rFonts w:hint="default" w:ascii="Times New Roman" w:hAnsi="Times New Roman" w:eastAsia="宋体" w:cs="Times New Roman"/>
                <w:color w:val="auto"/>
                <w:sz w:val="22"/>
                <w:szCs w:val="22"/>
                <w:highlight w:val="none"/>
                <w:vertAlign w:val="baseline"/>
                <w:lang w:val="en-US" w:eastAsia="zh-CN"/>
              </w:rPr>
              <w:t>表4.2-</w:t>
            </w:r>
            <w:r>
              <w:rPr>
                <w:rFonts w:hint="eastAsia" w:cs="Times New Roman"/>
                <w:color w:val="auto"/>
                <w:sz w:val="22"/>
                <w:szCs w:val="22"/>
                <w:highlight w:val="none"/>
                <w:vertAlign w:val="baseline"/>
                <w:lang w:val="en-US" w:eastAsia="zh-CN"/>
              </w:rPr>
              <w:t>13</w:t>
            </w:r>
            <w:r>
              <w:rPr>
                <w:rFonts w:hint="default" w:ascii="Times New Roman" w:hAnsi="Times New Roman" w:eastAsia="宋体" w:cs="Times New Roman"/>
                <w:color w:val="auto"/>
                <w:sz w:val="22"/>
                <w:szCs w:val="22"/>
                <w:highlight w:val="none"/>
                <w:vertAlign w:val="baseline"/>
                <w:lang w:val="en-US" w:eastAsia="zh-CN"/>
              </w:rPr>
              <w:t xml:space="preserve">  废水自行监测内容</w:t>
            </w:r>
            <w:r>
              <w:rPr>
                <w:rFonts w:hint="eastAsia" w:cs="Times New Roman"/>
                <w:color w:val="auto"/>
                <w:sz w:val="22"/>
                <w:szCs w:val="22"/>
                <w:highlight w:val="none"/>
                <w:vertAlign w:val="baseline"/>
                <w:lang w:val="en-US" w:eastAsia="zh-CN"/>
              </w:rPr>
              <w:t>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445"/>
              <w:gridCol w:w="2968"/>
              <w:gridCol w:w="2044"/>
            </w:tblGrid>
            <w:tr w14:paraId="6251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pct"/>
                  <w:noWrap w:val="0"/>
                  <w:vAlign w:val="center"/>
                </w:tcPr>
                <w:p w14:paraId="68606F42">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default" w:ascii="Times New Roman" w:hAnsi="Times New Roman" w:eastAsia="宋体" w:cs="Times New Roman"/>
                      <w:color w:val="FF0000"/>
                      <w:sz w:val="22"/>
                      <w:szCs w:val="22"/>
                      <w:highlight w:val="none"/>
                      <w:vertAlign w:val="baseline"/>
                      <w:lang w:val="en-US" w:eastAsia="zh-CN"/>
                    </w:rPr>
                    <w:t>内容项目</w:t>
                  </w:r>
                </w:p>
              </w:tc>
              <w:tc>
                <w:tcPr>
                  <w:tcW w:w="914" w:type="pct"/>
                  <w:noWrap w:val="0"/>
                  <w:vAlign w:val="center"/>
                </w:tcPr>
                <w:p w14:paraId="1E8D7121">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default" w:ascii="Times New Roman" w:hAnsi="Times New Roman" w:eastAsia="宋体" w:cs="Times New Roman"/>
                      <w:color w:val="FF0000"/>
                      <w:sz w:val="22"/>
                      <w:szCs w:val="22"/>
                      <w:highlight w:val="none"/>
                      <w:vertAlign w:val="baseline"/>
                      <w:lang w:val="en-US" w:eastAsia="zh-CN"/>
                    </w:rPr>
                    <w:t>测点布置</w:t>
                  </w:r>
                </w:p>
              </w:tc>
              <w:tc>
                <w:tcPr>
                  <w:tcW w:w="1877" w:type="pct"/>
                  <w:noWrap w:val="0"/>
                  <w:vAlign w:val="center"/>
                </w:tcPr>
                <w:p w14:paraId="18B1624C">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default" w:ascii="Times New Roman" w:hAnsi="Times New Roman" w:eastAsia="宋体" w:cs="Times New Roman"/>
                      <w:color w:val="FF0000"/>
                      <w:sz w:val="22"/>
                      <w:szCs w:val="22"/>
                      <w:highlight w:val="none"/>
                      <w:vertAlign w:val="baseline"/>
                      <w:lang w:val="en-US" w:eastAsia="zh-CN"/>
                    </w:rPr>
                    <w:t>监测项目</w:t>
                  </w:r>
                </w:p>
              </w:tc>
              <w:tc>
                <w:tcPr>
                  <w:tcW w:w="1292" w:type="pct"/>
                  <w:noWrap w:val="0"/>
                  <w:vAlign w:val="center"/>
                </w:tcPr>
                <w:p w14:paraId="21CFF3DF">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default" w:ascii="Times New Roman" w:hAnsi="Times New Roman" w:eastAsia="宋体" w:cs="Times New Roman"/>
                      <w:color w:val="FF0000"/>
                      <w:sz w:val="22"/>
                      <w:szCs w:val="22"/>
                      <w:highlight w:val="none"/>
                      <w:vertAlign w:val="baseline"/>
                      <w:lang w:val="en-US" w:eastAsia="zh-CN"/>
                    </w:rPr>
                    <w:t>监测频次</w:t>
                  </w:r>
                </w:p>
              </w:tc>
            </w:tr>
            <w:tr w14:paraId="4E4F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pct"/>
                  <w:noWrap w:val="0"/>
                  <w:vAlign w:val="center"/>
                </w:tcPr>
                <w:p w14:paraId="06341FA9">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eastAsia" w:ascii="Times New Roman" w:hAnsi="Times New Roman" w:eastAsia="宋体" w:cs="Times New Roman"/>
                      <w:color w:val="FF0000"/>
                      <w:sz w:val="22"/>
                      <w:szCs w:val="22"/>
                      <w:highlight w:val="none"/>
                      <w:vertAlign w:val="baseline"/>
                      <w:lang w:val="en-US" w:eastAsia="zh-CN"/>
                    </w:rPr>
                    <w:t>废水</w:t>
                  </w:r>
                </w:p>
              </w:tc>
              <w:tc>
                <w:tcPr>
                  <w:tcW w:w="914" w:type="pct"/>
                  <w:noWrap w:val="0"/>
                  <w:vAlign w:val="center"/>
                </w:tcPr>
                <w:p w14:paraId="75F77902">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eastAsia"/>
                      <w:color w:val="FF0000"/>
                      <w:sz w:val="22"/>
                      <w:szCs w:val="22"/>
                      <w:lang w:val="en-US" w:eastAsia="zh-CN"/>
                    </w:rPr>
                    <w:t>化粪池出水和隔油池出水后的</w:t>
                  </w:r>
                  <w:r>
                    <w:rPr>
                      <w:rFonts w:hint="eastAsia"/>
                      <w:color w:val="FF0000"/>
                      <w:sz w:val="22"/>
                      <w:szCs w:val="22"/>
                    </w:rPr>
                    <w:t>废水</w:t>
                  </w:r>
                  <w:r>
                    <w:rPr>
                      <w:rFonts w:hint="eastAsia"/>
                      <w:color w:val="FF0000"/>
                      <w:sz w:val="22"/>
                      <w:szCs w:val="22"/>
                      <w:lang w:val="en-US" w:eastAsia="zh-CN"/>
                    </w:rPr>
                    <w:t>汇</w:t>
                  </w:r>
                  <w:r>
                    <w:rPr>
                      <w:rFonts w:hint="eastAsia"/>
                      <w:color w:val="FF0000"/>
                      <w:sz w:val="22"/>
                      <w:szCs w:val="22"/>
                    </w:rPr>
                    <w:t>总排口</w:t>
                  </w:r>
                </w:p>
              </w:tc>
              <w:tc>
                <w:tcPr>
                  <w:tcW w:w="1877" w:type="pct"/>
                  <w:noWrap w:val="0"/>
                  <w:vAlign w:val="center"/>
                </w:tcPr>
                <w:p w14:paraId="1AD7600C">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default" w:ascii="Times New Roman" w:hAnsi="Times New Roman" w:eastAsia="宋体" w:cs="Times New Roman"/>
                      <w:color w:val="FF0000"/>
                      <w:sz w:val="22"/>
                      <w:szCs w:val="22"/>
                      <w:highlight w:val="none"/>
                      <w:vertAlign w:val="baseline"/>
                      <w:lang w:val="en-US" w:eastAsia="zh-CN"/>
                    </w:rPr>
                    <w:t>流量、pH值、悬浮物、化学需氧量、五日生化需氧量、氨氮、</w:t>
                  </w:r>
                  <w:r>
                    <w:rPr>
                      <w:rFonts w:hint="eastAsia" w:ascii="Times New Roman" w:hAnsi="Times New Roman" w:eastAsia="宋体" w:cs="Times New Roman"/>
                      <w:color w:val="FF0000"/>
                      <w:sz w:val="22"/>
                      <w:szCs w:val="22"/>
                      <w:highlight w:val="none"/>
                      <w:vertAlign w:val="baseline"/>
                      <w:lang w:val="en-US" w:eastAsia="zh-CN"/>
                    </w:rPr>
                    <w:t>LAS</w:t>
                  </w:r>
                  <w:r>
                    <w:rPr>
                      <w:rFonts w:hint="default" w:ascii="Times New Roman" w:hAnsi="Times New Roman" w:eastAsia="宋体" w:cs="Times New Roman"/>
                      <w:color w:val="FF0000"/>
                      <w:sz w:val="22"/>
                      <w:szCs w:val="22"/>
                      <w:highlight w:val="none"/>
                      <w:vertAlign w:val="baseline"/>
                      <w:lang w:val="en-US" w:eastAsia="zh-CN"/>
                    </w:rPr>
                    <w:t>、</w:t>
                  </w:r>
                  <w:r>
                    <w:rPr>
                      <w:rFonts w:hint="eastAsia" w:ascii="Times New Roman" w:hAnsi="Times New Roman" w:eastAsia="宋体" w:cs="Times New Roman"/>
                      <w:color w:val="FF0000"/>
                      <w:sz w:val="22"/>
                      <w:szCs w:val="22"/>
                      <w:highlight w:val="none"/>
                      <w:vertAlign w:val="baseline"/>
                      <w:lang w:val="en-US" w:eastAsia="zh-CN"/>
                    </w:rPr>
                    <w:t>石油类</w:t>
                  </w:r>
                </w:p>
              </w:tc>
              <w:tc>
                <w:tcPr>
                  <w:tcW w:w="1292" w:type="pct"/>
                  <w:noWrap w:val="0"/>
                  <w:vAlign w:val="center"/>
                </w:tcPr>
                <w:p w14:paraId="32843B1D">
                  <w:pPr>
                    <w:numPr>
                      <w:ilvl w:val="0"/>
                      <w:numId w:val="0"/>
                    </w:numPr>
                    <w:spacing w:line="240" w:lineRule="auto"/>
                    <w:jc w:val="center"/>
                    <w:rPr>
                      <w:rFonts w:hint="default" w:ascii="Times New Roman" w:hAnsi="Times New Roman" w:eastAsia="宋体" w:cs="Times New Roman"/>
                      <w:color w:val="FF0000"/>
                      <w:sz w:val="22"/>
                      <w:szCs w:val="22"/>
                      <w:highlight w:val="none"/>
                      <w:vertAlign w:val="baseline"/>
                      <w:lang w:val="en-US" w:eastAsia="zh-CN"/>
                    </w:rPr>
                  </w:pPr>
                  <w:r>
                    <w:rPr>
                      <w:rFonts w:hint="default" w:ascii="Times New Roman" w:hAnsi="Times New Roman" w:eastAsia="宋体" w:cs="Times New Roman"/>
                      <w:color w:val="FF0000"/>
                      <w:sz w:val="22"/>
                      <w:szCs w:val="22"/>
                      <w:highlight w:val="none"/>
                      <w:vertAlign w:val="baseline"/>
                      <w:lang w:val="en-US" w:eastAsia="zh-CN"/>
                    </w:rPr>
                    <w:t>1次/</w:t>
                  </w:r>
                  <w:r>
                    <w:rPr>
                      <w:rFonts w:hint="eastAsia" w:ascii="Times New Roman" w:hAnsi="Times New Roman" w:eastAsia="宋体" w:cs="Times New Roman"/>
                      <w:color w:val="FF0000"/>
                      <w:sz w:val="22"/>
                      <w:szCs w:val="22"/>
                      <w:highlight w:val="none"/>
                      <w:vertAlign w:val="baseline"/>
                      <w:lang w:val="en-US" w:eastAsia="zh-CN"/>
                    </w:rPr>
                    <w:t>年</w:t>
                  </w:r>
                </w:p>
              </w:tc>
            </w:tr>
          </w:tbl>
          <w:p w14:paraId="5B6BB150">
            <w:pPr>
              <w:adjustRightInd w:val="0"/>
              <w:snapToGrid w:val="0"/>
              <w:spacing w:line="460" w:lineRule="exact"/>
              <w:ind w:firstLine="520" w:firstLineChars="200"/>
              <w:rPr>
                <w:sz w:val="26"/>
                <w:szCs w:val="26"/>
              </w:rPr>
            </w:pPr>
          </w:p>
        </w:tc>
      </w:tr>
    </w:tbl>
    <w:p w14:paraId="291EA575">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F102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7FFBEE38">
            <w:pPr>
              <w:adjustRightInd w:val="0"/>
              <w:snapToGrid w:val="0"/>
              <w:jc w:val="center"/>
              <w:rPr>
                <w:bCs/>
                <w:sz w:val="26"/>
                <w:szCs w:val="26"/>
              </w:rPr>
            </w:pPr>
            <w:r>
              <w:rPr>
                <w:bCs/>
                <w:sz w:val="26"/>
                <w:szCs w:val="26"/>
              </w:rPr>
              <w:t>运营</w:t>
            </w:r>
          </w:p>
          <w:p w14:paraId="7EEEDE97">
            <w:pPr>
              <w:adjustRightInd w:val="0"/>
              <w:snapToGrid w:val="0"/>
              <w:jc w:val="center"/>
              <w:rPr>
                <w:bCs/>
                <w:sz w:val="26"/>
                <w:szCs w:val="26"/>
              </w:rPr>
            </w:pPr>
            <w:r>
              <w:rPr>
                <w:bCs/>
                <w:sz w:val="26"/>
                <w:szCs w:val="26"/>
              </w:rPr>
              <w:t>期环</w:t>
            </w:r>
          </w:p>
          <w:p w14:paraId="2CDE37A0">
            <w:pPr>
              <w:adjustRightInd w:val="0"/>
              <w:snapToGrid w:val="0"/>
              <w:jc w:val="center"/>
              <w:rPr>
                <w:bCs/>
                <w:sz w:val="26"/>
                <w:szCs w:val="26"/>
              </w:rPr>
            </w:pPr>
            <w:r>
              <w:rPr>
                <w:bCs/>
                <w:sz w:val="26"/>
                <w:szCs w:val="26"/>
              </w:rPr>
              <w:t>境影</w:t>
            </w:r>
          </w:p>
          <w:p w14:paraId="6408B6D6">
            <w:pPr>
              <w:adjustRightInd w:val="0"/>
              <w:snapToGrid w:val="0"/>
              <w:jc w:val="center"/>
              <w:rPr>
                <w:bCs/>
                <w:sz w:val="26"/>
                <w:szCs w:val="26"/>
              </w:rPr>
            </w:pPr>
            <w:r>
              <w:rPr>
                <w:bCs/>
                <w:sz w:val="26"/>
                <w:szCs w:val="26"/>
              </w:rPr>
              <w:t>响和</w:t>
            </w:r>
          </w:p>
          <w:p w14:paraId="3D5B150C">
            <w:pPr>
              <w:adjustRightInd w:val="0"/>
              <w:snapToGrid w:val="0"/>
              <w:jc w:val="center"/>
              <w:rPr>
                <w:bCs/>
                <w:sz w:val="26"/>
                <w:szCs w:val="26"/>
              </w:rPr>
            </w:pPr>
            <w:r>
              <w:rPr>
                <w:bCs/>
                <w:sz w:val="26"/>
                <w:szCs w:val="26"/>
              </w:rPr>
              <w:t>保护</w:t>
            </w:r>
          </w:p>
          <w:p w14:paraId="6A433703">
            <w:pPr>
              <w:adjustRightInd w:val="0"/>
              <w:snapToGrid w:val="0"/>
              <w:jc w:val="center"/>
              <w:rPr>
                <w:bCs/>
                <w:szCs w:val="21"/>
              </w:rPr>
            </w:pPr>
            <w:r>
              <w:rPr>
                <w:bCs/>
                <w:sz w:val="26"/>
                <w:szCs w:val="26"/>
              </w:rPr>
              <w:t>措施</w:t>
            </w:r>
          </w:p>
        </w:tc>
        <w:tc>
          <w:tcPr>
            <w:tcW w:w="8162" w:type="dxa"/>
            <w:vAlign w:val="center"/>
          </w:tcPr>
          <w:p w14:paraId="37A06602">
            <w:pPr>
              <w:adjustRightInd w:val="0"/>
              <w:snapToGrid w:val="0"/>
              <w:spacing w:line="460" w:lineRule="exact"/>
              <w:rPr>
                <w:b/>
                <w:sz w:val="26"/>
                <w:szCs w:val="26"/>
              </w:rPr>
            </w:pPr>
            <w:r>
              <w:rPr>
                <w:b/>
                <w:sz w:val="26"/>
                <w:szCs w:val="26"/>
              </w:rPr>
              <w:t>4.2.3噪声影响分析及其防治措施</w:t>
            </w:r>
          </w:p>
          <w:p w14:paraId="1F763218">
            <w:pPr>
              <w:adjustRightInd w:val="0"/>
              <w:snapToGrid w:val="0"/>
              <w:spacing w:line="460" w:lineRule="exact"/>
              <w:rPr>
                <w:bCs/>
                <w:sz w:val="26"/>
                <w:szCs w:val="26"/>
              </w:rPr>
            </w:pPr>
            <w:r>
              <w:rPr>
                <w:rFonts w:hint="eastAsia"/>
                <w:bCs/>
                <w:sz w:val="26"/>
                <w:szCs w:val="26"/>
                <w:lang w:val="en-US" w:eastAsia="zh-CN"/>
              </w:rPr>
              <w:t>4.2.3.1</w:t>
            </w:r>
            <w:r>
              <w:rPr>
                <w:bCs/>
                <w:sz w:val="26"/>
                <w:szCs w:val="26"/>
              </w:rPr>
              <w:t>源强分析</w:t>
            </w:r>
          </w:p>
          <w:p w14:paraId="48F023F7">
            <w:pPr>
              <w:adjustRightInd w:val="0"/>
              <w:snapToGrid w:val="0"/>
              <w:spacing w:line="460" w:lineRule="exact"/>
              <w:ind w:firstLine="520" w:firstLineChars="200"/>
              <w:rPr>
                <w:kern w:val="0"/>
                <w:sz w:val="26"/>
                <w:szCs w:val="26"/>
              </w:rPr>
            </w:pPr>
            <w:r>
              <w:rPr>
                <w:rFonts w:hint="eastAsia"/>
                <w:kern w:val="0"/>
                <w:sz w:val="26"/>
                <w:szCs w:val="26"/>
              </w:rPr>
              <w:t>加油站噪声源强均较小，主要噪声源包括潜油泵、加油机、油罐车</w:t>
            </w:r>
            <w:r>
              <w:rPr>
                <w:rFonts w:hint="eastAsia"/>
                <w:kern w:val="0"/>
                <w:sz w:val="26"/>
                <w:szCs w:val="26"/>
                <w:lang w:eastAsia="zh-CN"/>
              </w:rPr>
              <w:t>、</w:t>
            </w:r>
            <w:r>
              <w:rPr>
                <w:rFonts w:hint="eastAsia"/>
                <w:kern w:val="0"/>
                <w:sz w:val="26"/>
                <w:szCs w:val="26"/>
                <w:lang w:val="en-US" w:eastAsia="zh-CN"/>
              </w:rPr>
              <w:t>洗车机</w:t>
            </w:r>
            <w:r>
              <w:rPr>
                <w:rFonts w:hint="eastAsia"/>
                <w:kern w:val="0"/>
                <w:sz w:val="26"/>
                <w:szCs w:val="26"/>
              </w:rPr>
              <w:t>以及加油车辆进出加油站时产生的噪声，噪声值约65-</w:t>
            </w:r>
            <w:r>
              <w:rPr>
                <w:rFonts w:hint="eastAsia"/>
                <w:kern w:val="0"/>
                <w:sz w:val="26"/>
                <w:szCs w:val="26"/>
                <w:lang w:val="en-US" w:eastAsia="zh-CN"/>
              </w:rPr>
              <w:t>75</w:t>
            </w:r>
            <w:r>
              <w:rPr>
                <w:rFonts w:hint="eastAsia"/>
                <w:kern w:val="0"/>
                <w:sz w:val="26"/>
                <w:szCs w:val="26"/>
              </w:rPr>
              <w:t>dB</w:t>
            </w:r>
            <w:r>
              <w:rPr>
                <w:rFonts w:hint="eastAsia"/>
                <w:kern w:val="0"/>
                <w:sz w:val="26"/>
                <w:szCs w:val="26"/>
                <w:lang w:eastAsia="zh-CN"/>
              </w:rPr>
              <w:t>（</w:t>
            </w:r>
            <w:r>
              <w:rPr>
                <w:rFonts w:hint="eastAsia"/>
                <w:kern w:val="0"/>
                <w:sz w:val="26"/>
                <w:szCs w:val="26"/>
              </w:rPr>
              <w:t>A</w:t>
            </w:r>
            <w:r>
              <w:rPr>
                <w:rFonts w:hint="eastAsia"/>
                <w:kern w:val="0"/>
                <w:sz w:val="26"/>
                <w:szCs w:val="26"/>
                <w:lang w:eastAsia="zh-CN"/>
              </w:rPr>
              <w:t>）</w:t>
            </w:r>
            <w:r>
              <w:rPr>
                <w:rFonts w:hint="eastAsia"/>
                <w:kern w:val="0"/>
                <w:sz w:val="26"/>
                <w:szCs w:val="26"/>
              </w:rPr>
              <w:t>。</w:t>
            </w:r>
          </w:p>
          <w:p w14:paraId="146C949E">
            <w:pPr>
              <w:adjustRightInd w:val="0"/>
              <w:snapToGrid w:val="0"/>
              <w:spacing w:line="460" w:lineRule="exact"/>
              <w:ind w:firstLine="520" w:firstLineChars="200"/>
              <w:rPr>
                <w:kern w:val="0"/>
                <w:sz w:val="26"/>
                <w:szCs w:val="26"/>
              </w:rPr>
            </w:pPr>
            <w:r>
              <w:rPr>
                <w:rFonts w:hint="eastAsia"/>
                <w:kern w:val="0"/>
                <w:sz w:val="26"/>
                <w:szCs w:val="26"/>
              </w:rPr>
              <w:t>本项目噪声主要来自车辆在进出站时产生的交通噪声和设备噪声。由于进站车辆噪声为间断性产生，汽车进站加油时会关闭发动机，故车辆噪声主要反映在驶进站过程和驶离站过程，由于进出站口均设置减速标志，车辆行驶速度较慢，其噪声源强较低，因此加油站车辆噪声不会造成噪声扰民。潜油泵置于油罐内，经油罐及地表覆土隔声，另柴油发电机仅在应急期间使用，频次较低，因此本评价仅预测加油机及自动洗车设备噪声的影响。其噪声值详见下表4.2</w:t>
            </w:r>
            <w:r>
              <w:rPr>
                <w:rFonts w:hint="eastAsia"/>
                <w:kern w:val="0"/>
                <w:sz w:val="26"/>
                <w:szCs w:val="26"/>
                <w:lang w:val="en-US" w:eastAsia="zh-CN"/>
              </w:rPr>
              <w:t>-14</w:t>
            </w:r>
            <w:r>
              <w:rPr>
                <w:rFonts w:hint="eastAsia"/>
                <w:kern w:val="0"/>
                <w:sz w:val="26"/>
                <w:szCs w:val="26"/>
              </w:rPr>
              <w:t>。</w:t>
            </w:r>
          </w:p>
          <w:p w14:paraId="2177486B">
            <w:pPr>
              <w:adjustRightInd w:val="0"/>
              <w:snapToGrid w:val="0"/>
              <w:spacing w:line="240" w:lineRule="auto"/>
              <w:jc w:val="center"/>
              <w:rPr>
                <w:bCs/>
                <w:kern w:val="0"/>
                <w:sz w:val="22"/>
                <w:szCs w:val="22"/>
              </w:rPr>
            </w:pPr>
            <w:r>
              <w:rPr>
                <w:sz w:val="22"/>
                <w:szCs w:val="22"/>
              </w:rPr>
              <w:t>表4.2</w:t>
            </w:r>
            <w:r>
              <w:rPr>
                <w:rFonts w:hint="eastAsia"/>
                <w:sz w:val="22"/>
                <w:szCs w:val="22"/>
                <w:lang w:val="en-US" w:eastAsia="zh-CN"/>
              </w:rPr>
              <w:t xml:space="preserve">-14  </w:t>
            </w:r>
            <w:r>
              <w:rPr>
                <w:rFonts w:hint="eastAsia"/>
                <w:sz w:val="22"/>
                <w:szCs w:val="22"/>
              </w:rPr>
              <w:t>营运期噪声排放源强调查清单（室外声源）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9"/>
              <w:gridCol w:w="926"/>
              <w:gridCol w:w="378"/>
              <w:gridCol w:w="660"/>
              <w:gridCol w:w="605"/>
              <w:gridCol w:w="606"/>
              <w:gridCol w:w="1382"/>
              <w:gridCol w:w="1701"/>
              <w:gridCol w:w="1299"/>
            </w:tblGrid>
            <w:tr w14:paraId="469C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79" w:type="dxa"/>
                  <w:vMerge w:val="restart"/>
                  <w:tcBorders>
                    <w:top w:val="single" w:color="auto" w:sz="4" w:space="0"/>
                    <w:left w:val="single" w:color="auto" w:sz="4" w:space="0"/>
                    <w:bottom w:val="single" w:color="auto" w:sz="4" w:space="0"/>
                    <w:right w:val="single" w:color="auto" w:sz="4" w:space="0"/>
                  </w:tcBorders>
                  <w:vAlign w:val="center"/>
                </w:tcPr>
                <w:p w14:paraId="74D7A948">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序号</w:t>
                  </w:r>
                </w:p>
              </w:tc>
              <w:tc>
                <w:tcPr>
                  <w:tcW w:w="926" w:type="dxa"/>
                  <w:vMerge w:val="restart"/>
                  <w:tcBorders>
                    <w:top w:val="single" w:color="auto" w:sz="4" w:space="0"/>
                    <w:left w:val="single" w:color="auto" w:sz="4" w:space="0"/>
                    <w:bottom w:val="single" w:color="auto" w:sz="4" w:space="0"/>
                    <w:right w:val="single" w:color="auto" w:sz="4" w:space="0"/>
                  </w:tcBorders>
                  <w:vAlign w:val="center"/>
                </w:tcPr>
                <w:p w14:paraId="10861EBA">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声源名称</w:t>
                  </w:r>
                </w:p>
              </w:tc>
              <w:tc>
                <w:tcPr>
                  <w:tcW w:w="378" w:type="dxa"/>
                  <w:vMerge w:val="restart"/>
                  <w:tcBorders>
                    <w:top w:val="single" w:color="auto" w:sz="4" w:space="0"/>
                    <w:left w:val="single" w:color="auto" w:sz="4" w:space="0"/>
                    <w:bottom w:val="single" w:color="auto" w:sz="4" w:space="0"/>
                    <w:right w:val="single" w:color="auto" w:sz="4" w:space="0"/>
                  </w:tcBorders>
                  <w:vAlign w:val="center"/>
                </w:tcPr>
                <w:p w14:paraId="04558AE2">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型号</w:t>
                  </w:r>
                </w:p>
              </w:tc>
              <w:tc>
                <w:tcPr>
                  <w:tcW w:w="1871" w:type="dxa"/>
                  <w:gridSpan w:val="3"/>
                  <w:tcBorders>
                    <w:top w:val="single" w:color="auto" w:sz="4" w:space="0"/>
                    <w:left w:val="single" w:color="auto" w:sz="4" w:space="0"/>
                    <w:bottom w:val="single" w:color="auto" w:sz="4" w:space="0"/>
                    <w:right w:val="single" w:color="auto" w:sz="4" w:space="0"/>
                  </w:tcBorders>
                  <w:vAlign w:val="center"/>
                </w:tcPr>
                <w:p w14:paraId="60BDB440">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空间相对位置/m</w:t>
                  </w:r>
                </w:p>
              </w:tc>
              <w:tc>
                <w:tcPr>
                  <w:tcW w:w="1382" w:type="dxa"/>
                  <w:tcBorders>
                    <w:top w:val="single" w:color="auto" w:sz="4" w:space="0"/>
                    <w:left w:val="single" w:color="auto" w:sz="4" w:space="0"/>
                    <w:bottom w:val="single" w:color="auto" w:sz="4" w:space="0"/>
                    <w:right w:val="single" w:color="auto" w:sz="4" w:space="0"/>
                  </w:tcBorders>
                  <w:vAlign w:val="center"/>
                </w:tcPr>
                <w:p w14:paraId="68B8E545">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声源源强</w:t>
                  </w:r>
                </w:p>
              </w:tc>
              <w:tc>
                <w:tcPr>
                  <w:tcW w:w="1701" w:type="dxa"/>
                  <w:vMerge w:val="restart"/>
                  <w:tcBorders>
                    <w:top w:val="single" w:color="auto" w:sz="4" w:space="0"/>
                    <w:left w:val="single" w:color="auto" w:sz="4" w:space="0"/>
                    <w:right w:val="single" w:color="auto" w:sz="4" w:space="0"/>
                  </w:tcBorders>
                  <w:vAlign w:val="center"/>
                </w:tcPr>
                <w:p w14:paraId="18408918">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声源控制措施</w:t>
                  </w:r>
                </w:p>
              </w:tc>
              <w:tc>
                <w:tcPr>
                  <w:tcW w:w="1299" w:type="dxa"/>
                  <w:vMerge w:val="restart"/>
                  <w:tcBorders>
                    <w:top w:val="single" w:color="auto" w:sz="4" w:space="0"/>
                    <w:left w:val="single" w:color="auto" w:sz="4" w:space="0"/>
                    <w:right w:val="single" w:color="auto" w:sz="4" w:space="0"/>
                  </w:tcBorders>
                  <w:vAlign w:val="center"/>
                </w:tcPr>
                <w:p w14:paraId="7ED82F50">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运行时段</w:t>
                  </w:r>
                </w:p>
              </w:tc>
            </w:tr>
            <w:tr w14:paraId="26CD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dxa"/>
                  <w:vMerge w:val="continue"/>
                  <w:tcBorders>
                    <w:top w:val="single" w:color="auto" w:sz="4" w:space="0"/>
                    <w:left w:val="single" w:color="auto" w:sz="4" w:space="0"/>
                    <w:bottom w:val="single" w:color="auto" w:sz="4" w:space="0"/>
                    <w:right w:val="single" w:color="auto" w:sz="4" w:space="0"/>
                  </w:tcBorders>
                  <w:vAlign w:val="center"/>
                </w:tcPr>
                <w:p w14:paraId="6B0C3F2D">
                  <w:pPr>
                    <w:widowControl/>
                    <w:jc w:val="center"/>
                    <w:rPr>
                      <w:rFonts w:hint="default" w:ascii="Times New Roman" w:hAnsi="Times New Roman" w:eastAsia="宋体" w:cs="Times New Roman"/>
                      <w:sz w:val="22"/>
                      <w:szCs w:val="22"/>
                    </w:rPr>
                  </w:pPr>
                </w:p>
              </w:tc>
              <w:tc>
                <w:tcPr>
                  <w:tcW w:w="926" w:type="dxa"/>
                  <w:vMerge w:val="continue"/>
                  <w:tcBorders>
                    <w:top w:val="single" w:color="auto" w:sz="4" w:space="0"/>
                    <w:left w:val="single" w:color="auto" w:sz="4" w:space="0"/>
                    <w:bottom w:val="single" w:color="auto" w:sz="4" w:space="0"/>
                    <w:right w:val="single" w:color="auto" w:sz="4" w:space="0"/>
                  </w:tcBorders>
                  <w:vAlign w:val="center"/>
                </w:tcPr>
                <w:p w14:paraId="4FE09317">
                  <w:pPr>
                    <w:widowControl/>
                    <w:jc w:val="center"/>
                    <w:rPr>
                      <w:rFonts w:hint="default" w:ascii="Times New Roman" w:hAnsi="Times New Roman" w:eastAsia="宋体" w:cs="Times New Roman"/>
                      <w:sz w:val="22"/>
                      <w:szCs w:val="22"/>
                    </w:rPr>
                  </w:pPr>
                </w:p>
              </w:tc>
              <w:tc>
                <w:tcPr>
                  <w:tcW w:w="378" w:type="dxa"/>
                  <w:vMerge w:val="continue"/>
                  <w:tcBorders>
                    <w:top w:val="single" w:color="auto" w:sz="4" w:space="0"/>
                    <w:left w:val="single" w:color="auto" w:sz="4" w:space="0"/>
                    <w:bottom w:val="single" w:color="auto" w:sz="4" w:space="0"/>
                    <w:right w:val="single" w:color="auto" w:sz="4" w:space="0"/>
                  </w:tcBorders>
                  <w:vAlign w:val="center"/>
                </w:tcPr>
                <w:p w14:paraId="7577A900">
                  <w:pPr>
                    <w:widowControl/>
                    <w:jc w:val="center"/>
                    <w:rPr>
                      <w:rFonts w:hint="default" w:ascii="Times New Roman" w:hAnsi="Times New Roman" w:eastAsia="宋体" w:cs="Times New Roman"/>
                      <w:sz w:val="22"/>
                      <w:szCs w:val="22"/>
                    </w:rPr>
                  </w:pPr>
                </w:p>
              </w:tc>
              <w:tc>
                <w:tcPr>
                  <w:tcW w:w="660" w:type="dxa"/>
                  <w:tcBorders>
                    <w:top w:val="single" w:color="auto" w:sz="4" w:space="0"/>
                    <w:left w:val="single" w:color="auto" w:sz="4" w:space="0"/>
                    <w:bottom w:val="single" w:color="auto" w:sz="4" w:space="0"/>
                    <w:right w:val="single" w:color="auto" w:sz="4" w:space="0"/>
                  </w:tcBorders>
                  <w:vAlign w:val="center"/>
                </w:tcPr>
                <w:p w14:paraId="0A9B686E">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i/>
                      <w:sz w:val="22"/>
                      <w:szCs w:val="22"/>
                    </w:rPr>
                    <w:t>X</w:t>
                  </w:r>
                </w:p>
              </w:tc>
              <w:tc>
                <w:tcPr>
                  <w:tcW w:w="605" w:type="dxa"/>
                  <w:tcBorders>
                    <w:top w:val="single" w:color="auto" w:sz="4" w:space="0"/>
                    <w:left w:val="single" w:color="auto" w:sz="4" w:space="0"/>
                    <w:bottom w:val="single" w:color="auto" w:sz="4" w:space="0"/>
                    <w:right w:val="single" w:color="auto" w:sz="4" w:space="0"/>
                  </w:tcBorders>
                  <w:vAlign w:val="center"/>
                </w:tcPr>
                <w:p w14:paraId="0701E828">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i/>
                      <w:sz w:val="22"/>
                      <w:szCs w:val="22"/>
                    </w:rPr>
                    <w:t>Y</w:t>
                  </w:r>
                </w:p>
              </w:tc>
              <w:tc>
                <w:tcPr>
                  <w:tcW w:w="606" w:type="dxa"/>
                  <w:tcBorders>
                    <w:top w:val="single" w:color="auto" w:sz="4" w:space="0"/>
                    <w:left w:val="single" w:color="auto" w:sz="4" w:space="0"/>
                    <w:bottom w:val="single" w:color="auto" w:sz="4" w:space="0"/>
                    <w:right w:val="single" w:color="auto" w:sz="4" w:space="0"/>
                  </w:tcBorders>
                  <w:vAlign w:val="center"/>
                </w:tcPr>
                <w:p w14:paraId="6F33EFBD">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i/>
                      <w:sz w:val="22"/>
                      <w:szCs w:val="22"/>
                    </w:rPr>
                    <w:t>Z</w:t>
                  </w:r>
                </w:p>
              </w:tc>
              <w:tc>
                <w:tcPr>
                  <w:tcW w:w="1382" w:type="dxa"/>
                  <w:tcBorders>
                    <w:top w:val="single" w:color="auto" w:sz="4" w:space="0"/>
                    <w:left w:val="single" w:color="auto" w:sz="4" w:space="0"/>
                    <w:bottom w:val="single" w:color="auto" w:sz="4" w:space="0"/>
                    <w:right w:val="single" w:color="auto" w:sz="4" w:space="0"/>
                  </w:tcBorders>
                  <w:vAlign w:val="center"/>
                </w:tcPr>
                <w:p w14:paraId="3681221E">
                  <w:pPr>
                    <w:widowControl/>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（声压级/距声源距离）/（</w:t>
                  </w:r>
                  <w:r>
                    <w:rPr>
                      <w:rFonts w:hint="default" w:ascii="Times New Roman" w:hAnsi="Times New Roman" w:eastAsia="宋体" w:cs="Times New Roman"/>
                      <w:spacing w:val="1"/>
                      <w:sz w:val="22"/>
                      <w:szCs w:val="22"/>
                    </w:rPr>
                    <w:t>d</w:t>
                  </w:r>
                  <w:r>
                    <w:rPr>
                      <w:rFonts w:hint="default" w:ascii="Times New Roman" w:hAnsi="Times New Roman" w:eastAsia="宋体" w:cs="Times New Roman"/>
                      <w:sz w:val="22"/>
                      <w:szCs w:val="22"/>
                    </w:rPr>
                    <w:t>B</w:t>
                  </w:r>
                  <w:r>
                    <w:rPr>
                      <w:rFonts w:hint="default" w:ascii="Times New Roman" w:hAnsi="Times New Roman" w:eastAsia="宋体" w:cs="Times New Roman"/>
                      <w:spacing w:val="-3"/>
                      <w:sz w:val="22"/>
                      <w:szCs w:val="22"/>
                    </w:rPr>
                    <w:t>(</w:t>
                  </w:r>
                  <w:r>
                    <w:rPr>
                      <w:rFonts w:hint="default" w:ascii="Times New Roman" w:hAnsi="Times New Roman" w:eastAsia="宋体" w:cs="Times New Roman"/>
                      <w:sz w:val="22"/>
                      <w:szCs w:val="22"/>
                    </w:rPr>
                    <w:t>A</w:t>
                  </w:r>
                  <w:r>
                    <w:rPr>
                      <w:rFonts w:hint="default" w:ascii="Times New Roman" w:hAnsi="Times New Roman" w:eastAsia="宋体" w:cs="Times New Roman"/>
                      <w:spacing w:val="-1"/>
                      <w:sz w:val="22"/>
                      <w:szCs w:val="22"/>
                    </w:rPr>
                    <w:t>)</w:t>
                  </w:r>
                  <w:r>
                    <w:rPr>
                      <w:rFonts w:hint="default" w:ascii="Times New Roman" w:hAnsi="Times New Roman" w:eastAsia="宋体" w:cs="Times New Roman"/>
                      <w:sz w:val="22"/>
                      <w:szCs w:val="22"/>
                    </w:rPr>
                    <w:t>/</w:t>
                  </w:r>
                  <w:r>
                    <w:rPr>
                      <w:rFonts w:hint="default" w:ascii="Times New Roman" w:hAnsi="Times New Roman" w:eastAsia="宋体" w:cs="Times New Roman"/>
                      <w:spacing w:val="-4"/>
                      <w:sz w:val="22"/>
                      <w:szCs w:val="22"/>
                    </w:rPr>
                    <w:t>m</w:t>
                  </w:r>
                  <w:r>
                    <w:rPr>
                      <w:rFonts w:hint="default" w:ascii="Times New Roman" w:hAnsi="Times New Roman" w:eastAsia="宋体" w:cs="Times New Roman"/>
                      <w:sz w:val="22"/>
                      <w:szCs w:val="22"/>
                    </w:rPr>
                    <w:t>）</w:t>
                  </w:r>
                </w:p>
              </w:tc>
              <w:tc>
                <w:tcPr>
                  <w:tcW w:w="1701" w:type="dxa"/>
                  <w:vMerge w:val="continue"/>
                  <w:tcBorders>
                    <w:left w:val="single" w:color="auto" w:sz="4" w:space="0"/>
                    <w:bottom w:val="single" w:color="auto" w:sz="4" w:space="0"/>
                    <w:right w:val="single" w:color="auto" w:sz="4" w:space="0"/>
                  </w:tcBorders>
                  <w:vAlign w:val="center"/>
                </w:tcPr>
                <w:p w14:paraId="1306A780">
                  <w:pPr>
                    <w:widowControl/>
                    <w:jc w:val="center"/>
                    <w:rPr>
                      <w:rFonts w:hint="default" w:ascii="Times New Roman" w:hAnsi="Times New Roman" w:eastAsia="宋体" w:cs="Times New Roman"/>
                      <w:sz w:val="22"/>
                      <w:szCs w:val="22"/>
                    </w:rPr>
                  </w:pPr>
                </w:p>
              </w:tc>
              <w:tc>
                <w:tcPr>
                  <w:tcW w:w="1299" w:type="dxa"/>
                  <w:vMerge w:val="continue"/>
                  <w:tcBorders>
                    <w:left w:val="single" w:color="auto" w:sz="4" w:space="0"/>
                    <w:bottom w:val="single" w:color="auto" w:sz="4" w:space="0"/>
                    <w:right w:val="single" w:color="auto" w:sz="4" w:space="0"/>
                  </w:tcBorders>
                  <w:vAlign w:val="center"/>
                </w:tcPr>
                <w:p w14:paraId="0154A1BC">
                  <w:pPr>
                    <w:widowControl/>
                    <w:jc w:val="center"/>
                    <w:rPr>
                      <w:rFonts w:hint="default" w:ascii="Times New Roman" w:hAnsi="Times New Roman" w:eastAsia="宋体" w:cs="Times New Roman"/>
                      <w:sz w:val="22"/>
                      <w:szCs w:val="22"/>
                    </w:rPr>
                  </w:pPr>
                </w:p>
              </w:tc>
            </w:tr>
            <w:tr w14:paraId="30B6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79" w:type="dxa"/>
                  <w:tcBorders>
                    <w:top w:val="single" w:color="auto" w:sz="4" w:space="0"/>
                    <w:left w:val="single" w:color="auto" w:sz="4" w:space="0"/>
                    <w:bottom w:val="single" w:color="auto" w:sz="4" w:space="0"/>
                    <w:right w:val="single" w:color="auto" w:sz="4" w:space="0"/>
                  </w:tcBorders>
                  <w:vAlign w:val="center"/>
                </w:tcPr>
                <w:p w14:paraId="300262E1">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1</w:t>
                  </w:r>
                </w:p>
              </w:tc>
              <w:tc>
                <w:tcPr>
                  <w:tcW w:w="926" w:type="dxa"/>
                  <w:tcBorders>
                    <w:top w:val="single" w:color="auto" w:sz="4" w:space="0"/>
                    <w:left w:val="single" w:color="auto" w:sz="4" w:space="0"/>
                    <w:bottom w:val="single" w:color="auto" w:sz="4" w:space="0"/>
                    <w:right w:val="single" w:color="auto" w:sz="4" w:space="0"/>
                  </w:tcBorders>
                  <w:vAlign w:val="center"/>
                </w:tcPr>
                <w:p w14:paraId="66982026">
                  <w:pPr>
                    <w:pStyle w:val="54"/>
                    <w:autoSpaceDE w:val="0"/>
                    <w:autoSpaceDN w:val="0"/>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z w:val="22"/>
                      <w:szCs w:val="22"/>
                    </w:rPr>
                    <w:t>加油机1</w:t>
                  </w:r>
                </w:p>
              </w:tc>
              <w:tc>
                <w:tcPr>
                  <w:tcW w:w="378" w:type="dxa"/>
                  <w:tcBorders>
                    <w:top w:val="single" w:color="auto" w:sz="4" w:space="0"/>
                    <w:left w:val="single" w:color="auto" w:sz="4" w:space="0"/>
                    <w:bottom w:val="single" w:color="auto" w:sz="4" w:space="0"/>
                    <w:right w:val="single" w:color="auto" w:sz="4" w:space="0"/>
                  </w:tcBorders>
                  <w:vAlign w:val="center"/>
                </w:tcPr>
                <w:p w14:paraId="75164228">
                  <w:pPr>
                    <w:pStyle w:val="54"/>
                    <w:autoSpaceDE w:val="0"/>
                    <w:autoSpaceDN w:val="0"/>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w:t>
                  </w:r>
                </w:p>
              </w:tc>
              <w:tc>
                <w:tcPr>
                  <w:tcW w:w="660" w:type="dxa"/>
                  <w:tcBorders>
                    <w:top w:val="single" w:color="auto" w:sz="4" w:space="0"/>
                    <w:left w:val="single" w:color="auto" w:sz="4" w:space="0"/>
                    <w:bottom w:val="single" w:color="auto" w:sz="4" w:space="0"/>
                    <w:right w:val="single" w:color="auto" w:sz="4" w:space="0"/>
                  </w:tcBorders>
                  <w:vAlign w:val="center"/>
                </w:tcPr>
                <w:p w14:paraId="71F4F3B6">
                  <w:pPr>
                    <w:autoSpaceDE w:val="0"/>
                    <w:autoSpaceDN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bCs/>
                      <w:color w:val="auto"/>
                      <w:kern w:val="0"/>
                      <w:sz w:val="22"/>
                      <w:szCs w:val="22"/>
                      <w:lang w:val="en-US" w:eastAsia="zh-CN"/>
                    </w:rPr>
                    <w:t>3.8</w:t>
                  </w:r>
                </w:p>
              </w:tc>
              <w:tc>
                <w:tcPr>
                  <w:tcW w:w="605" w:type="dxa"/>
                  <w:tcBorders>
                    <w:top w:val="single" w:color="auto" w:sz="4" w:space="0"/>
                    <w:left w:val="single" w:color="auto" w:sz="4" w:space="0"/>
                    <w:bottom w:val="single" w:color="auto" w:sz="4" w:space="0"/>
                    <w:right w:val="single" w:color="auto" w:sz="4" w:space="0"/>
                  </w:tcBorders>
                  <w:vAlign w:val="center"/>
                </w:tcPr>
                <w:p w14:paraId="5D367EA2">
                  <w:pPr>
                    <w:autoSpaceDE w:val="0"/>
                    <w:autoSpaceDN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bCs/>
                      <w:color w:val="auto"/>
                      <w:kern w:val="0"/>
                      <w:sz w:val="22"/>
                      <w:szCs w:val="22"/>
                      <w:lang w:val="en-US" w:eastAsia="zh-CN"/>
                    </w:rPr>
                    <w:t>6.95</w:t>
                  </w:r>
                </w:p>
              </w:tc>
              <w:tc>
                <w:tcPr>
                  <w:tcW w:w="606" w:type="dxa"/>
                  <w:tcBorders>
                    <w:top w:val="single" w:color="auto" w:sz="4" w:space="0"/>
                    <w:left w:val="single" w:color="auto" w:sz="4" w:space="0"/>
                    <w:bottom w:val="single" w:color="auto" w:sz="4" w:space="0"/>
                    <w:right w:val="single" w:color="auto" w:sz="4" w:space="0"/>
                  </w:tcBorders>
                  <w:vAlign w:val="center"/>
                </w:tcPr>
                <w:p w14:paraId="0EA4EDE3">
                  <w:pPr>
                    <w:autoSpaceDE w:val="0"/>
                    <w:autoSpaceDN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bCs/>
                      <w:color w:val="auto"/>
                      <w:kern w:val="0"/>
                      <w:sz w:val="22"/>
                      <w:szCs w:val="22"/>
                    </w:rPr>
                    <w:t>2</w:t>
                  </w:r>
                </w:p>
              </w:tc>
              <w:tc>
                <w:tcPr>
                  <w:tcW w:w="1382" w:type="dxa"/>
                  <w:tcBorders>
                    <w:top w:val="single" w:color="auto" w:sz="4" w:space="0"/>
                    <w:left w:val="single" w:color="auto" w:sz="4" w:space="0"/>
                    <w:right w:val="single" w:color="auto" w:sz="4" w:space="0"/>
                  </w:tcBorders>
                  <w:vAlign w:val="center"/>
                </w:tcPr>
                <w:p w14:paraId="6846D98E">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rPr>
                    <w:t>5/1</w:t>
                  </w:r>
                </w:p>
              </w:tc>
              <w:tc>
                <w:tcPr>
                  <w:tcW w:w="1701" w:type="dxa"/>
                  <w:tcBorders>
                    <w:top w:val="single" w:color="auto" w:sz="4" w:space="0"/>
                    <w:left w:val="single" w:color="auto" w:sz="4" w:space="0"/>
                    <w:right w:val="single" w:color="auto" w:sz="4" w:space="0"/>
                  </w:tcBorders>
                  <w:vAlign w:val="center"/>
                </w:tcPr>
                <w:p w14:paraId="0115105B">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低噪设备、减振</w:t>
                  </w:r>
                </w:p>
              </w:tc>
              <w:tc>
                <w:tcPr>
                  <w:tcW w:w="1299" w:type="dxa"/>
                  <w:tcBorders>
                    <w:top w:val="single" w:color="auto" w:sz="4" w:space="0"/>
                    <w:left w:val="single" w:color="auto" w:sz="4" w:space="0"/>
                    <w:right w:val="single" w:color="auto" w:sz="4" w:space="0"/>
                  </w:tcBorders>
                  <w:vAlign w:val="center"/>
                </w:tcPr>
                <w:p w14:paraId="20211886">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昼间、夜间</w:t>
                  </w:r>
                </w:p>
              </w:tc>
            </w:tr>
            <w:tr w14:paraId="38F4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379" w:type="dxa"/>
                  <w:tcBorders>
                    <w:top w:val="single" w:color="auto" w:sz="4" w:space="0"/>
                    <w:left w:val="single" w:color="auto" w:sz="4" w:space="0"/>
                    <w:bottom w:val="single" w:color="auto" w:sz="4" w:space="0"/>
                    <w:right w:val="single" w:color="auto" w:sz="4" w:space="0"/>
                  </w:tcBorders>
                  <w:vAlign w:val="center"/>
                </w:tcPr>
                <w:p w14:paraId="6916A563">
                  <w:pPr>
                    <w:pStyle w:val="54"/>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2</w:t>
                  </w:r>
                </w:p>
              </w:tc>
              <w:tc>
                <w:tcPr>
                  <w:tcW w:w="926" w:type="dxa"/>
                  <w:tcBorders>
                    <w:top w:val="single" w:color="auto" w:sz="4" w:space="0"/>
                    <w:left w:val="single" w:color="auto" w:sz="4" w:space="0"/>
                    <w:bottom w:val="single" w:color="auto" w:sz="4" w:space="0"/>
                    <w:right w:val="single" w:color="auto" w:sz="4" w:space="0"/>
                  </w:tcBorders>
                  <w:vAlign w:val="center"/>
                </w:tcPr>
                <w:p w14:paraId="24D3AA82">
                  <w:pPr>
                    <w:pStyle w:val="54"/>
                    <w:autoSpaceDE w:val="0"/>
                    <w:autoSpaceDN w:val="0"/>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z w:val="22"/>
                      <w:szCs w:val="22"/>
                    </w:rPr>
                    <w:t>加油机2</w:t>
                  </w:r>
                </w:p>
              </w:tc>
              <w:tc>
                <w:tcPr>
                  <w:tcW w:w="378" w:type="dxa"/>
                  <w:tcBorders>
                    <w:top w:val="single" w:color="auto" w:sz="4" w:space="0"/>
                    <w:left w:val="single" w:color="auto" w:sz="4" w:space="0"/>
                    <w:bottom w:val="single" w:color="auto" w:sz="4" w:space="0"/>
                    <w:right w:val="single" w:color="auto" w:sz="4" w:space="0"/>
                  </w:tcBorders>
                  <w:vAlign w:val="center"/>
                </w:tcPr>
                <w:p w14:paraId="67410FCC">
                  <w:pPr>
                    <w:pStyle w:val="54"/>
                    <w:autoSpaceDE w:val="0"/>
                    <w:autoSpaceDN w:val="0"/>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w:t>
                  </w:r>
                </w:p>
              </w:tc>
              <w:tc>
                <w:tcPr>
                  <w:tcW w:w="660" w:type="dxa"/>
                  <w:tcBorders>
                    <w:top w:val="single" w:color="auto" w:sz="4" w:space="0"/>
                    <w:left w:val="single" w:color="auto" w:sz="4" w:space="0"/>
                    <w:bottom w:val="single" w:color="auto" w:sz="4" w:space="0"/>
                    <w:right w:val="single" w:color="auto" w:sz="4" w:space="0"/>
                  </w:tcBorders>
                  <w:vAlign w:val="center"/>
                </w:tcPr>
                <w:p w14:paraId="4607E564">
                  <w:pPr>
                    <w:autoSpaceDE w:val="0"/>
                    <w:autoSpaceDN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bCs/>
                      <w:color w:val="auto"/>
                      <w:kern w:val="0"/>
                      <w:sz w:val="22"/>
                      <w:szCs w:val="22"/>
                      <w:lang w:val="en-US" w:eastAsia="zh-CN"/>
                    </w:rPr>
                    <w:t>5.01</w:t>
                  </w:r>
                </w:p>
              </w:tc>
              <w:tc>
                <w:tcPr>
                  <w:tcW w:w="605" w:type="dxa"/>
                  <w:tcBorders>
                    <w:top w:val="single" w:color="auto" w:sz="4" w:space="0"/>
                    <w:left w:val="single" w:color="auto" w:sz="4" w:space="0"/>
                    <w:bottom w:val="single" w:color="auto" w:sz="4" w:space="0"/>
                    <w:right w:val="single" w:color="auto" w:sz="4" w:space="0"/>
                  </w:tcBorders>
                  <w:vAlign w:val="center"/>
                </w:tcPr>
                <w:p w14:paraId="37F816D4">
                  <w:pPr>
                    <w:autoSpaceDE w:val="0"/>
                    <w:autoSpaceDN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bCs/>
                      <w:color w:val="auto"/>
                      <w:kern w:val="0"/>
                      <w:sz w:val="22"/>
                      <w:szCs w:val="22"/>
                      <w:lang w:val="en-US" w:eastAsia="zh-CN"/>
                    </w:rPr>
                    <w:t>-2.46</w:t>
                  </w:r>
                </w:p>
              </w:tc>
              <w:tc>
                <w:tcPr>
                  <w:tcW w:w="606" w:type="dxa"/>
                  <w:tcBorders>
                    <w:top w:val="single" w:color="auto" w:sz="4" w:space="0"/>
                    <w:left w:val="single" w:color="auto" w:sz="4" w:space="0"/>
                    <w:bottom w:val="single" w:color="auto" w:sz="4" w:space="0"/>
                    <w:right w:val="single" w:color="auto" w:sz="4" w:space="0"/>
                  </w:tcBorders>
                  <w:vAlign w:val="center"/>
                </w:tcPr>
                <w:p w14:paraId="43909344">
                  <w:pPr>
                    <w:autoSpaceDE w:val="0"/>
                    <w:autoSpaceDN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bCs/>
                      <w:color w:val="auto"/>
                      <w:kern w:val="0"/>
                      <w:sz w:val="22"/>
                      <w:szCs w:val="22"/>
                    </w:rPr>
                    <w:t>2</w:t>
                  </w:r>
                </w:p>
              </w:tc>
              <w:tc>
                <w:tcPr>
                  <w:tcW w:w="1382" w:type="dxa"/>
                  <w:tcBorders>
                    <w:top w:val="single" w:color="auto" w:sz="4" w:space="0"/>
                    <w:left w:val="single" w:color="auto" w:sz="4" w:space="0"/>
                    <w:right w:val="single" w:color="auto" w:sz="4" w:space="0"/>
                  </w:tcBorders>
                  <w:vAlign w:val="center"/>
                </w:tcPr>
                <w:p w14:paraId="1C6E5FC9">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rPr>
                    <w:t>5/1</w:t>
                  </w:r>
                </w:p>
              </w:tc>
              <w:tc>
                <w:tcPr>
                  <w:tcW w:w="1701" w:type="dxa"/>
                  <w:tcBorders>
                    <w:top w:val="single" w:color="auto" w:sz="4" w:space="0"/>
                    <w:left w:val="single" w:color="auto" w:sz="4" w:space="0"/>
                    <w:right w:val="single" w:color="auto" w:sz="4" w:space="0"/>
                  </w:tcBorders>
                  <w:vAlign w:val="center"/>
                </w:tcPr>
                <w:p w14:paraId="515D71D1">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低噪设备、减振</w:t>
                  </w:r>
                </w:p>
              </w:tc>
              <w:tc>
                <w:tcPr>
                  <w:tcW w:w="1299" w:type="dxa"/>
                  <w:tcBorders>
                    <w:top w:val="single" w:color="auto" w:sz="4" w:space="0"/>
                    <w:left w:val="single" w:color="auto" w:sz="4" w:space="0"/>
                    <w:right w:val="single" w:color="auto" w:sz="4" w:space="0"/>
                  </w:tcBorders>
                  <w:vAlign w:val="center"/>
                </w:tcPr>
                <w:p w14:paraId="08E449ED">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昼间、夜间</w:t>
                  </w:r>
                </w:p>
              </w:tc>
            </w:tr>
            <w:tr w14:paraId="4E48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 w:hRule="atLeast"/>
                <w:jc w:val="center"/>
              </w:trPr>
              <w:tc>
                <w:tcPr>
                  <w:tcW w:w="379" w:type="dxa"/>
                  <w:tcBorders>
                    <w:top w:val="single" w:color="auto" w:sz="4" w:space="0"/>
                    <w:left w:val="single" w:color="auto" w:sz="4" w:space="0"/>
                    <w:right w:val="single" w:color="auto" w:sz="4" w:space="0"/>
                  </w:tcBorders>
                  <w:vAlign w:val="center"/>
                </w:tcPr>
                <w:p w14:paraId="22268BBA">
                  <w:pPr>
                    <w:widowControl/>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3</w:t>
                  </w:r>
                </w:p>
              </w:tc>
              <w:tc>
                <w:tcPr>
                  <w:tcW w:w="926" w:type="dxa"/>
                  <w:tcBorders>
                    <w:top w:val="single" w:color="auto" w:sz="4" w:space="0"/>
                    <w:left w:val="single" w:color="auto" w:sz="4" w:space="0"/>
                    <w:right w:val="single" w:color="auto" w:sz="4" w:space="0"/>
                  </w:tcBorders>
                  <w:vAlign w:val="center"/>
                </w:tcPr>
                <w:p w14:paraId="3BCB35DD">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加油机3</w:t>
                  </w:r>
                </w:p>
              </w:tc>
              <w:tc>
                <w:tcPr>
                  <w:tcW w:w="378" w:type="dxa"/>
                  <w:tcBorders>
                    <w:top w:val="single" w:color="auto" w:sz="4" w:space="0"/>
                    <w:left w:val="single" w:color="auto" w:sz="4" w:space="0"/>
                    <w:right w:val="single" w:color="auto" w:sz="4" w:space="0"/>
                  </w:tcBorders>
                  <w:vAlign w:val="center"/>
                </w:tcPr>
                <w:p w14:paraId="7DDE2A36">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w:t>
                  </w:r>
                </w:p>
              </w:tc>
              <w:tc>
                <w:tcPr>
                  <w:tcW w:w="660" w:type="dxa"/>
                  <w:tcBorders>
                    <w:top w:val="single" w:color="auto" w:sz="4" w:space="0"/>
                    <w:left w:val="single" w:color="auto" w:sz="4" w:space="0"/>
                    <w:right w:val="single" w:color="auto" w:sz="4" w:space="0"/>
                  </w:tcBorders>
                  <w:vAlign w:val="center"/>
                </w:tcPr>
                <w:p w14:paraId="4F064C08">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bCs/>
                      <w:color w:val="auto"/>
                      <w:kern w:val="0"/>
                      <w:sz w:val="22"/>
                      <w:szCs w:val="22"/>
                      <w:lang w:val="en-US" w:eastAsia="zh-CN"/>
                    </w:rPr>
                    <w:t>6.84</w:t>
                  </w:r>
                </w:p>
              </w:tc>
              <w:tc>
                <w:tcPr>
                  <w:tcW w:w="605" w:type="dxa"/>
                  <w:tcBorders>
                    <w:top w:val="single" w:color="auto" w:sz="4" w:space="0"/>
                    <w:left w:val="single" w:color="auto" w:sz="4" w:space="0"/>
                    <w:right w:val="single" w:color="auto" w:sz="4" w:space="0"/>
                  </w:tcBorders>
                  <w:vAlign w:val="center"/>
                </w:tcPr>
                <w:p w14:paraId="3F9FB6D5">
                  <w:pPr>
                    <w:widowControl/>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Cs/>
                      <w:color w:val="auto"/>
                      <w:kern w:val="0"/>
                      <w:sz w:val="22"/>
                      <w:szCs w:val="22"/>
                    </w:rPr>
                    <w:t>-</w:t>
                  </w:r>
                  <w:r>
                    <w:rPr>
                      <w:rFonts w:hint="eastAsia" w:ascii="Times New Roman" w:hAnsi="Times New Roman" w:eastAsia="宋体" w:cs="Times New Roman"/>
                      <w:bCs/>
                      <w:color w:val="auto"/>
                      <w:kern w:val="0"/>
                      <w:sz w:val="22"/>
                      <w:szCs w:val="22"/>
                      <w:lang w:val="en-US" w:eastAsia="zh-CN"/>
                    </w:rPr>
                    <w:t>12.79</w:t>
                  </w:r>
                </w:p>
              </w:tc>
              <w:tc>
                <w:tcPr>
                  <w:tcW w:w="606" w:type="dxa"/>
                  <w:tcBorders>
                    <w:top w:val="single" w:color="auto" w:sz="4" w:space="0"/>
                    <w:left w:val="single" w:color="auto" w:sz="4" w:space="0"/>
                    <w:right w:val="single" w:color="auto" w:sz="4" w:space="0"/>
                  </w:tcBorders>
                  <w:vAlign w:val="center"/>
                </w:tcPr>
                <w:p w14:paraId="6D35E0BE">
                  <w:pPr>
                    <w:widowControl/>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bCs/>
                      <w:color w:val="auto"/>
                      <w:kern w:val="0"/>
                      <w:sz w:val="22"/>
                      <w:szCs w:val="22"/>
                    </w:rPr>
                    <w:t>2</w:t>
                  </w:r>
                </w:p>
              </w:tc>
              <w:tc>
                <w:tcPr>
                  <w:tcW w:w="1382" w:type="dxa"/>
                  <w:tcBorders>
                    <w:top w:val="single" w:color="auto" w:sz="4" w:space="0"/>
                    <w:left w:val="single" w:color="auto" w:sz="4" w:space="0"/>
                    <w:right w:val="single" w:color="auto" w:sz="4" w:space="0"/>
                  </w:tcBorders>
                  <w:vAlign w:val="center"/>
                </w:tcPr>
                <w:p w14:paraId="46FBD149">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rPr>
                    <w:t>5/1</w:t>
                  </w:r>
                </w:p>
              </w:tc>
              <w:tc>
                <w:tcPr>
                  <w:tcW w:w="1701" w:type="dxa"/>
                  <w:tcBorders>
                    <w:top w:val="single" w:color="auto" w:sz="4" w:space="0"/>
                    <w:left w:val="single" w:color="auto" w:sz="4" w:space="0"/>
                    <w:right w:val="single" w:color="auto" w:sz="4" w:space="0"/>
                  </w:tcBorders>
                  <w:vAlign w:val="center"/>
                </w:tcPr>
                <w:p w14:paraId="4598A587">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低噪设备、减振</w:t>
                  </w:r>
                </w:p>
              </w:tc>
              <w:tc>
                <w:tcPr>
                  <w:tcW w:w="1299" w:type="dxa"/>
                  <w:tcBorders>
                    <w:top w:val="single" w:color="auto" w:sz="4" w:space="0"/>
                    <w:left w:val="single" w:color="auto" w:sz="4" w:space="0"/>
                    <w:right w:val="single" w:color="auto" w:sz="4" w:space="0"/>
                  </w:tcBorders>
                  <w:vAlign w:val="center"/>
                </w:tcPr>
                <w:p w14:paraId="0C12F4E0">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昼间、夜间</w:t>
                  </w:r>
                </w:p>
              </w:tc>
            </w:tr>
            <w:tr w14:paraId="41F8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dxa"/>
                  <w:tcBorders>
                    <w:left w:val="single" w:color="auto" w:sz="4" w:space="0"/>
                    <w:right w:val="single" w:color="auto" w:sz="4" w:space="0"/>
                  </w:tcBorders>
                  <w:vAlign w:val="center"/>
                </w:tcPr>
                <w:p w14:paraId="614A2023">
                  <w:pPr>
                    <w:widowControl/>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4</w:t>
                  </w:r>
                </w:p>
              </w:tc>
              <w:tc>
                <w:tcPr>
                  <w:tcW w:w="926" w:type="dxa"/>
                  <w:tcBorders>
                    <w:left w:val="single" w:color="auto" w:sz="4" w:space="0"/>
                    <w:right w:val="single" w:color="auto" w:sz="4" w:space="0"/>
                  </w:tcBorders>
                  <w:vAlign w:val="center"/>
                </w:tcPr>
                <w:p w14:paraId="73BFCAFC">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加油机4</w:t>
                  </w:r>
                </w:p>
              </w:tc>
              <w:tc>
                <w:tcPr>
                  <w:tcW w:w="378" w:type="dxa"/>
                  <w:tcBorders>
                    <w:left w:val="single" w:color="auto" w:sz="4" w:space="0"/>
                    <w:right w:val="single" w:color="auto" w:sz="4" w:space="0"/>
                  </w:tcBorders>
                  <w:vAlign w:val="center"/>
                </w:tcPr>
                <w:p w14:paraId="1FDB1172">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w:t>
                  </w:r>
                </w:p>
              </w:tc>
              <w:tc>
                <w:tcPr>
                  <w:tcW w:w="660" w:type="dxa"/>
                  <w:tcBorders>
                    <w:left w:val="single" w:color="auto" w:sz="4" w:space="0"/>
                    <w:right w:val="single" w:color="auto" w:sz="4" w:space="0"/>
                  </w:tcBorders>
                  <w:vAlign w:val="center"/>
                </w:tcPr>
                <w:p w14:paraId="32390B78">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-6.22</w:t>
                  </w:r>
                </w:p>
              </w:tc>
              <w:tc>
                <w:tcPr>
                  <w:tcW w:w="605" w:type="dxa"/>
                  <w:tcBorders>
                    <w:left w:val="single" w:color="auto" w:sz="4" w:space="0"/>
                    <w:right w:val="single" w:color="auto" w:sz="4" w:space="0"/>
                  </w:tcBorders>
                  <w:vAlign w:val="center"/>
                </w:tcPr>
                <w:p w14:paraId="5179D841">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6.04</w:t>
                  </w:r>
                </w:p>
              </w:tc>
              <w:tc>
                <w:tcPr>
                  <w:tcW w:w="606" w:type="dxa"/>
                  <w:tcBorders>
                    <w:left w:val="single" w:color="auto" w:sz="4" w:space="0"/>
                    <w:right w:val="single" w:color="auto" w:sz="4" w:space="0"/>
                  </w:tcBorders>
                  <w:vAlign w:val="center"/>
                </w:tcPr>
                <w:p w14:paraId="4A6A1166">
                  <w:pPr>
                    <w:widowControl/>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1382" w:type="dxa"/>
                  <w:tcBorders>
                    <w:left w:val="single" w:color="auto" w:sz="4" w:space="0"/>
                    <w:right w:val="single" w:color="auto" w:sz="4" w:space="0"/>
                  </w:tcBorders>
                  <w:vAlign w:val="center"/>
                </w:tcPr>
                <w:p w14:paraId="622A6373">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rPr>
                    <w:t>5/1</w:t>
                  </w:r>
                </w:p>
              </w:tc>
              <w:tc>
                <w:tcPr>
                  <w:tcW w:w="1701" w:type="dxa"/>
                  <w:tcBorders>
                    <w:left w:val="single" w:color="auto" w:sz="4" w:space="0"/>
                    <w:right w:val="single" w:color="auto" w:sz="4" w:space="0"/>
                  </w:tcBorders>
                  <w:vAlign w:val="center"/>
                </w:tcPr>
                <w:p w14:paraId="0F36141D">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低噪设备、减振</w:t>
                  </w:r>
                </w:p>
              </w:tc>
              <w:tc>
                <w:tcPr>
                  <w:tcW w:w="1299" w:type="dxa"/>
                  <w:tcBorders>
                    <w:left w:val="single" w:color="auto" w:sz="4" w:space="0"/>
                    <w:right w:val="single" w:color="auto" w:sz="4" w:space="0"/>
                  </w:tcBorders>
                  <w:vAlign w:val="center"/>
                </w:tcPr>
                <w:p w14:paraId="28AE4E24">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昼间、夜间</w:t>
                  </w:r>
                </w:p>
              </w:tc>
            </w:tr>
            <w:tr w14:paraId="43C0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dxa"/>
                  <w:tcBorders>
                    <w:left w:val="single" w:color="auto" w:sz="4" w:space="0"/>
                    <w:right w:val="single" w:color="auto" w:sz="4" w:space="0"/>
                  </w:tcBorders>
                  <w:vAlign w:val="center"/>
                </w:tcPr>
                <w:p w14:paraId="23F120E4">
                  <w:pPr>
                    <w:widowControl/>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5</w:t>
                  </w:r>
                </w:p>
              </w:tc>
              <w:tc>
                <w:tcPr>
                  <w:tcW w:w="926" w:type="dxa"/>
                  <w:tcBorders>
                    <w:left w:val="single" w:color="auto" w:sz="4" w:space="0"/>
                    <w:right w:val="single" w:color="auto" w:sz="4" w:space="0"/>
                  </w:tcBorders>
                  <w:vAlign w:val="center"/>
                </w:tcPr>
                <w:p w14:paraId="0CB5269A">
                  <w:pPr>
                    <w:widowControl/>
                    <w:jc w:val="center"/>
                    <w:rPr>
                      <w:rFonts w:hint="eastAsia" w:ascii="Times New Roman" w:hAnsi="Times New Roman" w:eastAsia="宋体" w:cs="Times New Roman"/>
                      <w:spacing w:val="1"/>
                      <w:sz w:val="22"/>
                      <w:szCs w:val="22"/>
                      <w:lang w:eastAsia="zh-CN"/>
                    </w:rPr>
                  </w:pPr>
                  <w:r>
                    <w:rPr>
                      <w:rFonts w:hint="default" w:ascii="Times New Roman" w:hAnsi="Times New Roman" w:eastAsia="宋体" w:cs="Times New Roman"/>
                      <w:spacing w:val="1"/>
                      <w:sz w:val="22"/>
                      <w:szCs w:val="22"/>
                    </w:rPr>
                    <w:t>加油机</w:t>
                  </w:r>
                  <w:r>
                    <w:rPr>
                      <w:rFonts w:hint="eastAsia" w:ascii="Times New Roman" w:hAnsi="Times New Roman" w:eastAsia="宋体" w:cs="Times New Roman"/>
                      <w:spacing w:val="1"/>
                      <w:sz w:val="22"/>
                      <w:szCs w:val="22"/>
                      <w:lang w:val="en-US" w:eastAsia="zh-CN"/>
                    </w:rPr>
                    <w:t>5</w:t>
                  </w:r>
                </w:p>
              </w:tc>
              <w:tc>
                <w:tcPr>
                  <w:tcW w:w="378" w:type="dxa"/>
                  <w:tcBorders>
                    <w:left w:val="single" w:color="auto" w:sz="4" w:space="0"/>
                    <w:right w:val="single" w:color="auto" w:sz="4" w:space="0"/>
                  </w:tcBorders>
                  <w:vAlign w:val="center"/>
                </w:tcPr>
                <w:p w14:paraId="5C845488">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w:t>
                  </w:r>
                </w:p>
              </w:tc>
              <w:tc>
                <w:tcPr>
                  <w:tcW w:w="660" w:type="dxa"/>
                  <w:tcBorders>
                    <w:left w:val="single" w:color="auto" w:sz="4" w:space="0"/>
                    <w:right w:val="single" w:color="auto" w:sz="4" w:space="0"/>
                  </w:tcBorders>
                  <w:vAlign w:val="center"/>
                </w:tcPr>
                <w:p w14:paraId="5BB9B978">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-5.01</w:t>
                  </w:r>
                </w:p>
              </w:tc>
              <w:tc>
                <w:tcPr>
                  <w:tcW w:w="605" w:type="dxa"/>
                  <w:tcBorders>
                    <w:left w:val="single" w:color="auto" w:sz="4" w:space="0"/>
                    <w:right w:val="single" w:color="auto" w:sz="4" w:space="0"/>
                  </w:tcBorders>
                  <w:vAlign w:val="center"/>
                </w:tcPr>
                <w:p w14:paraId="70B22264">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3.68</w:t>
                  </w:r>
                </w:p>
              </w:tc>
              <w:tc>
                <w:tcPr>
                  <w:tcW w:w="606" w:type="dxa"/>
                  <w:tcBorders>
                    <w:left w:val="single" w:color="auto" w:sz="4" w:space="0"/>
                    <w:right w:val="single" w:color="auto" w:sz="4" w:space="0"/>
                  </w:tcBorders>
                  <w:vAlign w:val="center"/>
                </w:tcPr>
                <w:p w14:paraId="62D955D8">
                  <w:pPr>
                    <w:widowControl/>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1382" w:type="dxa"/>
                  <w:tcBorders>
                    <w:left w:val="single" w:color="auto" w:sz="4" w:space="0"/>
                    <w:right w:val="single" w:color="auto" w:sz="4" w:space="0"/>
                  </w:tcBorders>
                  <w:vAlign w:val="center"/>
                </w:tcPr>
                <w:p w14:paraId="72F2DDC4">
                  <w:pPr>
                    <w:autoSpaceDE w:val="0"/>
                    <w:autoSpaceDN w:val="0"/>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rPr>
                    <w:t>5/1</w:t>
                  </w:r>
                </w:p>
              </w:tc>
              <w:tc>
                <w:tcPr>
                  <w:tcW w:w="1701" w:type="dxa"/>
                  <w:tcBorders>
                    <w:left w:val="single" w:color="auto" w:sz="4" w:space="0"/>
                    <w:right w:val="single" w:color="auto" w:sz="4" w:space="0"/>
                  </w:tcBorders>
                  <w:vAlign w:val="center"/>
                </w:tcPr>
                <w:p w14:paraId="6C3F0FD2">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低噪设备、减振</w:t>
                  </w:r>
                </w:p>
              </w:tc>
              <w:tc>
                <w:tcPr>
                  <w:tcW w:w="1299" w:type="dxa"/>
                  <w:tcBorders>
                    <w:left w:val="single" w:color="auto" w:sz="4" w:space="0"/>
                    <w:right w:val="single" w:color="auto" w:sz="4" w:space="0"/>
                  </w:tcBorders>
                  <w:vAlign w:val="center"/>
                </w:tcPr>
                <w:p w14:paraId="58866886">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昼间、夜间</w:t>
                  </w:r>
                </w:p>
              </w:tc>
            </w:tr>
            <w:tr w14:paraId="1081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dxa"/>
                  <w:tcBorders>
                    <w:left w:val="single" w:color="auto" w:sz="4" w:space="0"/>
                    <w:right w:val="single" w:color="auto" w:sz="4" w:space="0"/>
                  </w:tcBorders>
                  <w:vAlign w:val="center"/>
                </w:tcPr>
                <w:p w14:paraId="68B68257">
                  <w:pPr>
                    <w:widowControl/>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6</w:t>
                  </w:r>
                </w:p>
              </w:tc>
              <w:tc>
                <w:tcPr>
                  <w:tcW w:w="926" w:type="dxa"/>
                  <w:tcBorders>
                    <w:left w:val="single" w:color="auto" w:sz="4" w:space="0"/>
                    <w:right w:val="single" w:color="auto" w:sz="4" w:space="0"/>
                  </w:tcBorders>
                  <w:vAlign w:val="center"/>
                </w:tcPr>
                <w:p w14:paraId="559F6504">
                  <w:pPr>
                    <w:widowControl/>
                    <w:jc w:val="center"/>
                    <w:rPr>
                      <w:rFonts w:hint="eastAsia" w:ascii="Times New Roman" w:hAnsi="Times New Roman" w:eastAsia="宋体" w:cs="Times New Roman"/>
                      <w:spacing w:val="1"/>
                      <w:sz w:val="22"/>
                      <w:szCs w:val="22"/>
                      <w:lang w:eastAsia="zh-CN"/>
                    </w:rPr>
                  </w:pPr>
                  <w:r>
                    <w:rPr>
                      <w:rFonts w:hint="default" w:ascii="Times New Roman" w:hAnsi="Times New Roman" w:eastAsia="宋体" w:cs="Times New Roman"/>
                      <w:spacing w:val="1"/>
                      <w:sz w:val="22"/>
                      <w:szCs w:val="22"/>
                    </w:rPr>
                    <w:t>加油机</w:t>
                  </w:r>
                  <w:r>
                    <w:rPr>
                      <w:rFonts w:hint="eastAsia" w:ascii="Times New Roman" w:hAnsi="Times New Roman" w:eastAsia="宋体" w:cs="Times New Roman"/>
                      <w:spacing w:val="1"/>
                      <w:sz w:val="22"/>
                      <w:szCs w:val="22"/>
                      <w:lang w:val="en-US" w:eastAsia="zh-CN"/>
                    </w:rPr>
                    <w:t>6</w:t>
                  </w:r>
                </w:p>
              </w:tc>
              <w:tc>
                <w:tcPr>
                  <w:tcW w:w="378" w:type="dxa"/>
                  <w:tcBorders>
                    <w:left w:val="single" w:color="auto" w:sz="4" w:space="0"/>
                    <w:right w:val="single" w:color="auto" w:sz="4" w:space="0"/>
                  </w:tcBorders>
                  <w:vAlign w:val="center"/>
                </w:tcPr>
                <w:p w14:paraId="0E87E1D2">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w:t>
                  </w:r>
                </w:p>
              </w:tc>
              <w:tc>
                <w:tcPr>
                  <w:tcW w:w="660" w:type="dxa"/>
                  <w:tcBorders>
                    <w:left w:val="single" w:color="auto" w:sz="4" w:space="0"/>
                    <w:right w:val="single" w:color="auto" w:sz="4" w:space="0"/>
                  </w:tcBorders>
                  <w:vAlign w:val="center"/>
                </w:tcPr>
                <w:p w14:paraId="2686041D">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-3.49</w:t>
                  </w:r>
                </w:p>
              </w:tc>
              <w:tc>
                <w:tcPr>
                  <w:tcW w:w="605" w:type="dxa"/>
                  <w:tcBorders>
                    <w:left w:val="single" w:color="auto" w:sz="4" w:space="0"/>
                    <w:right w:val="single" w:color="auto" w:sz="4" w:space="0"/>
                  </w:tcBorders>
                  <w:vAlign w:val="center"/>
                </w:tcPr>
                <w:p w14:paraId="587E6510">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-14</w:t>
                  </w:r>
                </w:p>
              </w:tc>
              <w:tc>
                <w:tcPr>
                  <w:tcW w:w="606" w:type="dxa"/>
                  <w:tcBorders>
                    <w:left w:val="single" w:color="auto" w:sz="4" w:space="0"/>
                    <w:right w:val="single" w:color="auto" w:sz="4" w:space="0"/>
                  </w:tcBorders>
                  <w:vAlign w:val="center"/>
                </w:tcPr>
                <w:p w14:paraId="1C174A3E">
                  <w:pPr>
                    <w:widowControl/>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1382" w:type="dxa"/>
                  <w:tcBorders>
                    <w:left w:val="single" w:color="auto" w:sz="4" w:space="0"/>
                    <w:right w:val="single" w:color="auto" w:sz="4" w:space="0"/>
                  </w:tcBorders>
                  <w:vAlign w:val="center"/>
                </w:tcPr>
                <w:p w14:paraId="2F8E4F34">
                  <w:pPr>
                    <w:autoSpaceDE w:val="0"/>
                    <w:autoSpaceDN w:val="0"/>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6</w:t>
                  </w:r>
                  <w:r>
                    <w:rPr>
                      <w:rFonts w:hint="default" w:ascii="Times New Roman" w:hAnsi="Times New Roman" w:eastAsia="宋体" w:cs="Times New Roman"/>
                      <w:sz w:val="22"/>
                      <w:szCs w:val="22"/>
                    </w:rPr>
                    <w:t>5/1</w:t>
                  </w:r>
                </w:p>
              </w:tc>
              <w:tc>
                <w:tcPr>
                  <w:tcW w:w="1701" w:type="dxa"/>
                  <w:tcBorders>
                    <w:left w:val="single" w:color="auto" w:sz="4" w:space="0"/>
                    <w:right w:val="single" w:color="auto" w:sz="4" w:space="0"/>
                  </w:tcBorders>
                  <w:vAlign w:val="center"/>
                </w:tcPr>
                <w:p w14:paraId="653F2127">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低噪设备、减振</w:t>
                  </w:r>
                </w:p>
              </w:tc>
              <w:tc>
                <w:tcPr>
                  <w:tcW w:w="1299" w:type="dxa"/>
                  <w:tcBorders>
                    <w:left w:val="single" w:color="auto" w:sz="4" w:space="0"/>
                    <w:right w:val="single" w:color="auto" w:sz="4" w:space="0"/>
                  </w:tcBorders>
                  <w:vAlign w:val="center"/>
                </w:tcPr>
                <w:p w14:paraId="2398510F">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昼间、夜间</w:t>
                  </w:r>
                </w:p>
              </w:tc>
            </w:tr>
            <w:tr w14:paraId="0E64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9" w:type="dxa"/>
                  <w:tcBorders>
                    <w:left w:val="single" w:color="auto" w:sz="4" w:space="0"/>
                    <w:bottom w:val="single" w:color="auto" w:sz="4" w:space="0"/>
                    <w:right w:val="single" w:color="auto" w:sz="4" w:space="0"/>
                  </w:tcBorders>
                  <w:vAlign w:val="center"/>
                </w:tcPr>
                <w:p w14:paraId="74203EF6">
                  <w:pPr>
                    <w:widowControl/>
                    <w:jc w:val="center"/>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7</w:t>
                  </w:r>
                </w:p>
              </w:tc>
              <w:tc>
                <w:tcPr>
                  <w:tcW w:w="926" w:type="dxa"/>
                  <w:tcBorders>
                    <w:left w:val="single" w:color="auto" w:sz="4" w:space="0"/>
                    <w:bottom w:val="single" w:color="auto" w:sz="4" w:space="0"/>
                    <w:right w:val="single" w:color="auto" w:sz="4" w:space="0"/>
                  </w:tcBorders>
                  <w:vAlign w:val="center"/>
                </w:tcPr>
                <w:p w14:paraId="141C4E98">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自动</w:t>
                  </w:r>
                </w:p>
                <w:p w14:paraId="1CFFCE00">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洗车机</w:t>
                  </w:r>
                </w:p>
              </w:tc>
              <w:tc>
                <w:tcPr>
                  <w:tcW w:w="378" w:type="dxa"/>
                  <w:tcBorders>
                    <w:left w:val="single" w:color="auto" w:sz="4" w:space="0"/>
                    <w:bottom w:val="single" w:color="auto" w:sz="4" w:space="0"/>
                    <w:right w:val="single" w:color="auto" w:sz="4" w:space="0"/>
                  </w:tcBorders>
                  <w:vAlign w:val="center"/>
                </w:tcPr>
                <w:p w14:paraId="1C8E92FE">
                  <w:pPr>
                    <w:widowControl/>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w:t>
                  </w:r>
                </w:p>
              </w:tc>
              <w:tc>
                <w:tcPr>
                  <w:tcW w:w="660" w:type="dxa"/>
                  <w:tcBorders>
                    <w:left w:val="single" w:color="auto" w:sz="4" w:space="0"/>
                    <w:bottom w:val="single" w:color="auto" w:sz="4" w:space="0"/>
                    <w:right w:val="single" w:color="auto" w:sz="4" w:space="0"/>
                  </w:tcBorders>
                  <w:vAlign w:val="center"/>
                </w:tcPr>
                <w:p w14:paraId="24A9EE92">
                  <w:pPr>
                    <w:widowControl/>
                    <w:jc w:val="center"/>
                    <w:rPr>
                      <w:rFonts w:hint="default" w:ascii="Times New Roman" w:hAnsi="Times New Roman" w:eastAsia="宋体" w:cs="Times New Roman"/>
                      <w:color w:val="auto"/>
                      <w:sz w:val="22"/>
                      <w:szCs w:val="22"/>
                      <w:lang w:val="en-US"/>
                    </w:rPr>
                  </w:pPr>
                  <w:r>
                    <w:rPr>
                      <w:rFonts w:hint="eastAsia" w:ascii="Times New Roman" w:hAnsi="Times New Roman" w:eastAsia="宋体" w:cs="Times New Roman"/>
                      <w:color w:val="auto"/>
                      <w:sz w:val="22"/>
                      <w:szCs w:val="22"/>
                      <w:lang w:val="en-US" w:eastAsia="zh-CN"/>
                    </w:rPr>
                    <w:t>18.07</w:t>
                  </w:r>
                </w:p>
              </w:tc>
              <w:tc>
                <w:tcPr>
                  <w:tcW w:w="605" w:type="dxa"/>
                  <w:tcBorders>
                    <w:left w:val="single" w:color="auto" w:sz="4" w:space="0"/>
                    <w:bottom w:val="single" w:color="auto" w:sz="4" w:space="0"/>
                    <w:right w:val="single" w:color="auto" w:sz="4" w:space="0"/>
                  </w:tcBorders>
                  <w:vAlign w:val="center"/>
                </w:tcPr>
                <w:p w14:paraId="263217C7">
                  <w:pPr>
                    <w:widowControl/>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-27.06</w:t>
                  </w:r>
                </w:p>
              </w:tc>
              <w:tc>
                <w:tcPr>
                  <w:tcW w:w="606" w:type="dxa"/>
                  <w:tcBorders>
                    <w:left w:val="single" w:color="auto" w:sz="4" w:space="0"/>
                    <w:bottom w:val="single" w:color="auto" w:sz="4" w:space="0"/>
                    <w:right w:val="single" w:color="auto" w:sz="4" w:space="0"/>
                  </w:tcBorders>
                  <w:vAlign w:val="center"/>
                </w:tcPr>
                <w:p w14:paraId="6AC704BB">
                  <w:pPr>
                    <w:widowControl/>
                    <w:jc w:val="center"/>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val="en-US" w:eastAsia="zh-CN"/>
                    </w:rPr>
                    <w:t>3</w:t>
                  </w:r>
                </w:p>
              </w:tc>
              <w:tc>
                <w:tcPr>
                  <w:tcW w:w="1382" w:type="dxa"/>
                  <w:tcBorders>
                    <w:left w:val="single" w:color="auto" w:sz="4" w:space="0"/>
                    <w:bottom w:val="single" w:color="auto" w:sz="4" w:space="0"/>
                    <w:right w:val="single" w:color="auto" w:sz="4" w:space="0"/>
                  </w:tcBorders>
                  <w:vAlign w:val="center"/>
                </w:tcPr>
                <w:p w14:paraId="700D7929">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7</w:t>
                  </w:r>
                  <w:r>
                    <w:rPr>
                      <w:rFonts w:hint="eastAsia" w:ascii="Times New Roman" w:hAnsi="Times New Roman" w:eastAsia="宋体" w:cs="Times New Roman"/>
                      <w:sz w:val="22"/>
                      <w:szCs w:val="22"/>
                      <w:lang w:val="en-US" w:eastAsia="zh-CN"/>
                    </w:rPr>
                    <w:t>5</w:t>
                  </w:r>
                  <w:r>
                    <w:rPr>
                      <w:rFonts w:hint="default" w:ascii="Times New Roman" w:hAnsi="Times New Roman" w:eastAsia="宋体" w:cs="Times New Roman"/>
                      <w:sz w:val="22"/>
                      <w:szCs w:val="22"/>
                    </w:rPr>
                    <w:t>/1</w:t>
                  </w:r>
                </w:p>
              </w:tc>
              <w:tc>
                <w:tcPr>
                  <w:tcW w:w="1701" w:type="dxa"/>
                  <w:tcBorders>
                    <w:left w:val="single" w:color="auto" w:sz="4" w:space="0"/>
                    <w:bottom w:val="single" w:color="auto" w:sz="4" w:space="0"/>
                    <w:right w:val="single" w:color="auto" w:sz="4" w:space="0"/>
                  </w:tcBorders>
                  <w:vAlign w:val="center"/>
                </w:tcPr>
                <w:p w14:paraId="4FEE0438">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设备罩体隔声</w:t>
                  </w:r>
                </w:p>
              </w:tc>
              <w:tc>
                <w:tcPr>
                  <w:tcW w:w="1299" w:type="dxa"/>
                  <w:tcBorders>
                    <w:left w:val="single" w:color="auto" w:sz="4" w:space="0"/>
                    <w:bottom w:val="single" w:color="auto" w:sz="4" w:space="0"/>
                    <w:right w:val="single" w:color="auto" w:sz="4" w:space="0"/>
                  </w:tcBorders>
                  <w:vAlign w:val="center"/>
                </w:tcPr>
                <w:p w14:paraId="7924A897">
                  <w:pPr>
                    <w:autoSpaceDE w:val="0"/>
                    <w:autoSpaceDN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昼间</w:t>
                  </w:r>
                </w:p>
              </w:tc>
            </w:tr>
          </w:tbl>
          <w:p w14:paraId="29952567">
            <w:pPr>
              <w:pStyle w:val="4"/>
              <w:keepNext/>
              <w:keepLines/>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eastAsia="zh-CN"/>
              </w:rPr>
              <w:t>4.2.3.2</w:t>
            </w:r>
            <w:r>
              <w:rPr>
                <w:rFonts w:hint="default" w:ascii="Times New Roman" w:hAnsi="Times New Roman" w:cs="Times New Roman"/>
                <w:color w:val="auto"/>
                <w:sz w:val="26"/>
                <w:szCs w:val="26"/>
              </w:rPr>
              <w:t>声环境影响分析</w:t>
            </w:r>
          </w:p>
          <w:p w14:paraId="7002EF73">
            <w:pPr>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噪声影响预测采用《环境影响评价技术导 声环境》（HJ2.4-2021）中室内声源等效室外声源声功率级计算和户外声传播衰减计算的方法来预测室内噪声设备运营过程中对室外声环境影响情况。</w:t>
            </w:r>
          </w:p>
          <w:p w14:paraId="40ECE6B2">
            <w:pPr>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1）室内噪声预测模式</w:t>
            </w:r>
          </w:p>
          <w:p w14:paraId="3DA722C3">
            <w:pPr>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①</w:t>
            </w:r>
            <w:r>
              <w:rPr>
                <w:rFonts w:hint="default" w:ascii="Times New Roman" w:hAnsi="Times New Roman" w:cs="Times New Roman"/>
                <w:color w:val="auto"/>
                <w:sz w:val="26"/>
                <w:szCs w:val="26"/>
                <w:lang w:val="en-US"/>
              </w:rPr>
              <w:t>如附</w:t>
            </w:r>
            <w:r>
              <w:rPr>
                <w:rFonts w:hint="default" w:ascii="Times New Roman" w:hAnsi="Times New Roman" w:cs="Times New Roman"/>
                <w:color w:val="auto"/>
                <w:sz w:val="26"/>
                <w:szCs w:val="26"/>
                <w:lang w:eastAsia="zh-CN"/>
              </w:rPr>
              <w:t>图</w:t>
            </w:r>
            <w:r>
              <w:rPr>
                <w:rFonts w:hint="default" w:ascii="Times New Roman" w:hAnsi="Times New Roman" w:cs="Times New Roman"/>
                <w:color w:val="auto"/>
                <w:sz w:val="26"/>
                <w:szCs w:val="26"/>
                <w:lang w:val="en-US" w:eastAsia="zh-CN"/>
              </w:rPr>
              <w:t>4</w:t>
            </w:r>
            <w:r>
              <w:rPr>
                <w:rFonts w:hint="eastAsia" w:cs="Times New Roman"/>
                <w:color w:val="auto"/>
                <w:sz w:val="26"/>
                <w:szCs w:val="26"/>
                <w:lang w:val="en-US" w:eastAsia="zh-CN"/>
              </w:rPr>
              <w:t>.2-2</w:t>
            </w:r>
            <w:r>
              <w:rPr>
                <w:rFonts w:hint="default" w:ascii="Times New Roman" w:hAnsi="Times New Roman" w:cs="Times New Roman"/>
                <w:color w:val="auto"/>
                <w:sz w:val="26"/>
                <w:szCs w:val="26"/>
                <w:lang w:val="en-US"/>
              </w:rPr>
              <w:t>所示，首先计算出某个室内靠近围护结构处的倍频带声压级：</w:t>
            </w:r>
          </w:p>
          <w:p w14:paraId="1D4B8E5A">
            <w:pPr>
              <w:pStyle w:val="7"/>
              <w:rPr>
                <w:rFonts w:hint="default"/>
                <w:lang w:val="en-US"/>
              </w:rPr>
            </w:pPr>
          </w:p>
          <w:p w14:paraId="07A2A559">
            <w:pPr>
              <w:pStyle w:val="7"/>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drawing>
                <wp:anchor distT="0" distB="0" distL="114300" distR="114300" simplePos="0" relativeHeight="251667456" behindDoc="0" locked="0" layoutInCell="1" allowOverlap="1">
                  <wp:simplePos x="0" y="0"/>
                  <wp:positionH relativeFrom="column">
                    <wp:posOffset>1099820</wp:posOffset>
                  </wp:positionH>
                  <wp:positionV relativeFrom="paragraph">
                    <wp:posOffset>32385</wp:posOffset>
                  </wp:positionV>
                  <wp:extent cx="2505075" cy="647700"/>
                  <wp:effectExtent l="0" t="0" r="9525" b="0"/>
                  <wp:wrapNone/>
                  <wp:docPr id="5"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28"/>
                          <pic:cNvPicPr>
                            <a:picLocks noChangeAspect="1"/>
                          </pic:cNvPicPr>
                        </pic:nvPicPr>
                        <pic:blipFill>
                          <a:blip r:embed="rId44"/>
                          <a:stretch>
                            <a:fillRect/>
                          </a:stretch>
                        </pic:blipFill>
                        <pic:spPr>
                          <a:xfrm>
                            <a:off x="0" y="0"/>
                            <a:ext cx="2505075" cy="647700"/>
                          </a:xfrm>
                          <a:prstGeom prst="rect">
                            <a:avLst/>
                          </a:prstGeom>
                          <a:noFill/>
                          <a:ln>
                            <a:noFill/>
                          </a:ln>
                        </pic:spPr>
                      </pic:pic>
                    </a:graphicData>
                  </a:graphic>
                </wp:anchor>
              </w:drawing>
            </w:r>
          </w:p>
          <w:p w14:paraId="3FAE4C80">
            <w:pPr>
              <w:pStyle w:val="7"/>
              <w:rPr>
                <w:rFonts w:hint="default" w:ascii="Times New Roman" w:hAnsi="Times New Roman" w:cs="Times New Roman"/>
                <w:color w:val="auto"/>
                <w:sz w:val="26"/>
                <w:szCs w:val="26"/>
                <w:lang w:val="en-US"/>
              </w:rPr>
            </w:pPr>
          </w:p>
          <w:p w14:paraId="201CD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firstLine="520" w:firstLineChars="200"/>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式中：</w:t>
            </w:r>
          </w:p>
          <w:p w14:paraId="15E17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rPr>
              <w:t>L</w:t>
            </w:r>
            <w:r>
              <w:rPr>
                <w:rFonts w:hint="default" w:ascii="Times New Roman" w:hAnsi="Times New Roman" w:cs="Times New Roman"/>
                <w:color w:val="auto"/>
                <w:sz w:val="26"/>
                <w:szCs w:val="26"/>
                <w:lang w:val="en-US" w:eastAsia="zh-CN"/>
              </w:rPr>
              <w:t>pi</w:t>
            </w:r>
            <w:r>
              <w:rPr>
                <w:rFonts w:hint="default" w:ascii="Times New Roman" w:hAnsi="Times New Roman" w:cs="Times New Roman"/>
                <w:color w:val="auto"/>
                <w:sz w:val="26"/>
                <w:szCs w:val="26"/>
                <w:lang w:val="en-US"/>
              </w:rPr>
              <w:t>-为某个室内声源在靠近围护结构处产生的倍频带声压级</w:t>
            </w:r>
            <w:r>
              <w:rPr>
                <w:rFonts w:hint="default" w:ascii="Times New Roman" w:hAnsi="Times New Roman" w:cs="Times New Roman"/>
                <w:color w:val="auto"/>
                <w:sz w:val="26"/>
                <w:szCs w:val="26"/>
                <w:lang w:val="en-US" w:eastAsia="zh-CN"/>
              </w:rPr>
              <w:t>；</w:t>
            </w:r>
          </w:p>
          <w:p w14:paraId="75647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rPr>
              <w:t>Lw</w:t>
            </w:r>
            <w:r>
              <w:rPr>
                <w:rFonts w:hint="default" w:ascii="Times New Roman" w:hAnsi="Times New Roman" w:cs="Times New Roman"/>
                <w:color w:val="auto"/>
                <w:sz w:val="26"/>
                <w:szCs w:val="26"/>
                <w:lang w:val="en-US" w:eastAsia="zh-CN"/>
              </w:rPr>
              <w:t>-</w:t>
            </w:r>
            <w:r>
              <w:rPr>
                <w:rFonts w:hint="default" w:ascii="Times New Roman" w:hAnsi="Times New Roman" w:cs="Times New Roman"/>
                <w:color w:val="auto"/>
                <w:sz w:val="26"/>
                <w:szCs w:val="26"/>
                <w:lang w:val="en-US"/>
              </w:rPr>
              <w:t>为某个声源的倍频带声功率级</w:t>
            </w:r>
            <w:r>
              <w:rPr>
                <w:rFonts w:hint="default" w:ascii="Times New Roman" w:hAnsi="Times New Roman" w:cs="Times New Roman"/>
                <w:color w:val="auto"/>
                <w:sz w:val="26"/>
                <w:szCs w:val="26"/>
                <w:lang w:val="en-US" w:eastAsia="zh-CN"/>
              </w:rPr>
              <w:t>；</w:t>
            </w:r>
          </w:p>
          <w:p w14:paraId="2D4BF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rPr>
              <w:t>r为室内某个声源与靠近围护结构处的距离</w:t>
            </w:r>
            <w:r>
              <w:rPr>
                <w:rFonts w:hint="default" w:ascii="Times New Roman" w:hAnsi="Times New Roman" w:cs="Times New Roman"/>
                <w:color w:val="auto"/>
                <w:sz w:val="26"/>
                <w:szCs w:val="26"/>
                <w:lang w:val="en-US" w:eastAsia="zh-CN"/>
              </w:rPr>
              <w:t>；</w:t>
            </w:r>
          </w:p>
          <w:p w14:paraId="42D21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R为房间常数，Q为方向因子。</w:t>
            </w:r>
          </w:p>
          <w:p w14:paraId="62E43F03">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auto"/>
                <w:sz w:val="26"/>
                <w:szCs w:val="26"/>
                <w:lang w:val="zh-CN"/>
              </w:rPr>
            </w:pPr>
            <w:r>
              <w:rPr>
                <w:rFonts w:hint="default" w:ascii="Times New Roman" w:hAnsi="Times New Roman" w:cs="Times New Roman"/>
                <w:color w:val="auto"/>
                <w:sz w:val="26"/>
                <w:szCs w:val="26"/>
                <w:lang w:val="zh-CN"/>
              </w:rPr>
              <w:drawing>
                <wp:inline distT="0" distB="0" distL="114300" distR="114300">
                  <wp:extent cx="2469515" cy="1421130"/>
                  <wp:effectExtent l="0" t="0" r="6985"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5"/>
                          <a:stretch>
                            <a:fillRect/>
                          </a:stretch>
                        </pic:blipFill>
                        <pic:spPr>
                          <a:xfrm>
                            <a:off x="0" y="0"/>
                            <a:ext cx="2469515" cy="1421130"/>
                          </a:xfrm>
                          <a:prstGeom prst="rect">
                            <a:avLst/>
                          </a:prstGeom>
                          <a:noFill/>
                          <a:ln>
                            <a:noFill/>
                          </a:ln>
                        </pic:spPr>
                      </pic:pic>
                    </a:graphicData>
                  </a:graphic>
                </wp:inline>
              </w:drawing>
            </w:r>
          </w:p>
          <w:p w14:paraId="61293B7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60" w:lineRule="exact"/>
              <w:ind w:left="0" w:leftChars="0" w:right="0" w:firstLine="0" w:firstLineChars="0"/>
              <w:jc w:val="center"/>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2"/>
                <w:szCs w:val="22"/>
                <w:lang w:eastAsia="zh-CN"/>
              </w:rPr>
              <w:t>图</w:t>
            </w:r>
            <w:r>
              <w:rPr>
                <w:rFonts w:hint="default" w:ascii="Times New Roman" w:hAnsi="Times New Roman" w:cs="Times New Roman"/>
                <w:color w:val="auto"/>
                <w:sz w:val="22"/>
                <w:szCs w:val="22"/>
                <w:lang w:val="en-US" w:eastAsia="zh-CN"/>
              </w:rPr>
              <w:t>4.2-</w:t>
            </w:r>
            <w:r>
              <w:rPr>
                <w:rFonts w:hint="eastAsia" w:cs="Times New Roman"/>
                <w:color w:val="auto"/>
                <w:sz w:val="22"/>
                <w:szCs w:val="22"/>
                <w:lang w:val="en-US" w:eastAsia="zh-CN"/>
              </w:rPr>
              <w:t>2</w:t>
            </w:r>
            <w:r>
              <w:rPr>
                <w:rFonts w:hint="default" w:ascii="Times New Roman" w:hAnsi="Times New Roman" w:cs="Times New Roman"/>
                <w:color w:val="auto"/>
                <w:sz w:val="22"/>
                <w:szCs w:val="22"/>
                <w:lang w:val="en-US" w:eastAsia="zh-CN"/>
              </w:rPr>
              <w:t xml:space="preserve">  某个室内靠近围护结构处的倍频带声压级</w:t>
            </w:r>
          </w:p>
          <w:p w14:paraId="5BAA6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520" w:firstLineChars="200"/>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rPr>
              <w:t>②</w:t>
            </w:r>
            <w:r>
              <w:rPr>
                <w:rFonts w:hint="default" w:ascii="Times New Roman" w:hAnsi="Times New Roman" w:cs="Times New Roman"/>
                <w:color w:val="auto"/>
                <w:sz w:val="26"/>
                <w:szCs w:val="26"/>
                <w:lang w:val="en-US"/>
              </w:rPr>
              <w:t>计算出所有室内声源在靠近围护结构处产生的总倍频带声压级：</w:t>
            </w:r>
          </w:p>
          <w:p w14:paraId="3D726960">
            <w:pPr>
              <w:keepNext w:val="0"/>
              <w:keepLines w:val="0"/>
              <w:suppressLineNumbers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color w:val="auto"/>
                <w:sz w:val="26"/>
                <w:szCs w:val="26"/>
                <w:lang w:val="zh-CN"/>
              </w:rPr>
            </w:pPr>
            <w:r>
              <w:rPr>
                <w:rFonts w:hint="default" w:ascii="Times New Roman" w:hAnsi="Times New Roman" w:cs="Times New Roman"/>
                <w:color w:val="auto"/>
                <w:sz w:val="26"/>
                <w:szCs w:val="26"/>
              </w:rPr>
              <w:drawing>
                <wp:inline distT="0" distB="0" distL="114300" distR="114300">
                  <wp:extent cx="2923540" cy="733425"/>
                  <wp:effectExtent l="0" t="0" r="10160"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6"/>
                          <a:stretch>
                            <a:fillRect/>
                          </a:stretch>
                        </pic:blipFill>
                        <pic:spPr>
                          <a:xfrm>
                            <a:off x="0" y="0"/>
                            <a:ext cx="2923540" cy="733425"/>
                          </a:xfrm>
                          <a:prstGeom prst="rect">
                            <a:avLst/>
                          </a:prstGeom>
                          <a:noFill/>
                          <a:ln>
                            <a:noFill/>
                          </a:ln>
                        </pic:spPr>
                      </pic:pic>
                    </a:graphicData>
                  </a:graphic>
                </wp:inline>
              </w:drawing>
            </w:r>
          </w:p>
          <w:p w14:paraId="2A612F1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式中：Lp1i（T）-靠近围护结构处室内N个声源i倍频带的叠加声压级，dB；</w:t>
            </w:r>
          </w:p>
          <w:p w14:paraId="7B73FFF2">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Lp1ij-室内j声源i倍频带的声压级，dB；</w:t>
            </w:r>
          </w:p>
          <w:p w14:paraId="39C28B27">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N-室内声源总数。</w:t>
            </w:r>
          </w:p>
          <w:p w14:paraId="1EC4CFE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eastAsia="zh-CN"/>
              </w:rPr>
            </w:pPr>
            <w:r>
              <w:rPr>
                <w:rFonts w:hint="eastAsia" w:ascii="Times New Roman" w:hAnsi="Times New Roman" w:cs="Times New Roman"/>
                <w:color w:val="auto"/>
                <w:sz w:val="26"/>
                <w:szCs w:val="26"/>
                <w:lang w:val="en-US" w:eastAsia="zh-CN"/>
              </w:rPr>
              <w:t>③</w:t>
            </w:r>
            <w:r>
              <w:rPr>
                <w:rFonts w:hint="default" w:ascii="Times New Roman" w:hAnsi="Times New Roman" w:cs="Times New Roman"/>
                <w:color w:val="auto"/>
                <w:sz w:val="26"/>
                <w:szCs w:val="26"/>
                <w:lang w:val="en-US" w:eastAsia="zh-CN"/>
              </w:rPr>
              <w:t>室内点声源等效室外点声源声功率级计算：</w:t>
            </w:r>
          </w:p>
          <w:p w14:paraId="58919D3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L</w:t>
            </w:r>
            <w:r>
              <w:rPr>
                <w:rFonts w:hint="default" w:ascii="Times New Roman" w:hAnsi="Times New Roman" w:cs="Times New Roman"/>
                <w:color w:val="auto"/>
                <w:sz w:val="26"/>
                <w:szCs w:val="26"/>
                <w:vertAlign w:val="subscript"/>
                <w:lang w:val="en-US" w:eastAsia="zh-CN"/>
              </w:rPr>
              <w:t xml:space="preserve">P2 </w:t>
            </w:r>
            <w:r>
              <w:rPr>
                <w:rFonts w:hint="default" w:ascii="Times New Roman" w:hAnsi="Times New Roman" w:cs="Times New Roman"/>
                <w:color w:val="auto"/>
                <w:sz w:val="26"/>
                <w:szCs w:val="26"/>
                <w:lang w:val="en-US" w:eastAsia="zh-CN"/>
              </w:rPr>
              <w:t>= L</w:t>
            </w:r>
            <w:r>
              <w:rPr>
                <w:rFonts w:hint="default" w:ascii="Times New Roman" w:hAnsi="Times New Roman" w:cs="Times New Roman"/>
                <w:color w:val="auto"/>
                <w:sz w:val="26"/>
                <w:szCs w:val="26"/>
                <w:vertAlign w:val="subscript"/>
                <w:lang w:val="en-US" w:eastAsia="zh-CN"/>
              </w:rPr>
              <w:t>P1</w:t>
            </w:r>
            <w:r>
              <w:rPr>
                <w:rFonts w:hint="default" w:ascii="Times New Roman" w:hAnsi="Times New Roman" w:cs="Times New Roman"/>
                <w:color w:val="auto"/>
                <w:sz w:val="26"/>
                <w:szCs w:val="26"/>
                <w:lang w:val="en-US" w:eastAsia="zh-CN"/>
              </w:rPr>
              <w:t xml:space="preserve"> − (T</w:t>
            </w:r>
            <w:r>
              <w:rPr>
                <w:rFonts w:hint="default" w:ascii="Times New Roman" w:hAnsi="Times New Roman" w:cs="Times New Roman"/>
                <w:color w:val="auto"/>
                <w:sz w:val="26"/>
                <w:szCs w:val="26"/>
                <w:vertAlign w:val="subscript"/>
                <w:lang w:val="en-US" w:eastAsia="zh-CN"/>
              </w:rPr>
              <w:t>L</w:t>
            </w:r>
            <w:r>
              <w:rPr>
                <w:rFonts w:hint="default" w:ascii="Times New Roman" w:hAnsi="Times New Roman" w:cs="Times New Roman"/>
                <w:color w:val="auto"/>
                <w:sz w:val="26"/>
                <w:szCs w:val="26"/>
                <w:lang w:val="en-US" w:eastAsia="zh-CN"/>
              </w:rPr>
              <w:t xml:space="preserve"> + 6)</w:t>
            </w:r>
          </w:p>
          <w:p w14:paraId="1AE88B1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式中：L</w:t>
            </w:r>
            <w:r>
              <w:rPr>
                <w:rFonts w:hint="default" w:ascii="Times New Roman" w:hAnsi="Times New Roman" w:cs="Times New Roman"/>
                <w:color w:val="auto"/>
                <w:sz w:val="26"/>
                <w:szCs w:val="26"/>
                <w:vertAlign w:val="subscript"/>
                <w:lang w:val="en-US" w:eastAsia="zh-CN"/>
              </w:rPr>
              <w:t>P1</w:t>
            </w:r>
            <w:r>
              <w:rPr>
                <w:rFonts w:hint="default" w:ascii="Times New Roman" w:hAnsi="Times New Roman" w:cs="Times New Roman"/>
                <w:color w:val="auto"/>
                <w:sz w:val="26"/>
                <w:szCs w:val="26"/>
                <w:lang w:val="en-US" w:eastAsia="zh-CN"/>
              </w:rPr>
              <w:t>——靠近开口处（或窗户）室内某倍频带的声压级或A声级，dB；</w:t>
            </w:r>
          </w:p>
          <w:p w14:paraId="0C04851B">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L</w:t>
            </w:r>
            <w:r>
              <w:rPr>
                <w:rFonts w:hint="default" w:ascii="Times New Roman" w:hAnsi="Times New Roman" w:cs="Times New Roman"/>
                <w:color w:val="auto"/>
                <w:sz w:val="26"/>
                <w:szCs w:val="26"/>
                <w:vertAlign w:val="subscript"/>
                <w:lang w:val="en-US" w:eastAsia="zh-CN"/>
              </w:rPr>
              <w:t>P2</w:t>
            </w:r>
            <w:r>
              <w:rPr>
                <w:rFonts w:hint="default" w:ascii="Times New Roman" w:hAnsi="Times New Roman" w:cs="Times New Roman"/>
                <w:color w:val="auto"/>
                <w:sz w:val="26"/>
                <w:szCs w:val="26"/>
                <w:lang w:val="en-US" w:eastAsia="zh-CN"/>
              </w:rPr>
              <w:t>——靠近开口处（或窗户）室外某倍频带的声压级或A声级，dB；</w:t>
            </w:r>
          </w:p>
          <w:p w14:paraId="01BC234B">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T</w:t>
            </w:r>
            <w:r>
              <w:rPr>
                <w:rFonts w:hint="default" w:ascii="Times New Roman" w:hAnsi="Times New Roman" w:cs="Times New Roman"/>
                <w:color w:val="auto"/>
                <w:sz w:val="26"/>
                <w:szCs w:val="26"/>
                <w:vertAlign w:val="subscript"/>
                <w:lang w:val="en-US" w:eastAsia="zh-CN"/>
              </w:rPr>
              <w:t>L</w:t>
            </w:r>
            <w:r>
              <w:rPr>
                <w:rFonts w:hint="default" w:ascii="Times New Roman" w:hAnsi="Times New Roman" w:cs="Times New Roman"/>
                <w:color w:val="auto"/>
                <w:sz w:val="26"/>
                <w:szCs w:val="26"/>
                <w:lang w:val="en-US" w:eastAsia="zh-CN"/>
              </w:rPr>
              <w:t>——隔墙（或窗户）倍频带或A声级的隔声量，dB。</w:t>
            </w:r>
          </w:p>
          <w:p w14:paraId="3ED3A4B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室外点声源在预测点产生的声级计算基本公式</w:t>
            </w:r>
          </w:p>
          <w:p w14:paraId="67AA5E8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L</w:t>
            </w:r>
            <w:r>
              <w:rPr>
                <w:rFonts w:hint="default" w:ascii="Times New Roman" w:hAnsi="Times New Roman" w:cs="Times New Roman"/>
                <w:color w:val="auto"/>
                <w:sz w:val="26"/>
                <w:szCs w:val="26"/>
                <w:vertAlign w:val="subscript"/>
                <w:lang w:val="en-US" w:eastAsia="zh-CN"/>
              </w:rPr>
              <w:t>P</w:t>
            </w:r>
            <w:r>
              <w:rPr>
                <w:rFonts w:hint="default" w:ascii="Times New Roman" w:hAnsi="Times New Roman" w:cs="Times New Roman"/>
                <w:color w:val="auto"/>
                <w:sz w:val="26"/>
                <w:szCs w:val="26"/>
                <w:lang w:val="en-US" w:eastAsia="zh-CN"/>
              </w:rPr>
              <w:t>（r）=L</w:t>
            </w:r>
            <w:r>
              <w:rPr>
                <w:rFonts w:hint="default" w:ascii="Times New Roman" w:hAnsi="Times New Roman" w:cs="Times New Roman"/>
                <w:color w:val="auto"/>
                <w:sz w:val="26"/>
                <w:szCs w:val="26"/>
                <w:vertAlign w:val="subscript"/>
                <w:lang w:val="en-US" w:eastAsia="zh-CN"/>
              </w:rPr>
              <w:t>w</w:t>
            </w:r>
            <w:r>
              <w:rPr>
                <w:rFonts w:hint="default" w:ascii="Times New Roman" w:hAnsi="Times New Roman" w:cs="Times New Roman"/>
                <w:color w:val="auto"/>
                <w:sz w:val="26"/>
                <w:szCs w:val="26"/>
                <w:lang w:val="en-US" w:eastAsia="zh-CN"/>
              </w:rPr>
              <w:t>+</w:t>
            </w:r>
            <w:r>
              <w:rPr>
                <w:rFonts w:hint="eastAsia" w:ascii="Times New Roman" w:hAnsi="Times New Roman" w:cs="Times New Roman"/>
                <w:color w:val="auto"/>
                <w:sz w:val="26"/>
                <w:szCs w:val="26"/>
                <w:lang w:val="en-US" w:eastAsia="zh-CN"/>
              </w:rPr>
              <w:t>D</w:t>
            </w:r>
            <w:r>
              <w:rPr>
                <w:rFonts w:hint="eastAsia" w:ascii="Times New Roman" w:hAnsi="Times New Roman" w:cs="Times New Roman"/>
                <w:color w:val="auto"/>
                <w:sz w:val="26"/>
                <w:szCs w:val="26"/>
                <w:vertAlign w:val="subscript"/>
                <w:lang w:val="en-US" w:eastAsia="zh-CN"/>
              </w:rPr>
              <w:t>C</w:t>
            </w: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div</w:t>
            </w: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atm</w:t>
            </w: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gr</w:t>
            </w: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bar</w:t>
            </w: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misc</w:t>
            </w:r>
            <w:r>
              <w:rPr>
                <w:rFonts w:hint="default" w:ascii="Times New Roman" w:hAnsi="Times New Roman" w:cs="Times New Roman"/>
                <w:color w:val="auto"/>
                <w:sz w:val="26"/>
                <w:szCs w:val="26"/>
                <w:lang w:val="en-US" w:eastAsia="zh-CN"/>
              </w:rPr>
              <w:t>）</w:t>
            </w:r>
          </w:p>
          <w:p w14:paraId="41AA8A1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式中：L</w:t>
            </w:r>
            <w:r>
              <w:rPr>
                <w:rFonts w:hint="default" w:ascii="Times New Roman" w:hAnsi="Times New Roman" w:cs="Times New Roman"/>
                <w:color w:val="auto"/>
                <w:sz w:val="26"/>
                <w:szCs w:val="26"/>
                <w:vertAlign w:val="subscript"/>
                <w:lang w:val="en-US" w:eastAsia="zh-CN"/>
              </w:rPr>
              <w:t>p</w:t>
            </w:r>
            <w:r>
              <w:rPr>
                <w:rFonts w:hint="default" w:ascii="Times New Roman" w:hAnsi="Times New Roman" w:cs="Times New Roman"/>
                <w:color w:val="auto"/>
                <w:sz w:val="26"/>
                <w:szCs w:val="26"/>
                <w:lang w:val="en-US" w:eastAsia="zh-CN"/>
              </w:rPr>
              <w:t>(r)——预测点处声压级，dB；</w:t>
            </w:r>
          </w:p>
          <w:p w14:paraId="27024683">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L</w:t>
            </w:r>
            <w:r>
              <w:rPr>
                <w:rFonts w:hint="default" w:ascii="Times New Roman" w:hAnsi="Times New Roman" w:cs="Times New Roman"/>
                <w:color w:val="auto"/>
                <w:sz w:val="26"/>
                <w:szCs w:val="26"/>
                <w:vertAlign w:val="subscript"/>
                <w:lang w:val="en-US" w:eastAsia="zh-CN"/>
              </w:rPr>
              <w:t>w</w:t>
            </w:r>
            <w:r>
              <w:rPr>
                <w:rFonts w:hint="default" w:ascii="Times New Roman" w:hAnsi="Times New Roman" w:cs="Times New Roman"/>
                <w:color w:val="auto"/>
                <w:sz w:val="26"/>
                <w:szCs w:val="26"/>
                <w:lang w:val="en-US" w:eastAsia="zh-CN"/>
              </w:rPr>
              <w:t xml:space="preserve"> ——由点声源产生的声功率级（A计权或倍频带），dB；</w:t>
            </w:r>
          </w:p>
          <w:p w14:paraId="1B7E9613">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D</w:t>
            </w:r>
            <w:r>
              <w:rPr>
                <w:rFonts w:hint="default" w:ascii="Times New Roman" w:hAnsi="Times New Roman" w:cs="Times New Roman"/>
                <w:color w:val="auto"/>
                <w:sz w:val="26"/>
                <w:szCs w:val="26"/>
                <w:vertAlign w:val="subscript"/>
                <w:lang w:val="en-US" w:eastAsia="zh-CN"/>
              </w:rPr>
              <w:t>C</w:t>
            </w:r>
            <w:r>
              <w:rPr>
                <w:rFonts w:hint="default" w:ascii="Times New Roman" w:hAnsi="Times New Roman" w:cs="Times New Roman"/>
                <w:color w:val="auto"/>
                <w:sz w:val="26"/>
                <w:szCs w:val="26"/>
                <w:lang w:val="en-US" w:eastAsia="zh-CN"/>
              </w:rPr>
              <w:t>——指向性校正，dB；</w:t>
            </w:r>
          </w:p>
          <w:p w14:paraId="7A9DFDA9">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div</w:t>
            </w:r>
            <w:r>
              <w:rPr>
                <w:rFonts w:hint="default" w:ascii="Times New Roman" w:hAnsi="Times New Roman" w:cs="Times New Roman"/>
                <w:color w:val="auto"/>
                <w:sz w:val="26"/>
                <w:szCs w:val="26"/>
                <w:lang w:val="en-US" w:eastAsia="zh-CN"/>
              </w:rPr>
              <w:t xml:space="preserve"> ——几何发散引起的衰减，dB；</w:t>
            </w:r>
          </w:p>
          <w:p w14:paraId="5E358A73">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atm</w:t>
            </w:r>
            <w:r>
              <w:rPr>
                <w:rFonts w:hint="default" w:ascii="Times New Roman" w:hAnsi="Times New Roman" w:cs="Times New Roman"/>
                <w:color w:val="auto"/>
                <w:sz w:val="26"/>
                <w:szCs w:val="26"/>
                <w:lang w:val="en-US" w:eastAsia="zh-CN"/>
              </w:rPr>
              <w:t>——大气吸收引起的衰减，dB；</w:t>
            </w:r>
          </w:p>
          <w:p w14:paraId="05A377D9">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gr</w:t>
            </w:r>
            <w:r>
              <w:rPr>
                <w:rFonts w:hint="default" w:ascii="Times New Roman" w:hAnsi="Times New Roman" w:cs="Times New Roman"/>
                <w:color w:val="auto"/>
                <w:sz w:val="26"/>
                <w:szCs w:val="26"/>
                <w:lang w:val="en-US" w:eastAsia="zh-CN"/>
              </w:rPr>
              <w:t>——地面效应引起的衰减，dB；</w:t>
            </w:r>
          </w:p>
          <w:p w14:paraId="2CAA48ED">
            <w:pPr>
              <w:keepNext w:val="0"/>
              <w:keepLines w:val="0"/>
              <w:pageBreakBefore w:val="0"/>
              <w:widowControl w:val="0"/>
              <w:kinsoku/>
              <w:wordWrap/>
              <w:overflowPunct/>
              <w:topLinePunct w:val="0"/>
              <w:autoSpaceDE/>
              <w:autoSpaceDN/>
              <w:bidi w:val="0"/>
              <w:adjustRightInd/>
              <w:snapToGrid/>
              <w:spacing w:line="460" w:lineRule="exact"/>
              <w:ind w:firstLine="1300" w:firstLineChars="500"/>
              <w:textAlignment w:val="auto"/>
              <w:rPr>
                <w:rFonts w:hint="default" w:ascii="Times New Roman" w:hAnsi="Times New Roman" w:cs="Times New Roman"/>
                <w:color w:val="auto"/>
                <w:sz w:val="26"/>
                <w:szCs w:val="26"/>
                <w:lang w:val="en-US" w:eastAsia="zh-CN"/>
              </w:rPr>
            </w:pPr>
            <w:r>
              <w:rPr>
                <w:rFonts w:hint="default" w:ascii="Times New Roman" w:hAnsi="Times New Roman" w:cs="Times New Roman"/>
                <w:color w:val="auto"/>
                <w:sz w:val="26"/>
                <w:szCs w:val="26"/>
                <w:lang w:val="en-US" w:eastAsia="zh-CN"/>
              </w:rPr>
              <w:t>A</w:t>
            </w:r>
            <w:r>
              <w:rPr>
                <w:rFonts w:hint="default" w:ascii="Times New Roman" w:hAnsi="Times New Roman" w:cs="Times New Roman"/>
                <w:color w:val="auto"/>
                <w:sz w:val="26"/>
                <w:szCs w:val="26"/>
                <w:vertAlign w:val="subscript"/>
                <w:lang w:val="en-US" w:eastAsia="zh-CN"/>
              </w:rPr>
              <w:t>bar</w:t>
            </w:r>
            <w:r>
              <w:rPr>
                <w:rFonts w:hint="default" w:ascii="Times New Roman" w:hAnsi="Times New Roman" w:cs="Times New Roman"/>
                <w:color w:val="auto"/>
                <w:sz w:val="26"/>
                <w:szCs w:val="26"/>
                <w:lang w:val="en-US" w:eastAsia="zh-CN"/>
              </w:rPr>
              <w:t xml:space="preserve"> ——障碍物屏蔽引起的衰减，dB；</w:t>
            </w:r>
          </w:p>
          <w:p w14:paraId="3A38796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lang w:eastAsia="zh-CN"/>
              </w:rPr>
            </w:pPr>
            <w:r>
              <w:rPr>
                <w:rFonts w:hint="default" w:ascii="Times New Roman" w:hAnsi="Times New Roman" w:cs="Times New Roman"/>
                <w:color w:val="auto"/>
                <w:sz w:val="26"/>
                <w:szCs w:val="26"/>
                <w:lang w:val="en-US" w:eastAsia="zh-CN"/>
              </w:rPr>
              <w:t>3）</w:t>
            </w:r>
            <w:r>
              <w:rPr>
                <w:rFonts w:hint="default" w:ascii="Times New Roman" w:hAnsi="Times New Roman" w:cs="Times New Roman"/>
                <w:color w:val="auto"/>
                <w:sz w:val="26"/>
                <w:szCs w:val="26"/>
              </w:rPr>
              <w:t>噪声预测</w:t>
            </w:r>
            <w:r>
              <w:rPr>
                <w:rFonts w:hint="default" w:ascii="Times New Roman" w:hAnsi="Times New Roman" w:cs="Times New Roman"/>
                <w:color w:val="auto"/>
                <w:sz w:val="26"/>
                <w:szCs w:val="26"/>
                <w:lang w:eastAsia="zh-CN"/>
              </w:rPr>
              <w:t>结果</w:t>
            </w:r>
          </w:p>
          <w:p w14:paraId="4F86A8D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根据项目平面布置、噪声源分布及采取的降噪措施，</w:t>
            </w:r>
            <w:r>
              <w:rPr>
                <w:rFonts w:hint="default" w:ascii="Times New Roman" w:hAnsi="Times New Roman" w:cs="Times New Roman"/>
                <w:color w:val="auto"/>
                <w:sz w:val="26"/>
                <w:szCs w:val="26"/>
                <w:lang w:eastAsia="zh-CN"/>
              </w:rPr>
              <w:t>本项目</w:t>
            </w:r>
            <w:r>
              <w:rPr>
                <w:rFonts w:hint="eastAsia" w:ascii="Times New Roman" w:hAnsi="Times New Roman" w:cs="Times New Roman"/>
                <w:color w:val="auto"/>
                <w:sz w:val="26"/>
                <w:szCs w:val="26"/>
                <w:lang w:val="en-US" w:eastAsia="zh-CN"/>
              </w:rPr>
              <w:t>改造</w:t>
            </w:r>
            <w:r>
              <w:rPr>
                <w:rFonts w:hint="default" w:ascii="Times New Roman" w:hAnsi="Times New Roman" w:cs="Times New Roman"/>
                <w:color w:val="auto"/>
                <w:sz w:val="26"/>
                <w:szCs w:val="26"/>
                <w:lang w:val="en-US" w:eastAsia="zh-CN"/>
              </w:rPr>
              <w:t>完成</w:t>
            </w:r>
            <w:r>
              <w:rPr>
                <w:rFonts w:hint="default" w:ascii="Times New Roman" w:hAnsi="Times New Roman" w:cs="Times New Roman"/>
                <w:color w:val="auto"/>
                <w:sz w:val="26"/>
                <w:szCs w:val="26"/>
                <w:lang w:eastAsia="zh-CN"/>
              </w:rPr>
              <w:t>后</w:t>
            </w:r>
            <w:r>
              <w:rPr>
                <w:rFonts w:hint="default" w:ascii="Times New Roman" w:hAnsi="Times New Roman" w:cs="Times New Roman"/>
                <w:color w:val="auto"/>
                <w:sz w:val="26"/>
                <w:szCs w:val="26"/>
              </w:rPr>
              <w:t>运营期厂界噪声预测结果见表</w:t>
            </w:r>
            <w:r>
              <w:rPr>
                <w:rFonts w:hint="default" w:ascii="Times New Roman" w:hAnsi="Times New Roman" w:cs="Times New Roman"/>
                <w:color w:val="auto"/>
                <w:sz w:val="26"/>
                <w:szCs w:val="26"/>
                <w:lang w:val="en-US" w:eastAsia="zh-CN"/>
              </w:rPr>
              <w:t>4.2-1</w:t>
            </w:r>
            <w:r>
              <w:rPr>
                <w:rFonts w:hint="eastAsia" w:cs="Times New Roman"/>
                <w:color w:val="auto"/>
                <w:sz w:val="26"/>
                <w:szCs w:val="26"/>
                <w:lang w:val="en-US" w:eastAsia="zh-CN"/>
              </w:rPr>
              <w:t>5</w:t>
            </w:r>
            <w:r>
              <w:rPr>
                <w:rFonts w:hint="default" w:ascii="Times New Roman" w:hAnsi="Times New Roman" w:cs="Times New Roman"/>
                <w:color w:val="auto"/>
                <w:sz w:val="26"/>
                <w:szCs w:val="26"/>
              </w:rPr>
              <w:t>。</w:t>
            </w:r>
          </w:p>
          <w:p w14:paraId="51979959">
            <w:pPr>
              <w:spacing w:line="240" w:lineRule="auto"/>
              <w:ind w:left="0" w:leftChars="0" w:firstLine="0" w:firstLineChars="0"/>
              <w:jc w:val="center"/>
              <w:rPr>
                <w:rFonts w:hint="default" w:ascii="Times New Roman" w:hAnsi="Times New Roman" w:cs="Times New Roman"/>
                <w:color w:val="FF0000"/>
                <w:sz w:val="22"/>
                <w:szCs w:val="22"/>
                <w:lang w:eastAsia="zh-CN"/>
              </w:rPr>
            </w:pPr>
            <w:r>
              <w:rPr>
                <w:rFonts w:hint="default" w:ascii="Times New Roman" w:hAnsi="Times New Roman" w:cs="Times New Roman"/>
                <w:color w:val="FF0000"/>
                <w:sz w:val="22"/>
                <w:szCs w:val="22"/>
              </w:rPr>
              <w:t>表</w:t>
            </w:r>
            <w:r>
              <w:rPr>
                <w:rFonts w:hint="default" w:ascii="Times New Roman" w:hAnsi="Times New Roman" w:cs="Times New Roman"/>
                <w:color w:val="FF0000"/>
                <w:sz w:val="22"/>
                <w:szCs w:val="22"/>
                <w:lang w:val="en-US" w:eastAsia="zh-CN"/>
              </w:rPr>
              <w:t>4.2-1</w:t>
            </w:r>
            <w:r>
              <w:rPr>
                <w:rFonts w:hint="eastAsia" w:cs="Times New Roman"/>
                <w:color w:val="FF0000"/>
                <w:sz w:val="22"/>
                <w:szCs w:val="22"/>
                <w:lang w:val="en-US" w:eastAsia="zh-CN"/>
              </w:rPr>
              <w:t>5</w:t>
            </w:r>
            <w:r>
              <w:rPr>
                <w:rFonts w:hint="default" w:ascii="Times New Roman" w:hAnsi="Times New Roman" w:cs="Times New Roman"/>
                <w:color w:val="FF0000"/>
                <w:sz w:val="22"/>
                <w:szCs w:val="22"/>
                <w:lang w:val="en-US" w:eastAsia="zh-CN"/>
              </w:rPr>
              <w:t xml:space="preserve">  </w:t>
            </w:r>
            <w:r>
              <w:rPr>
                <w:rFonts w:hint="default" w:ascii="Times New Roman" w:hAnsi="Times New Roman" w:cs="Times New Roman"/>
                <w:color w:val="FF0000"/>
                <w:sz w:val="22"/>
                <w:szCs w:val="22"/>
              </w:rPr>
              <w:t>各厂界噪声影响预测结果  单位：dB</w:t>
            </w:r>
            <w:r>
              <w:rPr>
                <w:rFonts w:hint="default" w:ascii="Times New Roman" w:hAnsi="Times New Roman" w:cs="Times New Roman"/>
                <w:color w:val="FF0000"/>
                <w:sz w:val="22"/>
                <w:szCs w:val="22"/>
                <w:lang w:eastAsia="zh-CN"/>
              </w:rPr>
              <w:t>（</w:t>
            </w:r>
            <w:r>
              <w:rPr>
                <w:rFonts w:hint="default" w:ascii="Times New Roman" w:hAnsi="Times New Roman" w:cs="Times New Roman"/>
                <w:color w:val="FF0000"/>
                <w:sz w:val="22"/>
                <w:szCs w:val="22"/>
              </w:rPr>
              <w:t>A</w:t>
            </w:r>
            <w:r>
              <w:rPr>
                <w:rFonts w:hint="default" w:ascii="Times New Roman" w:hAnsi="Times New Roman" w:cs="Times New Roman"/>
                <w:color w:val="FF0000"/>
                <w:sz w:val="22"/>
                <w:szCs w:val="22"/>
                <w:lang w:eastAsia="zh-CN"/>
              </w:rPr>
              <w:t>）</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186"/>
              <w:gridCol w:w="1422"/>
              <w:gridCol w:w="1422"/>
              <w:gridCol w:w="1422"/>
              <w:gridCol w:w="1427"/>
            </w:tblGrid>
            <w:tr w14:paraId="5D57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11" w:type="pct"/>
                  <w:gridSpan w:val="2"/>
                  <w:noWrap w:val="0"/>
                  <w:vAlign w:val="center"/>
                </w:tcPr>
                <w:p w14:paraId="43413850">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mc:AlternateContent>
                      <mc:Choice Requires="wps">
                        <w:drawing>
                          <wp:anchor distT="0" distB="0" distL="114300" distR="114300" simplePos="0" relativeHeight="251666432" behindDoc="0" locked="0" layoutInCell="1" allowOverlap="1">
                            <wp:simplePos x="0" y="0"/>
                            <wp:positionH relativeFrom="column">
                              <wp:posOffset>-50800</wp:posOffset>
                            </wp:positionH>
                            <wp:positionV relativeFrom="paragraph">
                              <wp:posOffset>17780</wp:posOffset>
                            </wp:positionV>
                            <wp:extent cx="1395095" cy="349250"/>
                            <wp:effectExtent l="1270" t="4445" r="13335" b="8255"/>
                            <wp:wrapNone/>
                            <wp:docPr id="11" name="直接连接符 11"/>
                            <wp:cNvGraphicFramePr/>
                            <a:graphic xmlns:a="http://schemas.openxmlformats.org/drawingml/2006/main">
                              <a:graphicData uri="http://schemas.microsoft.com/office/word/2010/wordprocessingShape">
                                <wps:wsp>
                                  <wps:cNvCnPr/>
                                  <wps:spPr>
                                    <a:xfrm>
                                      <a:off x="0" y="0"/>
                                      <a:ext cx="1395095" cy="3492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pt;margin-top:1.4pt;height:27.5pt;width:109.85pt;z-index:251666432;mso-width-relative:page;mso-height-relative:page;" filled="f" stroked="t" coordsize="21600,21600" o:gfxdata="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B5y29YAAAAHAQAADwAAAAAAAAABACAAAAAiAAAAZHJzL2Rvd25y&#10;ZXYueG1sUEsBAhQAFAAAAAgAh07iQLOUy7sAAgAA+QMAAA4AAAAAAAAAAQAgAAAAJQEAAGRycy9l&#10;Mm9Eb2MueG1sUEsFBgAAAAAGAAYAWQEAAJcFAAAAAA==&#10;">
                            <v:fill on="f" focussize="0,0"/>
                            <v:stroke color="#000000" joinstyle="round"/>
                            <v:imagedata o:title=""/>
                            <o:lock v:ext="edit" aspectratio="f"/>
                          </v:line>
                        </w:pict>
                      </mc:Fallback>
                    </mc:AlternateContent>
                  </w:r>
                  <w:r>
                    <w:rPr>
                      <w:rFonts w:hint="default" w:ascii="Times New Roman" w:hAnsi="Times New Roman" w:cs="Times New Roman"/>
                      <w:color w:val="FF0000"/>
                      <w:sz w:val="22"/>
                      <w:szCs w:val="22"/>
                    </w:rPr>
                    <mc:AlternateContent>
                      <mc:Choice Requires="wps">
                        <w:drawing>
                          <wp:anchor distT="0" distB="0" distL="114300" distR="114300" simplePos="0" relativeHeight="251665408" behindDoc="0" locked="0" layoutInCell="1" allowOverlap="1">
                            <wp:simplePos x="0" y="0"/>
                            <wp:positionH relativeFrom="column">
                              <wp:posOffset>4854575</wp:posOffset>
                            </wp:positionH>
                            <wp:positionV relativeFrom="paragraph">
                              <wp:posOffset>-430427130</wp:posOffset>
                            </wp:positionV>
                            <wp:extent cx="1390650" cy="474980"/>
                            <wp:effectExtent l="1270" t="4445" r="17780" b="15875"/>
                            <wp:wrapNone/>
                            <wp:docPr id="7" name="直接连接符 7"/>
                            <wp:cNvGraphicFramePr/>
                            <a:graphic xmlns:a="http://schemas.openxmlformats.org/drawingml/2006/main">
                              <a:graphicData uri="http://schemas.microsoft.com/office/word/2010/wordprocessingShape">
                                <wps:wsp>
                                  <wps:cNvCnPr/>
                                  <wps:spPr>
                                    <a:xfrm>
                                      <a:off x="0" y="0"/>
                                      <a:ext cx="1390650" cy="4749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2.25pt;margin-top:-33891.9pt;height:37.4pt;width:109.5pt;z-index:251665408;mso-width-relative:page;mso-height-relative:page;" filled="f" stroked="t" coordsize="21600,21600" o:gfxdata="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c2XXcAAAAEQEAAA8AAAAAAAAAAQAgAAAAIgAAAGRy&#10;cy9kb3ducmV2LnhtbFBLAQIUABQAAAAIAIdO4kD+A3QTAQIAAPcDAAAOAAAAAAAAAAEAIAAAACsB&#10;AABkcnMvZTJvRG9jLnhtbFBLBQYAAAAABgAGAFkBAACeBQAAAAA=&#10;">
                            <v:fill on="f" focussize="0,0"/>
                            <v:stroke color="#000000" joinstyle="round"/>
                            <v:imagedata o:title=""/>
                            <o:lock v:ext="edit" aspectratio="f"/>
                          </v:line>
                        </w:pict>
                      </mc:Fallback>
                    </mc:AlternateContent>
                  </w:r>
                  <w:r>
                    <w:rPr>
                      <w:rFonts w:hint="default" w:ascii="Times New Roman" w:hAnsi="Times New Roman" w:cs="Times New Roman"/>
                      <w:color w:val="FF0000"/>
                      <w:sz w:val="22"/>
                      <w:szCs w:val="22"/>
                      <w:lang w:val="en-US" w:eastAsia="zh-CN"/>
                    </w:rPr>
                    <w:t xml:space="preserve">             </w:t>
                  </w:r>
                  <w:r>
                    <w:rPr>
                      <w:rFonts w:hint="default" w:ascii="Times New Roman" w:hAnsi="Times New Roman" w:cs="Times New Roman"/>
                      <w:color w:val="FF0000"/>
                      <w:sz w:val="22"/>
                      <w:szCs w:val="22"/>
                      <w:lang w:eastAsia="zh-CN"/>
                    </w:rPr>
                    <w:t>厂界</w:t>
                  </w:r>
                </w:p>
                <w:p w14:paraId="63E54F72">
                  <w:pPr>
                    <w:pStyle w:val="99"/>
                    <w:keepNext w:val="0"/>
                    <w:keepLines w:val="0"/>
                    <w:suppressLineNumbers w:val="0"/>
                    <w:spacing w:before="0" w:beforeAutospacing="0" w:after="0" w:afterAutospacing="0"/>
                    <w:ind w:left="0" w:right="0"/>
                    <w:jc w:val="both"/>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eastAsia="zh-CN"/>
                    </w:rPr>
                    <w:t>评价结果</w:t>
                  </w:r>
                </w:p>
              </w:tc>
              <w:tc>
                <w:tcPr>
                  <w:tcW w:w="896" w:type="pct"/>
                  <w:noWrap w:val="0"/>
                  <w:vAlign w:val="center"/>
                </w:tcPr>
                <w:p w14:paraId="11CEEAD2">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东</w:t>
                  </w:r>
                  <w:r>
                    <w:rPr>
                      <w:rFonts w:hint="eastAsia" w:ascii="Times New Roman" w:hAnsi="Times New Roman" w:cs="Times New Roman"/>
                      <w:color w:val="FF0000"/>
                      <w:sz w:val="22"/>
                      <w:szCs w:val="22"/>
                      <w:lang w:val="en-US" w:eastAsia="zh-CN"/>
                    </w:rPr>
                    <w:t>厂</w:t>
                  </w:r>
                  <w:r>
                    <w:rPr>
                      <w:rFonts w:hint="default" w:ascii="Times New Roman" w:hAnsi="Times New Roman" w:cs="Times New Roman"/>
                      <w:color w:val="FF0000"/>
                      <w:sz w:val="22"/>
                      <w:szCs w:val="22"/>
                    </w:rPr>
                    <w:t>界</w:t>
                  </w:r>
                </w:p>
              </w:tc>
              <w:tc>
                <w:tcPr>
                  <w:tcW w:w="896" w:type="pct"/>
                  <w:noWrap w:val="0"/>
                  <w:vAlign w:val="center"/>
                </w:tcPr>
                <w:p w14:paraId="3649E191">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eastAsia="zh-CN"/>
                    </w:rPr>
                    <w:t>西</w:t>
                  </w:r>
                  <w:r>
                    <w:rPr>
                      <w:rFonts w:hint="eastAsia" w:ascii="Times New Roman" w:hAnsi="Times New Roman" w:cs="Times New Roman"/>
                      <w:color w:val="FF0000"/>
                      <w:sz w:val="22"/>
                      <w:szCs w:val="22"/>
                      <w:lang w:val="en-US" w:eastAsia="zh-CN"/>
                    </w:rPr>
                    <w:t>厂</w:t>
                  </w:r>
                  <w:r>
                    <w:rPr>
                      <w:rFonts w:hint="default" w:ascii="Times New Roman" w:hAnsi="Times New Roman" w:cs="Times New Roman"/>
                      <w:color w:val="FF0000"/>
                      <w:sz w:val="22"/>
                      <w:szCs w:val="22"/>
                    </w:rPr>
                    <w:t>界</w:t>
                  </w:r>
                </w:p>
              </w:tc>
              <w:tc>
                <w:tcPr>
                  <w:tcW w:w="896" w:type="pct"/>
                  <w:noWrap w:val="0"/>
                  <w:vAlign w:val="center"/>
                </w:tcPr>
                <w:p w14:paraId="74D81132">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eastAsia="zh-CN"/>
                    </w:rPr>
                    <w:t>南</w:t>
                  </w:r>
                  <w:r>
                    <w:rPr>
                      <w:rFonts w:hint="eastAsia" w:ascii="Times New Roman" w:hAnsi="Times New Roman" w:cs="Times New Roman"/>
                      <w:color w:val="FF0000"/>
                      <w:sz w:val="22"/>
                      <w:szCs w:val="22"/>
                      <w:lang w:val="en-US" w:eastAsia="zh-CN"/>
                    </w:rPr>
                    <w:t>厂</w:t>
                  </w:r>
                  <w:r>
                    <w:rPr>
                      <w:rFonts w:hint="default" w:ascii="Times New Roman" w:hAnsi="Times New Roman" w:cs="Times New Roman"/>
                      <w:color w:val="FF0000"/>
                      <w:sz w:val="22"/>
                      <w:szCs w:val="22"/>
                    </w:rPr>
                    <w:t>界</w:t>
                  </w:r>
                </w:p>
              </w:tc>
              <w:tc>
                <w:tcPr>
                  <w:tcW w:w="898" w:type="pct"/>
                  <w:noWrap w:val="0"/>
                  <w:vAlign w:val="center"/>
                </w:tcPr>
                <w:p w14:paraId="6F0B38FB">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eastAsia="zh-CN"/>
                    </w:rPr>
                    <w:t>北</w:t>
                  </w:r>
                  <w:r>
                    <w:rPr>
                      <w:rFonts w:hint="eastAsia" w:ascii="Times New Roman" w:hAnsi="Times New Roman" w:cs="Times New Roman"/>
                      <w:color w:val="FF0000"/>
                      <w:sz w:val="22"/>
                      <w:szCs w:val="22"/>
                      <w:lang w:val="en-US" w:eastAsia="zh-CN"/>
                    </w:rPr>
                    <w:t>厂</w:t>
                  </w:r>
                  <w:r>
                    <w:rPr>
                      <w:rFonts w:hint="default" w:ascii="Times New Roman" w:hAnsi="Times New Roman" w:cs="Times New Roman"/>
                      <w:color w:val="FF0000"/>
                      <w:sz w:val="22"/>
                      <w:szCs w:val="22"/>
                    </w:rPr>
                    <w:t>界</w:t>
                  </w:r>
                </w:p>
              </w:tc>
            </w:tr>
            <w:tr w14:paraId="4232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11" w:type="pct"/>
                  <w:gridSpan w:val="2"/>
                  <w:noWrap w:val="0"/>
                  <w:vAlign w:val="center"/>
                </w:tcPr>
                <w:p w14:paraId="737B312D">
                  <w:pPr>
                    <w:pStyle w:val="9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sz w:val="22"/>
                      <w:szCs w:val="22"/>
                      <w:lang w:val="en-US" w:eastAsia="zh-CN"/>
                    </w:rPr>
                  </w:pPr>
                  <w:r>
                    <w:rPr>
                      <w:rFonts w:hint="eastAsia" w:ascii="Times New Roman" w:hAnsi="Times New Roman" w:cs="Times New Roman"/>
                      <w:color w:val="FF0000"/>
                      <w:sz w:val="22"/>
                      <w:szCs w:val="22"/>
                      <w:lang w:val="en-US" w:eastAsia="zh-CN"/>
                    </w:rPr>
                    <w:t>贡献</w:t>
                  </w:r>
                  <w:r>
                    <w:rPr>
                      <w:rFonts w:hint="default" w:ascii="Times New Roman" w:hAnsi="Times New Roman" w:cs="Times New Roman"/>
                      <w:color w:val="FF0000"/>
                      <w:sz w:val="22"/>
                      <w:szCs w:val="22"/>
                      <w:lang w:eastAsia="zh-CN"/>
                    </w:rPr>
                    <w:t>值</w:t>
                  </w:r>
                </w:p>
              </w:tc>
              <w:tc>
                <w:tcPr>
                  <w:tcW w:w="896" w:type="pct"/>
                  <w:noWrap w:val="0"/>
                  <w:vAlign w:val="center"/>
                </w:tcPr>
                <w:p w14:paraId="60CCCA32">
                  <w:pPr>
                    <w:pStyle w:val="9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sz w:val="22"/>
                      <w:szCs w:val="22"/>
                      <w:lang w:val="en-US" w:eastAsia="zh-CN"/>
                    </w:rPr>
                  </w:pPr>
                  <w:r>
                    <w:rPr>
                      <w:rFonts w:hint="eastAsia" w:ascii="Times New Roman" w:hAnsi="Times New Roman" w:cs="Times New Roman"/>
                      <w:color w:val="FF0000"/>
                      <w:sz w:val="22"/>
                      <w:szCs w:val="22"/>
                      <w:lang w:val="en-US" w:eastAsia="zh-CN"/>
                    </w:rPr>
                    <w:t>50.52</w:t>
                  </w:r>
                </w:p>
              </w:tc>
              <w:tc>
                <w:tcPr>
                  <w:tcW w:w="896" w:type="pct"/>
                  <w:noWrap w:val="0"/>
                  <w:vAlign w:val="center"/>
                </w:tcPr>
                <w:p w14:paraId="0EE12989">
                  <w:pPr>
                    <w:pStyle w:val="9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FF0000"/>
                      <w:sz w:val="22"/>
                      <w:szCs w:val="22"/>
                      <w:lang w:val="en-US" w:eastAsia="zh-CN"/>
                    </w:rPr>
                  </w:pPr>
                  <w:r>
                    <w:rPr>
                      <w:rFonts w:hint="eastAsia" w:ascii="Times New Roman" w:hAnsi="Times New Roman" w:cs="Times New Roman"/>
                      <w:color w:val="FF0000"/>
                      <w:sz w:val="22"/>
                      <w:szCs w:val="22"/>
                      <w:lang w:val="en-US" w:eastAsia="zh-CN"/>
                    </w:rPr>
                    <w:t>43.01</w:t>
                  </w:r>
                </w:p>
              </w:tc>
              <w:tc>
                <w:tcPr>
                  <w:tcW w:w="896" w:type="pct"/>
                  <w:noWrap w:val="0"/>
                  <w:vAlign w:val="center"/>
                </w:tcPr>
                <w:p w14:paraId="28EA85DE">
                  <w:pPr>
                    <w:pStyle w:val="9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sz w:val="22"/>
                      <w:szCs w:val="22"/>
                      <w:lang w:val="en-US" w:eastAsia="zh-CN"/>
                    </w:rPr>
                  </w:pPr>
                  <w:r>
                    <w:rPr>
                      <w:rFonts w:hint="eastAsia" w:ascii="Times New Roman" w:hAnsi="Times New Roman" w:cs="Times New Roman"/>
                      <w:color w:val="FF0000"/>
                      <w:sz w:val="22"/>
                      <w:szCs w:val="22"/>
                      <w:lang w:val="en-US" w:eastAsia="zh-CN"/>
                    </w:rPr>
                    <w:t>41.45</w:t>
                  </w:r>
                </w:p>
              </w:tc>
              <w:tc>
                <w:tcPr>
                  <w:tcW w:w="898" w:type="pct"/>
                  <w:noWrap w:val="0"/>
                  <w:vAlign w:val="center"/>
                </w:tcPr>
                <w:p w14:paraId="0550DAD2">
                  <w:pPr>
                    <w:pStyle w:val="99"/>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FF0000"/>
                      <w:sz w:val="22"/>
                      <w:szCs w:val="22"/>
                      <w:lang w:val="en-US" w:eastAsia="zh-CN"/>
                    </w:rPr>
                  </w:pPr>
                  <w:r>
                    <w:rPr>
                      <w:rFonts w:hint="eastAsia" w:ascii="Times New Roman" w:hAnsi="Times New Roman" w:cs="Times New Roman"/>
                      <w:color w:val="FF0000"/>
                      <w:sz w:val="22"/>
                      <w:szCs w:val="22"/>
                      <w:lang w:val="en-US" w:eastAsia="zh-CN"/>
                    </w:rPr>
                    <w:t>39.29</w:t>
                  </w:r>
                </w:p>
              </w:tc>
            </w:tr>
            <w:tr w14:paraId="0FB1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4" w:type="pct"/>
                  <w:noWrap w:val="0"/>
                  <w:vAlign w:val="center"/>
                </w:tcPr>
                <w:p w14:paraId="66D455F1">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rPr>
                  </w:pPr>
                  <w:r>
                    <w:rPr>
                      <w:rFonts w:hint="default" w:ascii="Times New Roman" w:hAnsi="Times New Roman" w:cs="Times New Roman"/>
                      <w:color w:val="FF0000"/>
                      <w:sz w:val="22"/>
                      <w:szCs w:val="22"/>
                    </w:rPr>
                    <w:t>昼</w:t>
                  </w:r>
                  <w:r>
                    <w:rPr>
                      <w:rFonts w:hint="eastAsia" w:ascii="Times New Roman" w:hAnsi="Times New Roman" w:cs="Times New Roman"/>
                      <w:color w:val="FF0000"/>
                      <w:sz w:val="22"/>
                      <w:szCs w:val="22"/>
                      <w:lang w:val="en-US" w:eastAsia="zh-CN"/>
                    </w:rPr>
                    <w:t>间</w:t>
                  </w:r>
                </w:p>
              </w:tc>
              <w:tc>
                <w:tcPr>
                  <w:tcW w:w="747" w:type="pct"/>
                  <w:noWrap w:val="0"/>
                  <w:vAlign w:val="center"/>
                </w:tcPr>
                <w:p w14:paraId="20FE9947">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lang w:eastAsia="zh-CN"/>
                    </w:rPr>
                  </w:pPr>
                  <w:r>
                    <w:rPr>
                      <w:rFonts w:hint="default" w:ascii="Times New Roman" w:hAnsi="Times New Roman" w:cs="Times New Roman"/>
                      <w:color w:val="FF0000"/>
                      <w:sz w:val="22"/>
                      <w:szCs w:val="22"/>
                      <w:lang w:eastAsia="zh-CN"/>
                    </w:rPr>
                    <w:t>标准</w:t>
                  </w:r>
                </w:p>
              </w:tc>
              <w:tc>
                <w:tcPr>
                  <w:tcW w:w="896" w:type="pct"/>
                  <w:noWrap w:val="0"/>
                  <w:vAlign w:val="center"/>
                </w:tcPr>
                <w:p w14:paraId="0D08F651">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lang w:val="en-US" w:eastAsia="zh-CN"/>
                    </w:rPr>
                  </w:pPr>
                  <w:r>
                    <w:rPr>
                      <w:rFonts w:hint="eastAsia" w:ascii="Times New Roman" w:hAnsi="Times New Roman" w:cs="Times New Roman"/>
                      <w:color w:val="FF0000"/>
                      <w:sz w:val="22"/>
                      <w:szCs w:val="22"/>
                      <w:lang w:val="en-US" w:eastAsia="zh-CN"/>
                    </w:rPr>
                    <w:t>70</w:t>
                  </w:r>
                </w:p>
              </w:tc>
              <w:tc>
                <w:tcPr>
                  <w:tcW w:w="896" w:type="pct"/>
                  <w:noWrap w:val="0"/>
                  <w:vAlign w:val="center"/>
                </w:tcPr>
                <w:p w14:paraId="7A005687">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FF0000"/>
                      <w:sz w:val="22"/>
                      <w:szCs w:val="22"/>
                      <w:lang w:val="en-US" w:eastAsia="zh-CN"/>
                    </w:rPr>
                  </w:pPr>
                  <w:r>
                    <w:rPr>
                      <w:rFonts w:hint="default" w:ascii="Times New Roman" w:hAnsi="Times New Roman" w:cs="Times New Roman"/>
                      <w:color w:val="FF0000"/>
                      <w:sz w:val="22"/>
                      <w:szCs w:val="22"/>
                      <w:lang w:val="en-US" w:eastAsia="zh-CN"/>
                    </w:rPr>
                    <w:t>65</w:t>
                  </w:r>
                </w:p>
              </w:tc>
              <w:tc>
                <w:tcPr>
                  <w:tcW w:w="896" w:type="pct"/>
                  <w:noWrap w:val="0"/>
                  <w:vAlign w:val="center"/>
                </w:tcPr>
                <w:p w14:paraId="0E75F90E">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lang w:val="en-US" w:eastAsia="zh-CN"/>
                    </w:rPr>
                  </w:pPr>
                  <w:r>
                    <w:rPr>
                      <w:rFonts w:hint="default" w:ascii="Times New Roman" w:hAnsi="Times New Roman" w:cs="Times New Roman"/>
                      <w:color w:val="FF0000"/>
                      <w:sz w:val="22"/>
                      <w:szCs w:val="22"/>
                      <w:lang w:val="en-US" w:eastAsia="zh-CN"/>
                    </w:rPr>
                    <w:t>65</w:t>
                  </w:r>
                </w:p>
              </w:tc>
              <w:tc>
                <w:tcPr>
                  <w:tcW w:w="898" w:type="pct"/>
                  <w:noWrap w:val="0"/>
                  <w:vAlign w:val="center"/>
                </w:tcPr>
                <w:p w14:paraId="257E3015">
                  <w:pPr>
                    <w:pStyle w:val="99"/>
                    <w:keepNext w:val="0"/>
                    <w:keepLines w:val="0"/>
                    <w:suppressLineNumbers w:val="0"/>
                    <w:spacing w:before="0" w:beforeAutospacing="0" w:after="0" w:afterAutospacing="0"/>
                    <w:ind w:left="0" w:right="0"/>
                    <w:rPr>
                      <w:rFonts w:hint="default" w:ascii="Times New Roman" w:hAnsi="Times New Roman" w:cs="Times New Roman"/>
                      <w:color w:val="FF0000"/>
                      <w:sz w:val="22"/>
                      <w:szCs w:val="22"/>
                      <w:lang w:val="en-US" w:eastAsia="zh-CN"/>
                    </w:rPr>
                  </w:pPr>
                  <w:r>
                    <w:rPr>
                      <w:rFonts w:hint="default" w:ascii="Times New Roman" w:hAnsi="Times New Roman" w:cs="Times New Roman"/>
                      <w:color w:val="FF0000"/>
                      <w:sz w:val="22"/>
                      <w:szCs w:val="22"/>
                      <w:lang w:val="en-US" w:eastAsia="zh-CN"/>
                    </w:rPr>
                    <w:t>65</w:t>
                  </w:r>
                </w:p>
              </w:tc>
            </w:tr>
            <w:tr w14:paraId="551E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4" w:type="pct"/>
                  <w:shd w:val="clear" w:color="auto" w:fill="auto"/>
                  <w:noWrap w:val="0"/>
                  <w:vAlign w:val="center"/>
                </w:tcPr>
                <w:p w14:paraId="6CCC7C29">
                  <w:pPr>
                    <w:pStyle w:val="99"/>
                    <w:keepNext w:val="0"/>
                    <w:keepLines w:val="0"/>
                    <w:suppressLineNumbers w:val="0"/>
                    <w:spacing w:before="0" w:beforeAutospacing="0" w:after="0" w:afterAutospacing="0"/>
                    <w:ind w:left="0" w:leftChars="0" w:right="0" w:rightChars="0"/>
                    <w:rPr>
                      <w:rFonts w:hint="default" w:ascii="Times New Roman" w:hAnsi="Times New Roman" w:eastAsia="宋体" w:cs="Times New Roman"/>
                      <w:snapToGrid w:val="0"/>
                      <w:color w:val="FF0000"/>
                      <w:kern w:val="0"/>
                      <w:sz w:val="22"/>
                      <w:szCs w:val="22"/>
                      <w:lang w:val="en-US" w:eastAsia="zh-CN" w:bidi="ar-SA"/>
                    </w:rPr>
                  </w:pPr>
                  <w:r>
                    <w:rPr>
                      <w:rFonts w:hint="eastAsia" w:ascii="Times New Roman" w:hAnsi="Times New Roman" w:cs="Times New Roman"/>
                      <w:snapToGrid w:val="0"/>
                      <w:color w:val="FF0000"/>
                      <w:kern w:val="0"/>
                      <w:sz w:val="22"/>
                      <w:szCs w:val="22"/>
                      <w:lang w:val="en-US" w:eastAsia="zh-CN" w:bidi="ar-SA"/>
                    </w:rPr>
                    <w:t>夜间</w:t>
                  </w:r>
                </w:p>
              </w:tc>
              <w:tc>
                <w:tcPr>
                  <w:tcW w:w="747" w:type="pct"/>
                  <w:shd w:val="clear" w:color="auto" w:fill="auto"/>
                  <w:noWrap w:val="0"/>
                  <w:vAlign w:val="center"/>
                </w:tcPr>
                <w:p w14:paraId="79D664D0">
                  <w:pPr>
                    <w:pStyle w:val="99"/>
                    <w:keepNext w:val="0"/>
                    <w:keepLines w:val="0"/>
                    <w:suppressLineNumbers w:val="0"/>
                    <w:spacing w:before="0" w:beforeAutospacing="0" w:after="0" w:afterAutospacing="0"/>
                    <w:ind w:left="0" w:leftChars="0" w:right="0" w:rightChars="0"/>
                    <w:rPr>
                      <w:rFonts w:hint="default" w:ascii="Times New Roman" w:hAnsi="Times New Roman" w:eastAsia="宋体" w:cs="Times New Roman"/>
                      <w:snapToGrid w:val="0"/>
                      <w:color w:val="FF0000"/>
                      <w:kern w:val="0"/>
                      <w:sz w:val="22"/>
                      <w:szCs w:val="22"/>
                      <w:lang w:val="en-US" w:eastAsia="zh-CN" w:bidi="ar-SA"/>
                    </w:rPr>
                  </w:pPr>
                  <w:r>
                    <w:rPr>
                      <w:rFonts w:hint="default" w:ascii="Times New Roman" w:hAnsi="Times New Roman" w:cs="Times New Roman"/>
                      <w:color w:val="FF0000"/>
                      <w:sz w:val="22"/>
                      <w:szCs w:val="22"/>
                      <w:lang w:eastAsia="zh-CN"/>
                    </w:rPr>
                    <w:t>标准</w:t>
                  </w:r>
                </w:p>
              </w:tc>
              <w:tc>
                <w:tcPr>
                  <w:tcW w:w="896" w:type="pct"/>
                  <w:shd w:val="clear" w:color="auto" w:fill="auto"/>
                  <w:noWrap w:val="0"/>
                  <w:vAlign w:val="center"/>
                </w:tcPr>
                <w:p w14:paraId="77EC9DEE">
                  <w:pPr>
                    <w:pStyle w:val="99"/>
                    <w:keepNext w:val="0"/>
                    <w:keepLines w:val="0"/>
                    <w:suppressLineNumbers w:val="0"/>
                    <w:spacing w:before="0" w:beforeAutospacing="0" w:after="0" w:afterAutospacing="0"/>
                    <w:ind w:left="0" w:leftChars="0" w:right="0" w:rightChars="0"/>
                    <w:rPr>
                      <w:rFonts w:hint="default" w:ascii="Times New Roman" w:hAnsi="Times New Roman" w:eastAsia="宋体" w:cs="Times New Roman"/>
                      <w:snapToGrid w:val="0"/>
                      <w:color w:val="FF0000"/>
                      <w:kern w:val="0"/>
                      <w:sz w:val="22"/>
                      <w:szCs w:val="22"/>
                      <w:lang w:val="en-US" w:eastAsia="zh-CN" w:bidi="ar-SA"/>
                    </w:rPr>
                  </w:pPr>
                  <w:r>
                    <w:rPr>
                      <w:rFonts w:hint="eastAsia" w:ascii="Times New Roman" w:hAnsi="Times New Roman" w:cs="Times New Roman"/>
                      <w:color w:val="FF0000"/>
                      <w:sz w:val="22"/>
                      <w:szCs w:val="22"/>
                      <w:lang w:val="en-US" w:eastAsia="zh-CN"/>
                    </w:rPr>
                    <w:t>55</w:t>
                  </w:r>
                </w:p>
              </w:tc>
              <w:tc>
                <w:tcPr>
                  <w:tcW w:w="896" w:type="pct"/>
                  <w:shd w:val="clear" w:color="auto" w:fill="auto"/>
                  <w:noWrap w:val="0"/>
                  <w:vAlign w:val="center"/>
                </w:tcPr>
                <w:p w14:paraId="0AF93788">
                  <w:pPr>
                    <w:pStyle w:val="9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FF0000"/>
                      <w:kern w:val="0"/>
                      <w:sz w:val="22"/>
                      <w:szCs w:val="22"/>
                      <w:lang w:val="en-US" w:eastAsia="zh-CN" w:bidi="ar-SA"/>
                    </w:rPr>
                  </w:pPr>
                  <w:r>
                    <w:rPr>
                      <w:rFonts w:hint="eastAsia" w:ascii="Times New Roman" w:hAnsi="Times New Roman" w:cs="Times New Roman"/>
                      <w:color w:val="FF0000"/>
                      <w:sz w:val="22"/>
                      <w:szCs w:val="22"/>
                      <w:lang w:val="en-US" w:eastAsia="zh-CN"/>
                    </w:rPr>
                    <w:t>55</w:t>
                  </w:r>
                </w:p>
              </w:tc>
              <w:tc>
                <w:tcPr>
                  <w:tcW w:w="896" w:type="pct"/>
                  <w:shd w:val="clear" w:color="auto" w:fill="auto"/>
                  <w:noWrap w:val="0"/>
                  <w:vAlign w:val="center"/>
                </w:tcPr>
                <w:p w14:paraId="78E11DF5">
                  <w:pPr>
                    <w:pStyle w:val="99"/>
                    <w:keepNext w:val="0"/>
                    <w:keepLines w:val="0"/>
                    <w:suppressLineNumbers w:val="0"/>
                    <w:spacing w:before="0" w:beforeAutospacing="0" w:after="0" w:afterAutospacing="0"/>
                    <w:ind w:left="0" w:leftChars="0" w:right="0" w:rightChars="0"/>
                    <w:rPr>
                      <w:rFonts w:hint="default" w:ascii="Times New Roman" w:hAnsi="Times New Roman" w:eastAsia="宋体" w:cs="Times New Roman"/>
                      <w:snapToGrid w:val="0"/>
                      <w:color w:val="FF0000"/>
                      <w:kern w:val="0"/>
                      <w:sz w:val="22"/>
                      <w:szCs w:val="22"/>
                      <w:lang w:val="en-US" w:eastAsia="zh-CN" w:bidi="ar-SA"/>
                    </w:rPr>
                  </w:pPr>
                  <w:r>
                    <w:rPr>
                      <w:rFonts w:hint="eastAsia" w:ascii="Times New Roman" w:hAnsi="Times New Roman" w:cs="Times New Roman"/>
                      <w:color w:val="FF0000"/>
                      <w:sz w:val="22"/>
                      <w:szCs w:val="22"/>
                      <w:lang w:val="en-US" w:eastAsia="zh-CN"/>
                    </w:rPr>
                    <w:t>55</w:t>
                  </w:r>
                </w:p>
              </w:tc>
              <w:tc>
                <w:tcPr>
                  <w:tcW w:w="898" w:type="pct"/>
                  <w:shd w:val="clear" w:color="auto" w:fill="auto"/>
                  <w:noWrap w:val="0"/>
                  <w:vAlign w:val="center"/>
                </w:tcPr>
                <w:p w14:paraId="0BBD00CD">
                  <w:pPr>
                    <w:pStyle w:val="99"/>
                    <w:keepNext w:val="0"/>
                    <w:keepLines w:val="0"/>
                    <w:suppressLineNumbers w:val="0"/>
                    <w:spacing w:before="0" w:beforeAutospacing="0" w:after="0" w:afterAutospacing="0"/>
                    <w:ind w:left="0" w:leftChars="0" w:right="0" w:rightChars="0"/>
                    <w:rPr>
                      <w:rFonts w:hint="default" w:ascii="Times New Roman" w:hAnsi="Times New Roman" w:eastAsia="宋体" w:cs="Times New Roman"/>
                      <w:snapToGrid w:val="0"/>
                      <w:color w:val="FF0000"/>
                      <w:kern w:val="0"/>
                      <w:sz w:val="22"/>
                      <w:szCs w:val="22"/>
                      <w:lang w:val="en-US" w:eastAsia="zh-CN" w:bidi="ar-SA"/>
                    </w:rPr>
                  </w:pPr>
                  <w:r>
                    <w:rPr>
                      <w:rFonts w:hint="eastAsia" w:ascii="Times New Roman" w:hAnsi="Times New Roman" w:cs="Times New Roman"/>
                      <w:color w:val="FF0000"/>
                      <w:sz w:val="22"/>
                      <w:szCs w:val="22"/>
                      <w:lang w:val="en-US" w:eastAsia="zh-CN"/>
                    </w:rPr>
                    <w:t>55</w:t>
                  </w:r>
                </w:p>
              </w:tc>
            </w:tr>
          </w:tbl>
          <w:p w14:paraId="056A2C71">
            <w:pPr>
              <w:pStyle w:val="93"/>
              <w:bidi w:val="0"/>
              <w:rPr>
                <w:rFonts w:hint="default" w:ascii="Times New Roman" w:hAnsi="Times New Roman" w:cs="Times New Roman"/>
                <w:color w:val="auto"/>
                <w:sz w:val="26"/>
                <w:szCs w:val="26"/>
              </w:rPr>
            </w:pPr>
            <w:r>
              <w:rPr>
                <w:rFonts w:hint="default" w:ascii="Times New Roman" w:hAnsi="Times New Roman" w:cs="Times New Roman"/>
                <w:color w:val="auto"/>
                <w:sz w:val="26"/>
                <w:szCs w:val="26"/>
              </w:rPr>
              <w:t>根据表4</w:t>
            </w:r>
            <w:r>
              <w:rPr>
                <w:rFonts w:hint="default" w:ascii="Times New Roman" w:hAnsi="Times New Roman" w:cs="Times New Roman"/>
                <w:color w:val="auto"/>
                <w:sz w:val="26"/>
                <w:szCs w:val="26"/>
                <w:lang w:val="en-US" w:eastAsia="zh-CN"/>
              </w:rPr>
              <w:t>.2-</w:t>
            </w:r>
            <w:r>
              <w:rPr>
                <w:rFonts w:hint="eastAsia" w:cs="Times New Roman"/>
                <w:color w:val="auto"/>
                <w:sz w:val="26"/>
                <w:szCs w:val="26"/>
                <w:lang w:val="en-US" w:eastAsia="zh-CN"/>
              </w:rPr>
              <w:t>15</w:t>
            </w:r>
            <w:r>
              <w:rPr>
                <w:rFonts w:hint="default" w:ascii="Times New Roman" w:hAnsi="Times New Roman" w:cs="Times New Roman"/>
                <w:color w:val="auto"/>
                <w:sz w:val="26"/>
                <w:szCs w:val="26"/>
              </w:rPr>
              <w:t>预测结果分析，本项目</w:t>
            </w:r>
            <w:r>
              <w:rPr>
                <w:rFonts w:hint="eastAsia" w:ascii="Times New Roman" w:hAnsi="Times New Roman" w:cs="Times New Roman"/>
                <w:color w:val="auto"/>
                <w:sz w:val="26"/>
                <w:szCs w:val="26"/>
                <w:lang w:val="en-US" w:eastAsia="zh-CN"/>
              </w:rPr>
              <w:t>改扩建完成后</w:t>
            </w:r>
            <w:r>
              <w:rPr>
                <w:rFonts w:hint="default" w:ascii="Times New Roman" w:hAnsi="Times New Roman" w:cs="Times New Roman"/>
                <w:color w:val="auto"/>
                <w:sz w:val="26"/>
                <w:szCs w:val="26"/>
              </w:rPr>
              <w:t>在运营期产生的噪声在采取相应的防噪和降噪措施后，</w:t>
            </w:r>
            <w:r>
              <w:rPr>
                <w:rFonts w:hint="eastAsia" w:ascii="Times New Roman" w:hAnsi="Times New Roman" w:cs="Times New Roman"/>
                <w:color w:val="auto"/>
                <w:sz w:val="26"/>
                <w:szCs w:val="26"/>
                <w:lang w:val="en-US" w:eastAsia="zh-CN"/>
              </w:rPr>
              <w:t>东侧</w:t>
            </w:r>
            <w:r>
              <w:rPr>
                <w:rFonts w:hint="default" w:ascii="Times New Roman" w:hAnsi="Times New Roman" w:cs="Times New Roman"/>
                <w:color w:val="auto"/>
                <w:sz w:val="26"/>
                <w:szCs w:val="26"/>
              </w:rPr>
              <w:t>厂界噪声值昼</w:t>
            </w: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夜间</w:t>
            </w:r>
            <w:r>
              <w:rPr>
                <w:rFonts w:hint="default" w:ascii="Times New Roman" w:hAnsi="Times New Roman" w:cs="Times New Roman"/>
                <w:color w:val="auto"/>
                <w:sz w:val="26"/>
                <w:szCs w:val="26"/>
              </w:rPr>
              <w:t>能满足《工业企业厂界环境噪声排放标准》（GB12348-2008）</w:t>
            </w:r>
            <w:r>
              <w:rPr>
                <w:rFonts w:hint="eastAsia" w:ascii="Times New Roman" w:hAnsi="Times New Roman" w:cs="Times New Roman"/>
                <w:color w:val="auto"/>
                <w:sz w:val="26"/>
                <w:szCs w:val="26"/>
                <w:lang w:val="en-US" w:eastAsia="zh-CN"/>
              </w:rPr>
              <w:t>4</w:t>
            </w:r>
            <w:r>
              <w:rPr>
                <w:rFonts w:hint="default" w:ascii="Times New Roman" w:hAnsi="Times New Roman" w:cs="Times New Roman"/>
                <w:color w:val="auto"/>
                <w:sz w:val="26"/>
                <w:szCs w:val="26"/>
              </w:rPr>
              <w:t>类标准限值</w:t>
            </w: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其他侧</w:t>
            </w:r>
            <w:r>
              <w:rPr>
                <w:rFonts w:hint="default" w:ascii="Times New Roman" w:hAnsi="Times New Roman" w:cs="Times New Roman"/>
                <w:color w:val="auto"/>
                <w:sz w:val="26"/>
                <w:szCs w:val="26"/>
              </w:rPr>
              <w:t>厂界噪声值昼</w:t>
            </w: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夜间</w:t>
            </w:r>
            <w:r>
              <w:rPr>
                <w:rFonts w:hint="default" w:ascii="Times New Roman" w:hAnsi="Times New Roman" w:cs="Times New Roman"/>
                <w:color w:val="auto"/>
                <w:sz w:val="26"/>
                <w:szCs w:val="26"/>
              </w:rPr>
              <w:t>能满足《工业企业厂界环境噪声排放标准》（GB12348-2008）3类标准限值。因此，评价认为本项目噪声对外环境影响很小。</w:t>
            </w:r>
          </w:p>
          <w:p w14:paraId="232A285E">
            <w:pPr>
              <w:pStyle w:val="93"/>
              <w:bidi w:val="0"/>
              <w:rPr>
                <w:rFonts w:hint="default" w:ascii="Times New Roman" w:hAnsi="Times New Roman" w:cs="Times New Roman"/>
                <w:color w:val="auto"/>
                <w:sz w:val="26"/>
                <w:szCs w:val="26"/>
              </w:rPr>
            </w:pPr>
            <w:r>
              <w:rPr>
                <w:rFonts w:hint="eastAsia" w:ascii="Times New Roman" w:hAnsi="Times New Roman" w:cs="Times New Roman"/>
                <w:color w:val="auto"/>
                <w:sz w:val="26"/>
                <w:szCs w:val="26"/>
                <w:lang w:val="en-US" w:eastAsia="zh-CN"/>
              </w:rPr>
              <w:t>4</w:t>
            </w:r>
            <w:r>
              <w:rPr>
                <w:rFonts w:hint="default" w:ascii="Times New Roman" w:hAnsi="Times New Roman" w:cs="Times New Roman"/>
                <w:color w:val="auto"/>
                <w:sz w:val="26"/>
                <w:szCs w:val="26"/>
              </w:rPr>
              <w:t>）声环境保护目标预测</w:t>
            </w:r>
          </w:p>
          <w:p w14:paraId="44B226CF">
            <w:pPr>
              <w:pStyle w:val="64"/>
            </w:pPr>
            <w:r>
              <w:rPr>
                <w:rFonts w:hint="default" w:ascii="Times New Roman" w:hAnsi="Times New Roman" w:cs="Times New Roman"/>
                <w:color w:val="auto"/>
                <w:sz w:val="26"/>
                <w:szCs w:val="26"/>
              </w:rPr>
              <w:t>本项目周边50m范围内无居民、医院、学校等声环境保护目标，因此本评价不开展环境保护目标噪声达标情况分析。</w:t>
            </w:r>
          </w:p>
          <w:p w14:paraId="22980FCF">
            <w:pPr>
              <w:spacing w:line="460" w:lineRule="exact"/>
              <w:rPr>
                <w:sz w:val="26"/>
              </w:rPr>
            </w:pPr>
            <w:r>
              <w:rPr>
                <w:rFonts w:hint="eastAsia"/>
                <w:sz w:val="26"/>
                <w:szCs w:val="26"/>
                <w:lang w:val="en-US" w:eastAsia="zh-CN"/>
              </w:rPr>
              <w:t>4.2.3.3</w:t>
            </w:r>
            <w:r>
              <w:rPr>
                <w:sz w:val="26"/>
                <w:szCs w:val="26"/>
              </w:rPr>
              <w:t>防治措施</w:t>
            </w:r>
          </w:p>
          <w:p w14:paraId="3EA33E2F">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根据现场调查，目前本项目已采取的降噪措施如下：</w:t>
            </w:r>
          </w:p>
          <w:p w14:paraId="17955D94">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①在站区进站口设置了减速标志和禁鸣标志，加强了进站车辆的管理。采取加油时车辆熄火和平稳启动等措施，使区域内的交通噪声降到最低值。</w:t>
            </w:r>
          </w:p>
          <w:p w14:paraId="5833BBB3">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②自动洗车间设置了</w:t>
            </w:r>
            <w:r>
              <w:rPr>
                <w:rFonts w:hint="eastAsia" w:ascii="宋体" w:hAnsi="宋体" w:cs="宋体"/>
                <w:kern w:val="44"/>
                <w:sz w:val="26"/>
                <w:szCs w:val="26"/>
                <w:lang w:val="en-US" w:eastAsia="zh-CN" w:bidi="ar"/>
              </w:rPr>
              <w:t>罩体</w:t>
            </w:r>
            <w:r>
              <w:rPr>
                <w:rFonts w:hint="eastAsia" w:ascii="宋体" w:hAnsi="宋体" w:cs="宋体"/>
                <w:kern w:val="44"/>
                <w:sz w:val="26"/>
                <w:szCs w:val="26"/>
                <w:lang w:bidi="ar"/>
              </w:rPr>
              <w:t>建筑隔声。</w:t>
            </w:r>
          </w:p>
          <w:p w14:paraId="53B4A010">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③加油站周边设置绿化带，进一步降低噪声影响。</w:t>
            </w:r>
          </w:p>
          <w:p w14:paraId="536D5E14">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为减少项目改扩建完成后噪声影响，评价要求项目建成后续落实以下降噪措施：</w:t>
            </w:r>
          </w:p>
          <w:p w14:paraId="25BEFE0F">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①加强对潜油泵、加油机的维护和保养，避免因设备问题而引发突发性高噪声造成扰民影响。</w:t>
            </w:r>
          </w:p>
          <w:p w14:paraId="2B25424B">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②更替后潜油泵置于</w:t>
            </w:r>
            <w:r>
              <w:rPr>
                <w:rFonts w:hint="eastAsia" w:ascii="宋体" w:hAnsi="宋体" w:cs="宋体"/>
                <w:kern w:val="44"/>
                <w:sz w:val="26"/>
                <w:szCs w:val="26"/>
                <w:lang w:val="en-US" w:eastAsia="zh-CN" w:bidi="ar"/>
              </w:rPr>
              <w:t>地下</w:t>
            </w:r>
            <w:r>
              <w:rPr>
                <w:rFonts w:hint="eastAsia" w:ascii="宋体" w:hAnsi="宋体" w:cs="宋体"/>
                <w:kern w:val="44"/>
                <w:sz w:val="26"/>
                <w:szCs w:val="26"/>
                <w:lang w:bidi="ar"/>
              </w:rPr>
              <w:t>油罐内。</w:t>
            </w:r>
          </w:p>
          <w:p w14:paraId="4F6CFD9A">
            <w:pPr>
              <w:adjustRightInd w:val="0"/>
              <w:spacing w:line="460" w:lineRule="exact"/>
              <w:ind w:firstLine="520" w:firstLineChars="200"/>
              <w:rPr>
                <w:rFonts w:hint="eastAsia" w:ascii="宋体" w:hAnsi="宋体" w:cs="宋体"/>
                <w:kern w:val="44"/>
                <w:sz w:val="26"/>
                <w:szCs w:val="26"/>
                <w:lang w:bidi="ar"/>
              </w:rPr>
            </w:pPr>
            <w:r>
              <w:rPr>
                <w:rFonts w:hint="eastAsia" w:ascii="宋体" w:hAnsi="宋体" w:cs="宋体"/>
                <w:kern w:val="44"/>
                <w:sz w:val="26"/>
                <w:szCs w:val="26"/>
                <w:lang w:bidi="ar"/>
              </w:rPr>
              <w:t>③柴油发电机仅为停电时使用，使用频次少，噪声通过建筑隔声。</w:t>
            </w:r>
          </w:p>
          <w:p w14:paraId="2349EC4A">
            <w:pPr>
              <w:adjustRightInd w:val="0"/>
              <w:spacing w:line="460" w:lineRule="exact"/>
              <w:ind w:firstLine="520" w:firstLineChars="200"/>
              <w:rPr>
                <w:kern w:val="44"/>
                <w:sz w:val="26"/>
                <w:szCs w:val="26"/>
                <w:lang w:bidi="ar"/>
              </w:rPr>
            </w:pPr>
            <w:r>
              <w:rPr>
                <w:kern w:val="44"/>
                <w:sz w:val="26"/>
                <w:szCs w:val="26"/>
                <w:lang w:bidi="ar"/>
              </w:rPr>
              <w:t>采取上述措施后，项目营运期对声环境影响小，周边环境可接受。</w:t>
            </w:r>
          </w:p>
          <w:p w14:paraId="65FAA993">
            <w:pPr>
              <w:adjustRightInd w:val="0"/>
              <w:spacing w:line="460" w:lineRule="exact"/>
              <w:ind w:left="420" w:leftChars="200"/>
              <w:rPr>
                <w:kern w:val="44"/>
                <w:sz w:val="26"/>
                <w:szCs w:val="26"/>
                <w:lang w:bidi="ar"/>
              </w:rPr>
            </w:pPr>
            <w:r>
              <w:rPr>
                <w:kern w:val="44"/>
                <w:sz w:val="26"/>
                <w:szCs w:val="26"/>
                <w:lang w:bidi="ar"/>
              </w:rPr>
              <w:t>（</w:t>
            </w:r>
            <w:r>
              <w:rPr>
                <w:rFonts w:hint="eastAsia"/>
                <w:kern w:val="44"/>
                <w:sz w:val="26"/>
                <w:szCs w:val="26"/>
                <w:lang w:bidi="ar"/>
              </w:rPr>
              <w:t>4</w:t>
            </w:r>
            <w:r>
              <w:rPr>
                <w:kern w:val="44"/>
                <w:sz w:val="26"/>
                <w:szCs w:val="26"/>
                <w:lang w:bidi="ar"/>
              </w:rPr>
              <w:t>）监测要求</w:t>
            </w:r>
          </w:p>
          <w:p w14:paraId="5C484C4F">
            <w:pPr>
              <w:adjustRightInd w:val="0"/>
              <w:spacing w:line="460" w:lineRule="exact"/>
              <w:ind w:firstLine="520" w:firstLineChars="200"/>
              <w:rPr>
                <w:kern w:val="44"/>
                <w:sz w:val="26"/>
                <w:szCs w:val="26"/>
                <w:lang w:bidi="ar"/>
              </w:rPr>
            </w:pPr>
            <w:r>
              <w:rPr>
                <w:rFonts w:hint="eastAsia"/>
                <w:kern w:val="44"/>
                <w:sz w:val="26"/>
                <w:szCs w:val="26"/>
                <w:lang w:val="en-US" w:eastAsia="zh-CN" w:bidi="ar"/>
              </w:rPr>
              <w:t>根据</w:t>
            </w:r>
            <w:r>
              <w:rPr>
                <w:rFonts w:hint="eastAsia"/>
                <w:kern w:val="44"/>
                <w:sz w:val="26"/>
                <w:szCs w:val="26"/>
                <w:lang w:bidi="ar"/>
              </w:rPr>
              <w:t>《排污单位自行监测技术指南 储油库、加油站》（</w:t>
            </w:r>
            <w:r>
              <w:rPr>
                <w:kern w:val="44"/>
                <w:sz w:val="26"/>
                <w:szCs w:val="26"/>
                <w:lang w:bidi="ar"/>
              </w:rPr>
              <w:t>HJ 1249—2022</w:t>
            </w:r>
            <w:r>
              <w:rPr>
                <w:rFonts w:hint="eastAsia"/>
                <w:kern w:val="44"/>
                <w:sz w:val="26"/>
                <w:szCs w:val="26"/>
                <w:lang w:bidi="ar"/>
              </w:rPr>
              <w:t>）</w:t>
            </w:r>
            <w:r>
              <w:rPr>
                <w:rFonts w:hint="eastAsia"/>
                <w:kern w:val="44"/>
                <w:sz w:val="26"/>
                <w:szCs w:val="26"/>
                <w:lang w:val="en-US" w:eastAsia="zh-CN" w:bidi="ar"/>
              </w:rPr>
              <w:t>和</w:t>
            </w:r>
            <w:r>
              <w:rPr>
                <w:kern w:val="44"/>
                <w:sz w:val="26"/>
                <w:szCs w:val="26"/>
                <w:lang w:bidi="ar"/>
              </w:rPr>
              <w:t>《排污许可证申请与核发技术规范储油库、加油站》（HJ 1118-2020）</w:t>
            </w:r>
            <w:r>
              <w:rPr>
                <w:rFonts w:hint="eastAsia"/>
                <w:kern w:val="44"/>
                <w:sz w:val="26"/>
                <w:szCs w:val="26"/>
                <w:lang w:eastAsia="zh-CN" w:bidi="ar"/>
              </w:rPr>
              <w:t>，</w:t>
            </w:r>
            <w:r>
              <w:rPr>
                <w:rFonts w:hint="eastAsia"/>
                <w:kern w:val="44"/>
                <w:sz w:val="26"/>
                <w:szCs w:val="26"/>
                <w:lang w:val="en-US" w:eastAsia="zh-CN" w:bidi="ar"/>
              </w:rPr>
              <w:t>其中并</w:t>
            </w:r>
            <w:r>
              <w:rPr>
                <w:rFonts w:hint="eastAsia"/>
                <w:kern w:val="44"/>
                <w:sz w:val="26"/>
                <w:szCs w:val="26"/>
                <w:lang w:eastAsia="zh-CN" w:bidi="ar"/>
              </w:rPr>
              <w:t>未对加油站噪声自行监测频次作出要求，但为了更好的了解项目运营期设施设备产生的噪声对周边环境的影响，本次评价仍按照《排污许可证申请与核发技术规范 总则》（HJ 942—2018）提出每年自行监测一次的频次要求。</w:t>
            </w:r>
            <w:r>
              <w:rPr>
                <w:kern w:val="44"/>
                <w:sz w:val="26"/>
                <w:szCs w:val="26"/>
                <w:lang w:bidi="ar"/>
              </w:rPr>
              <w:t>本项目营运期噪声监测要求见表4.2</w:t>
            </w:r>
            <w:r>
              <w:rPr>
                <w:rFonts w:hint="eastAsia"/>
                <w:kern w:val="44"/>
                <w:sz w:val="26"/>
                <w:szCs w:val="26"/>
                <w:lang w:val="en-US" w:eastAsia="zh-CN" w:bidi="ar"/>
              </w:rPr>
              <w:t>-16</w:t>
            </w:r>
            <w:r>
              <w:rPr>
                <w:kern w:val="44"/>
                <w:sz w:val="26"/>
                <w:szCs w:val="26"/>
                <w:lang w:bidi="ar"/>
              </w:rPr>
              <w:t>。</w:t>
            </w:r>
          </w:p>
          <w:p w14:paraId="5CA45F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2"/>
                <w:szCs w:val="22"/>
                <w:lang w:val="en-US" w:eastAsia="zh-CN" w:bidi="ar"/>
              </w:rPr>
            </w:pPr>
            <w:r>
              <w:rPr>
                <w:sz w:val="22"/>
                <w:szCs w:val="22"/>
                <w:lang w:bidi="ar"/>
              </w:rPr>
              <w:t>表</w:t>
            </w:r>
            <w:r>
              <w:rPr>
                <w:rFonts w:hint="eastAsia"/>
                <w:sz w:val="22"/>
                <w:szCs w:val="22"/>
                <w:lang w:bidi="ar"/>
              </w:rPr>
              <w:t>4.</w:t>
            </w:r>
            <w:r>
              <w:rPr>
                <w:bCs/>
                <w:sz w:val="22"/>
                <w:szCs w:val="22"/>
              </w:rPr>
              <w:t>2</w:t>
            </w:r>
            <w:r>
              <w:rPr>
                <w:rFonts w:hint="eastAsia"/>
                <w:bCs/>
                <w:sz w:val="22"/>
                <w:szCs w:val="22"/>
                <w:lang w:val="en-US" w:eastAsia="zh-CN"/>
              </w:rPr>
              <w:t>-16</w:t>
            </w:r>
            <w:r>
              <w:rPr>
                <w:rFonts w:hint="eastAsia"/>
                <w:sz w:val="22"/>
                <w:szCs w:val="22"/>
                <w:lang w:val="en-US" w:eastAsia="zh-CN" w:bidi="ar"/>
              </w:rPr>
              <w:t xml:space="preserve">  </w:t>
            </w:r>
            <w:r>
              <w:rPr>
                <w:sz w:val="22"/>
                <w:szCs w:val="22"/>
                <w:lang w:bidi="ar"/>
              </w:rPr>
              <w:t>运营期环境监测</w:t>
            </w:r>
            <w:r>
              <w:rPr>
                <w:rFonts w:hint="eastAsia"/>
                <w:sz w:val="22"/>
                <w:szCs w:val="22"/>
                <w:lang w:bidi="ar"/>
              </w:rPr>
              <w:t>要求</w:t>
            </w:r>
            <w:r>
              <w:rPr>
                <w:rFonts w:hint="eastAsia"/>
                <w:sz w:val="22"/>
                <w:szCs w:val="22"/>
                <w:lang w:val="en-US" w:eastAsia="zh-CN" w:bidi="ar"/>
              </w:rPr>
              <w:t>一览表</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868"/>
              <w:gridCol w:w="926"/>
              <w:gridCol w:w="1023"/>
              <w:gridCol w:w="876"/>
              <w:gridCol w:w="877"/>
              <w:gridCol w:w="3356"/>
            </w:tblGrid>
            <w:tr w14:paraId="15B5F7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842" w:type="dxa"/>
                  <w:vAlign w:val="center"/>
                </w:tcPr>
                <w:p w14:paraId="28F8FAB3">
                  <w:pPr>
                    <w:autoSpaceDE w:val="0"/>
                    <w:autoSpaceDN w:val="0"/>
                    <w:adjustRightInd w:val="0"/>
                    <w:snapToGrid w:val="0"/>
                    <w:spacing w:line="300" w:lineRule="exact"/>
                    <w:jc w:val="center"/>
                    <w:textAlignment w:val="baseline"/>
                    <w:rPr>
                      <w:color w:val="FF0000"/>
                      <w:sz w:val="22"/>
                      <w:szCs w:val="22"/>
                    </w:rPr>
                  </w:pPr>
                  <w:r>
                    <w:rPr>
                      <w:color w:val="FF0000"/>
                      <w:sz w:val="22"/>
                      <w:szCs w:val="22"/>
                    </w:rPr>
                    <w:t>监测对象</w:t>
                  </w:r>
                </w:p>
              </w:tc>
              <w:tc>
                <w:tcPr>
                  <w:tcW w:w="898" w:type="dxa"/>
                  <w:vAlign w:val="center"/>
                </w:tcPr>
                <w:p w14:paraId="72B66B3B">
                  <w:pPr>
                    <w:autoSpaceDE w:val="0"/>
                    <w:autoSpaceDN w:val="0"/>
                    <w:adjustRightInd w:val="0"/>
                    <w:snapToGrid w:val="0"/>
                    <w:spacing w:line="300" w:lineRule="exact"/>
                    <w:jc w:val="center"/>
                    <w:textAlignment w:val="baseline"/>
                    <w:rPr>
                      <w:color w:val="FF0000"/>
                      <w:sz w:val="22"/>
                      <w:szCs w:val="22"/>
                    </w:rPr>
                  </w:pPr>
                  <w:r>
                    <w:rPr>
                      <w:color w:val="FF0000"/>
                      <w:sz w:val="22"/>
                      <w:szCs w:val="22"/>
                    </w:rPr>
                    <w:t>监测点位</w:t>
                  </w:r>
                </w:p>
              </w:tc>
              <w:tc>
                <w:tcPr>
                  <w:tcW w:w="992" w:type="dxa"/>
                  <w:vAlign w:val="center"/>
                </w:tcPr>
                <w:p w14:paraId="5B3CBE34">
                  <w:pPr>
                    <w:autoSpaceDE w:val="0"/>
                    <w:autoSpaceDN w:val="0"/>
                    <w:adjustRightInd w:val="0"/>
                    <w:snapToGrid w:val="0"/>
                    <w:spacing w:line="300" w:lineRule="exact"/>
                    <w:jc w:val="center"/>
                    <w:textAlignment w:val="baseline"/>
                    <w:rPr>
                      <w:color w:val="FF0000"/>
                      <w:sz w:val="22"/>
                      <w:szCs w:val="22"/>
                    </w:rPr>
                  </w:pPr>
                  <w:r>
                    <w:rPr>
                      <w:color w:val="FF0000"/>
                      <w:sz w:val="22"/>
                      <w:szCs w:val="22"/>
                    </w:rPr>
                    <w:t>监测因子</w:t>
                  </w:r>
                </w:p>
              </w:tc>
              <w:tc>
                <w:tcPr>
                  <w:tcW w:w="850" w:type="dxa"/>
                  <w:vAlign w:val="center"/>
                </w:tcPr>
                <w:p w14:paraId="4459AFD3">
                  <w:pPr>
                    <w:autoSpaceDE w:val="0"/>
                    <w:autoSpaceDN w:val="0"/>
                    <w:adjustRightInd w:val="0"/>
                    <w:snapToGrid w:val="0"/>
                    <w:spacing w:line="300" w:lineRule="exact"/>
                    <w:jc w:val="center"/>
                    <w:textAlignment w:val="baseline"/>
                    <w:rPr>
                      <w:color w:val="FF0000"/>
                      <w:sz w:val="22"/>
                      <w:szCs w:val="22"/>
                    </w:rPr>
                  </w:pPr>
                  <w:r>
                    <w:rPr>
                      <w:color w:val="FF0000"/>
                      <w:sz w:val="22"/>
                      <w:szCs w:val="22"/>
                    </w:rPr>
                    <w:t>验收监测频次</w:t>
                  </w:r>
                </w:p>
              </w:tc>
              <w:tc>
                <w:tcPr>
                  <w:tcW w:w="851" w:type="dxa"/>
                  <w:vAlign w:val="center"/>
                </w:tcPr>
                <w:p w14:paraId="3FBB10D0">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自行</w:t>
                  </w:r>
                  <w:r>
                    <w:rPr>
                      <w:color w:val="FF0000"/>
                      <w:sz w:val="22"/>
                      <w:szCs w:val="22"/>
                    </w:rPr>
                    <w:t>监测频次</w:t>
                  </w:r>
                </w:p>
              </w:tc>
              <w:tc>
                <w:tcPr>
                  <w:tcW w:w="3255" w:type="dxa"/>
                  <w:vAlign w:val="center"/>
                </w:tcPr>
                <w:p w14:paraId="0680C944">
                  <w:pPr>
                    <w:autoSpaceDE w:val="0"/>
                    <w:autoSpaceDN w:val="0"/>
                    <w:adjustRightInd w:val="0"/>
                    <w:snapToGrid w:val="0"/>
                    <w:spacing w:line="300" w:lineRule="exact"/>
                    <w:jc w:val="center"/>
                    <w:textAlignment w:val="baseline"/>
                    <w:rPr>
                      <w:color w:val="FF0000"/>
                      <w:sz w:val="22"/>
                      <w:szCs w:val="22"/>
                    </w:rPr>
                  </w:pPr>
                  <w:r>
                    <w:rPr>
                      <w:color w:val="FF0000"/>
                      <w:sz w:val="22"/>
                      <w:szCs w:val="22"/>
                    </w:rPr>
                    <w:t>执行标准</w:t>
                  </w:r>
                </w:p>
              </w:tc>
            </w:tr>
            <w:tr w14:paraId="467202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842" w:type="dxa"/>
                  <w:vAlign w:val="center"/>
                </w:tcPr>
                <w:p w14:paraId="00D32376">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噪声</w:t>
                  </w:r>
                </w:p>
              </w:tc>
              <w:tc>
                <w:tcPr>
                  <w:tcW w:w="898" w:type="dxa"/>
                  <w:vAlign w:val="center"/>
                </w:tcPr>
                <w:p w14:paraId="3F041DC4">
                  <w:pPr>
                    <w:autoSpaceDE w:val="0"/>
                    <w:autoSpaceDN w:val="0"/>
                    <w:adjustRightInd w:val="0"/>
                    <w:snapToGrid w:val="0"/>
                    <w:spacing w:line="300" w:lineRule="exact"/>
                    <w:jc w:val="center"/>
                    <w:textAlignment w:val="baseline"/>
                    <w:rPr>
                      <w:color w:val="FF0000"/>
                      <w:sz w:val="22"/>
                      <w:szCs w:val="22"/>
                    </w:rPr>
                  </w:pPr>
                  <w:r>
                    <w:rPr>
                      <w:color w:val="FF0000"/>
                      <w:sz w:val="22"/>
                      <w:szCs w:val="22"/>
                    </w:rPr>
                    <w:t>厂界</w:t>
                  </w:r>
                </w:p>
              </w:tc>
              <w:tc>
                <w:tcPr>
                  <w:tcW w:w="992" w:type="dxa"/>
                  <w:vAlign w:val="center"/>
                </w:tcPr>
                <w:p w14:paraId="1BF6AF04">
                  <w:pPr>
                    <w:autoSpaceDE w:val="0"/>
                    <w:autoSpaceDN w:val="0"/>
                    <w:adjustRightInd w:val="0"/>
                    <w:snapToGrid w:val="0"/>
                    <w:spacing w:line="300" w:lineRule="exact"/>
                    <w:jc w:val="center"/>
                    <w:textAlignment w:val="baseline"/>
                    <w:rPr>
                      <w:color w:val="FF0000"/>
                      <w:sz w:val="22"/>
                      <w:szCs w:val="22"/>
                    </w:rPr>
                  </w:pPr>
                  <w:r>
                    <w:rPr>
                      <w:color w:val="FF0000"/>
                      <w:sz w:val="22"/>
                      <w:szCs w:val="22"/>
                    </w:rPr>
                    <w:t>等效声级</w:t>
                  </w:r>
                </w:p>
              </w:tc>
              <w:tc>
                <w:tcPr>
                  <w:tcW w:w="850" w:type="dxa"/>
                  <w:vAlign w:val="center"/>
                </w:tcPr>
                <w:p w14:paraId="61A4DDFB">
                  <w:pPr>
                    <w:autoSpaceDE w:val="0"/>
                    <w:autoSpaceDN w:val="0"/>
                    <w:adjustRightInd w:val="0"/>
                    <w:snapToGrid w:val="0"/>
                    <w:spacing w:line="300" w:lineRule="exact"/>
                    <w:jc w:val="center"/>
                    <w:textAlignment w:val="baseline"/>
                    <w:rPr>
                      <w:color w:val="FF0000"/>
                      <w:sz w:val="22"/>
                      <w:szCs w:val="22"/>
                    </w:rPr>
                  </w:pPr>
                  <w:r>
                    <w:rPr>
                      <w:color w:val="FF0000"/>
                      <w:sz w:val="22"/>
                      <w:szCs w:val="22"/>
                    </w:rPr>
                    <w:t>1次</w:t>
                  </w:r>
                </w:p>
              </w:tc>
              <w:tc>
                <w:tcPr>
                  <w:tcW w:w="851" w:type="dxa"/>
                  <w:vAlign w:val="center"/>
                </w:tcPr>
                <w:p w14:paraId="0CE4C280">
                  <w:pPr>
                    <w:autoSpaceDE w:val="0"/>
                    <w:autoSpaceDN w:val="0"/>
                    <w:adjustRightInd w:val="0"/>
                    <w:snapToGrid w:val="0"/>
                    <w:spacing w:line="300" w:lineRule="exact"/>
                    <w:jc w:val="center"/>
                    <w:textAlignment w:val="baseline"/>
                    <w:rPr>
                      <w:rFonts w:hint="eastAsia" w:eastAsia="宋体"/>
                      <w:color w:val="FF0000"/>
                      <w:sz w:val="22"/>
                      <w:szCs w:val="22"/>
                      <w:lang w:val="en-US" w:eastAsia="zh-CN"/>
                    </w:rPr>
                  </w:pPr>
                  <w:r>
                    <w:rPr>
                      <w:rFonts w:hint="eastAsia"/>
                      <w:color w:val="FF0000"/>
                      <w:sz w:val="22"/>
                      <w:szCs w:val="22"/>
                      <w:lang w:val="en-US" w:eastAsia="zh-CN"/>
                    </w:rPr>
                    <w:t>验收时监测1次，其余</w:t>
                  </w:r>
                  <w:r>
                    <w:rPr>
                      <w:color w:val="FF0000"/>
                      <w:sz w:val="22"/>
                      <w:szCs w:val="22"/>
                    </w:rPr>
                    <w:t>1次/</w:t>
                  </w:r>
                  <w:r>
                    <w:rPr>
                      <w:rFonts w:hint="eastAsia"/>
                      <w:color w:val="FF0000"/>
                      <w:sz w:val="22"/>
                      <w:szCs w:val="22"/>
                      <w:lang w:val="en-US" w:eastAsia="zh-CN"/>
                    </w:rPr>
                    <w:t>年</w:t>
                  </w:r>
                </w:p>
              </w:tc>
              <w:tc>
                <w:tcPr>
                  <w:tcW w:w="3255" w:type="dxa"/>
                  <w:vAlign w:val="center"/>
                </w:tcPr>
                <w:p w14:paraId="3F065396">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lang w:val="en-US" w:eastAsia="zh-CN"/>
                    </w:rPr>
                    <w:t>东</w:t>
                  </w:r>
                  <w:r>
                    <w:rPr>
                      <w:rFonts w:hint="eastAsia"/>
                      <w:color w:val="FF0000"/>
                      <w:sz w:val="22"/>
                      <w:szCs w:val="22"/>
                    </w:rPr>
                    <w:t>侧厂界执行</w:t>
                  </w:r>
                  <w:r>
                    <w:rPr>
                      <w:color w:val="FF0000"/>
                      <w:sz w:val="22"/>
                      <w:szCs w:val="22"/>
                    </w:rPr>
                    <w:t>《工业企业厂界环境噪声排放标准》（GB12348-2008）4类标准，昼间≤70dB，夜间≤55dB</w:t>
                  </w:r>
                  <w:r>
                    <w:rPr>
                      <w:rFonts w:hint="eastAsia"/>
                      <w:color w:val="FF0000"/>
                      <w:sz w:val="22"/>
                      <w:szCs w:val="22"/>
                    </w:rPr>
                    <w:t>；</w:t>
                  </w:r>
                </w:p>
                <w:p w14:paraId="70C165F9">
                  <w:pPr>
                    <w:autoSpaceDE w:val="0"/>
                    <w:autoSpaceDN w:val="0"/>
                    <w:adjustRightInd w:val="0"/>
                    <w:snapToGrid w:val="0"/>
                    <w:spacing w:line="300" w:lineRule="exact"/>
                    <w:jc w:val="center"/>
                    <w:textAlignment w:val="baseline"/>
                    <w:rPr>
                      <w:color w:val="FF0000"/>
                      <w:sz w:val="22"/>
                      <w:szCs w:val="22"/>
                    </w:rPr>
                  </w:pPr>
                  <w:r>
                    <w:rPr>
                      <w:rFonts w:hint="eastAsia"/>
                      <w:color w:val="FF0000"/>
                      <w:sz w:val="22"/>
                      <w:szCs w:val="22"/>
                    </w:rPr>
                    <w:t>其余场界执行</w:t>
                  </w:r>
                  <w:r>
                    <w:rPr>
                      <w:color w:val="FF0000"/>
                      <w:sz w:val="22"/>
                      <w:szCs w:val="22"/>
                    </w:rPr>
                    <w:t>《工业企业厂界环境噪声排放标准》（GB12348-2008）</w:t>
                  </w:r>
                  <w:r>
                    <w:rPr>
                      <w:rFonts w:hint="eastAsia"/>
                      <w:color w:val="FF0000"/>
                      <w:sz w:val="22"/>
                      <w:szCs w:val="22"/>
                      <w:lang w:val="en-US" w:eastAsia="zh-CN"/>
                    </w:rPr>
                    <w:t>3</w:t>
                  </w:r>
                  <w:r>
                    <w:rPr>
                      <w:color w:val="FF0000"/>
                      <w:sz w:val="22"/>
                      <w:szCs w:val="22"/>
                    </w:rPr>
                    <w:t>类标准，昼间≤</w:t>
                  </w:r>
                  <w:r>
                    <w:rPr>
                      <w:rFonts w:hint="eastAsia"/>
                      <w:color w:val="FF0000"/>
                      <w:sz w:val="22"/>
                      <w:szCs w:val="22"/>
                      <w:lang w:val="en-US" w:eastAsia="zh-CN"/>
                    </w:rPr>
                    <w:t>65</w:t>
                  </w:r>
                  <w:r>
                    <w:rPr>
                      <w:color w:val="FF0000"/>
                      <w:sz w:val="22"/>
                      <w:szCs w:val="22"/>
                    </w:rPr>
                    <w:t>dB，夜间≤5</w:t>
                  </w:r>
                  <w:r>
                    <w:rPr>
                      <w:rFonts w:hint="eastAsia"/>
                      <w:color w:val="FF0000"/>
                      <w:sz w:val="22"/>
                      <w:szCs w:val="22"/>
                      <w:lang w:val="en-US" w:eastAsia="zh-CN"/>
                    </w:rPr>
                    <w:t>5</w:t>
                  </w:r>
                  <w:r>
                    <w:rPr>
                      <w:color w:val="FF0000"/>
                      <w:sz w:val="22"/>
                      <w:szCs w:val="22"/>
                    </w:rPr>
                    <w:t>dB</w:t>
                  </w:r>
                </w:p>
              </w:tc>
            </w:tr>
          </w:tbl>
          <w:p w14:paraId="296BA258">
            <w:pPr>
              <w:adjustRightInd w:val="0"/>
              <w:snapToGrid w:val="0"/>
              <w:spacing w:line="460" w:lineRule="exact"/>
              <w:rPr>
                <w:b/>
                <w:sz w:val="26"/>
                <w:szCs w:val="26"/>
              </w:rPr>
            </w:pPr>
            <w:r>
              <w:rPr>
                <w:b/>
                <w:sz w:val="26"/>
                <w:szCs w:val="26"/>
              </w:rPr>
              <w:t>4.2.4固废影响及其防治措施</w:t>
            </w:r>
          </w:p>
          <w:p w14:paraId="213FD7D2">
            <w:pPr>
              <w:adjustRightInd w:val="0"/>
              <w:snapToGrid w:val="0"/>
              <w:spacing w:line="460" w:lineRule="exact"/>
              <w:ind w:firstLine="520" w:firstLineChars="200"/>
              <w:rPr>
                <w:bCs/>
                <w:sz w:val="26"/>
                <w:szCs w:val="26"/>
              </w:rPr>
            </w:pPr>
            <w:r>
              <w:rPr>
                <w:rFonts w:hint="eastAsia"/>
                <w:bCs/>
                <w:sz w:val="26"/>
                <w:szCs w:val="26"/>
                <w:lang w:val="en-US" w:eastAsia="zh-CN"/>
              </w:rPr>
              <w:t>4.2.4.1</w:t>
            </w:r>
            <w:r>
              <w:rPr>
                <w:bCs/>
                <w:sz w:val="26"/>
                <w:szCs w:val="26"/>
              </w:rPr>
              <w:t>固废影响分析</w:t>
            </w:r>
          </w:p>
          <w:p w14:paraId="6F7C63DD">
            <w:pPr>
              <w:adjustRightInd w:val="0"/>
              <w:snapToGrid w:val="0"/>
              <w:spacing w:line="460" w:lineRule="exact"/>
              <w:ind w:firstLine="520" w:firstLineChars="200"/>
              <w:rPr>
                <w:kern w:val="44"/>
                <w:sz w:val="26"/>
                <w:szCs w:val="26"/>
                <w:lang w:bidi="ar"/>
              </w:rPr>
            </w:pPr>
            <w:r>
              <w:rPr>
                <w:rFonts w:hint="eastAsia"/>
                <w:kern w:val="44"/>
                <w:sz w:val="26"/>
                <w:szCs w:val="26"/>
                <w:lang w:eastAsia="zh-CN" w:bidi="ar"/>
              </w:rPr>
              <w:t>（</w:t>
            </w:r>
            <w:r>
              <w:rPr>
                <w:rFonts w:hint="eastAsia"/>
                <w:kern w:val="44"/>
                <w:sz w:val="26"/>
                <w:szCs w:val="26"/>
                <w:lang w:val="en-US" w:eastAsia="zh-CN" w:bidi="ar"/>
              </w:rPr>
              <w:t>1</w:t>
            </w:r>
            <w:r>
              <w:rPr>
                <w:rFonts w:hint="eastAsia"/>
                <w:kern w:val="44"/>
                <w:sz w:val="26"/>
                <w:szCs w:val="26"/>
                <w:lang w:eastAsia="zh-CN" w:bidi="ar"/>
              </w:rPr>
              <w:t>）</w:t>
            </w:r>
            <w:r>
              <w:rPr>
                <w:rFonts w:hint="eastAsia"/>
                <w:kern w:val="44"/>
                <w:sz w:val="26"/>
                <w:szCs w:val="26"/>
                <w:lang w:bidi="ar"/>
              </w:rPr>
              <w:t>生活垃圾</w:t>
            </w:r>
          </w:p>
          <w:p w14:paraId="601C2A34">
            <w:pPr>
              <w:adjustRightInd w:val="0"/>
              <w:snapToGrid w:val="0"/>
              <w:spacing w:line="460" w:lineRule="exact"/>
              <w:ind w:firstLine="520" w:firstLineChars="200"/>
              <w:rPr>
                <w:kern w:val="44"/>
                <w:sz w:val="26"/>
                <w:szCs w:val="26"/>
                <w:lang w:bidi="ar"/>
              </w:rPr>
            </w:pPr>
            <w:r>
              <w:rPr>
                <w:rFonts w:hint="eastAsia"/>
                <w:kern w:val="44"/>
                <w:sz w:val="26"/>
                <w:szCs w:val="26"/>
                <w:lang w:bidi="ar"/>
              </w:rPr>
              <w:t>本项目改扩建后劳动定员不变</w:t>
            </w:r>
            <w:r>
              <w:rPr>
                <w:rFonts w:hint="eastAsia"/>
                <w:kern w:val="44"/>
                <w:sz w:val="26"/>
                <w:szCs w:val="26"/>
                <w:lang w:val="en-US" w:eastAsia="zh-CN" w:bidi="ar"/>
              </w:rPr>
              <w:t>仍为7人</w:t>
            </w:r>
            <w:r>
              <w:rPr>
                <w:rFonts w:hint="eastAsia"/>
                <w:kern w:val="44"/>
                <w:sz w:val="26"/>
                <w:szCs w:val="26"/>
                <w:lang w:bidi="ar"/>
              </w:rPr>
              <w:t>，</w:t>
            </w:r>
            <w:r>
              <w:rPr>
                <w:sz w:val="26"/>
                <w:szCs w:val="26"/>
              </w:rPr>
              <w:t>生活垃圾产生量按0.</w:t>
            </w:r>
            <w:r>
              <w:rPr>
                <w:rFonts w:hint="eastAsia"/>
                <w:sz w:val="26"/>
                <w:szCs w:val="26"/>
                <w:lang w:val="en-US" w:eastAsia="zh-CN"/>
              </w:rPr>
              <w:t>5</w:t>
            </w:r>
            <w:r>
              <w:rPr>
                <w:sz w:val="26"/>
                <w:szCs w:val="26"/>
              </w:rPr>
              <w:t>kg/</w:t>
            </w:r>
            <w:r>
              <w:rPr>
                <w:rFonts w:hint="eastAsia"/>
                <w:sz w:val="26"/>
                <w:szCs w:val="26"/>
                <w:lang w:eastAsia="zh-CN"/>
              </w:rPr>
              <w:t>（</w:t>
            </w:r>
            <w:r>
              <w:rPr>
                <w:sz w:val="26"/>
                <w:szCs w:val="26"/>
              </w:rPr>
              <w:t>人·天</w:t>
            </w:r>
            <w:r>
              <w:rPr>
                <w:rFonts w:hint="eastAsia"/>
                <w:sz w:val="26"/>
                <w:szCs w:val="26"/>
                <w:lang w:eastAsia="zh-CN"/>
              </w:rPr>
              <w:t>）</w:t>
            </w:r>
            <w:r>
              <w:rPr>
                <w:sz w:val="26"/>
                <w:szCs w:val="26"/>
              </w:rPr>
              <w:t>计，</w:t>
            </w:r>
            <w:r>
              <w:rPr>
                <w:rFonts w:hint="eastAsia"/>
                <w:sz w:val="26"/>
                <w:szCs w:val="26"/>
              </w:rPr>
              <w:t>则</w:t>
            </w:r>
            <w:r>
              <w:rPr>
                <w:rFonts w:hint="eastAsia"/>
                <w:sz w:val="26"/>
                <w:szCs w:val="26"/>
                <w:lang w:val="en-US" w:eastAsia="zh-CN"/>
              </w:rPr>
              <w:t>员工</w:t>
            </w:r>
            <w:r>
              <w:rPr>
                <w:rFonts w:hint="eastAsia"/>
                <w:sz w:val="26"/>
                <w:szCs w:val="26"/>
              </w:rPr>
              <w:t>生活垃圾</w:t>
            </w:r>
            <w:r>
              <w:rPr>
                <w:sz w:val="26"/>
                <w:szCs w:val="26"/>
              </w:rPr>
              <w:t>产生量</w:t>
            </w:r>
            <w:r>
              <w:rPr>
                <w:rFonts w:hint="eastAsia"/>
                <w:sz w:val="26"/>
                <w:szCs w:val="26"/>
              </w:rPr>
              <w:t>为</w:t>
            </w:r>
            <w:r>
              <w:rPr>
                <w:rFonts w:hint="eastAsia"/>
                <w:sz w:val="26"/>
                <w:szCs w:val="26"/>
                <w:lang w:val="en-US" w:eastAsia="zh-CN"/>
              </w:rPr>
              <w:t>1.277</w:t>
            </w:r>
            <w:r>
              <w:rPr>
                <w:sz w:val="26"/>
                <w:szCs w:val="26"/>
              </w:rPr>
              <w:t>t/a</w:t>
            </w:r>
            <w:r>
              <w:rPr>
                <w:rFonts w:hint="eastAsia"/>
                <w:sz w:val="26"/>
                <w:szCs w:val="26"/>
                <w:lang w:eastAsia="zh-CN"/>
              </w:rPr>
              <w:t>；</w:t>
            </w:r>
            <w:r>
              <w:rPr>
                <w:rFonts w:hint="eastAsia"/>
                <w:kern w:val="44"/>
                <w:sz w:val="26"/>
                <w:szCs w:val="26"/>
                <w:lang w:bidi="ar"/>
              </w:rPr>
              <w:t>另外，司乘人员</w:t>
            </w:r>
            <w:r>
              <w:rPr>
                <w:rFonts w:hint="eastAsia"/>
                <w:kern w:val="44"/>
                <w:sz w:val="26"/>
                <w:szCs w:val="26"/>
                <w:lang w:val="en-US" w:eastAsia="zh-CN" w:bidi="ar"/>
              </w:rPr>
              <w:t>按39</w:t>
            </w:r>
            <w:r>
              <w:rPr>
                <w:rFonts w:hint="eastAsia"/>
                <w:kern w:val="44"/>
                <w:sz w:val="26"/>
                <w:szCs w:val="26"/>
                <w:lang w:bidi="ar"/>
              </w:rPr>
              <w:t>0人次/d，</w:t>
            </w:r>
            <w:r>
              <w:rPr>
                <w:rFonts w:hint="eastAsia"/>
                <w:kern w:val="44"/>
                <w:sz w:val="26"/>
                <w:szCs w:val="26"/>
                <w:lang w:val="en-US" w:eastAsia="zh-CN" w:bidi="ar"/>
              </w:rPr>
              <w:t>其</w:t>
            </w:r>
            <w:r>
              <w:rPr>
                <w:sz w:val="26"/>
                <w:szCs w:val="26"/>
              </w:rPr>
              <w:t>生活垃圾产生量按0.</w:t>
            </w:r>
            <w:r>
              <w:rPr>
                <w:rFonts w:hint="eastAsia"/>
                <w:sz w:val="26"/>
                <w:szCs w:val="26"/>
                <w:lang w:val="en-US" w:eastAsia="zh-CN"/>
              </w:rPr>
              <w:t>05</w:t>
            </w:r>
            <w:r>
              <w:rPr>
                <w:sz w:val="26"/>
                <w:szCs w:val="26"/>
              </w:rPr>
              <w:t>kg/</w:t>
            </w:r>
            <w:r>
              <w:rPr>
                <w:rFonts w:hint="eastAsia"/>
                <w:sz w:val="26"/>
                <w:szCs w:val="26"/>
                <w:lang w:eastAsia="zh-CN"/>
              </w:rPr>
              <w:t>（</w:t>
            </w:r>
            <w:r>
              <w:rPr>
                <w:sz w:val="26"/>
                <w:szCs w:val="26"/>
              </w:rPr>
              <w:t>人·天</w:t>
            </w:r>
            <w:r>
              <w:rPr>
                <w:rFonts w:hint="eastAsia"/>
                <w:sz w:val="26"/>
                <w:szCs w:val="26"/>
                <w:lang w:eastAsia="zh-CN"/>
              </w:rPr>
              <w:t>）</w:t>
            </w:r>
            <w:r>
              <w:rPr>
                <w:sz w:val="26"/>
                <w:szCs w:val="26"/>
              </w:rPr>
              <w:t>计，</w:t>
            </w:r>
            <w:r>
              <w:rPr>
                <w:rFonts w:hint="eastAsia"/>
                <w:sz w:val="26"/>
                <w:szCs w:val="26"/>
              </w:rPr>
              <w:t>则</w:t>
            </w:r>
            <w:r>
              <w:rPr>
                <w:rFonts w:hint="eastAsia"/>
                <w:sz w:val="26"/>
                <w:szCs w:val="26"/>
                <w:lang w:val="en-US" w:eastAsia="zh-CN"/>
              </w:rPr>
              <w:t>司乘人员</w:t>
            </w:r>
            <w:r>
              <w:rPr>
                <w:rFonts w:hint="eastAsia"/>
                <w:sz w:val="26"/>
                <w:szCs w:val="26"/>
              </w:rPr>
              <w:t>生活垃圾</w:t>
            </w:r>
            <w:r>
              <w:rPr>
                <w:sz w:val="26"/>
                <w:szCs w:val="26"/>
              </w:rPr>
              <w:t>产生量</w:t>
            </w:r>
            <w:r>
              <w:rPr>
                <w:rFonts w:hint="eastAsia"/>
                <w:sz w:val="26"/>
                <w:szCs w:val="26"/>
              </w:rPr>
              <w:t>为</w:t>
            </w:r>
            <w:r>
              <w:rPr>
                <w:rFonts w:hint="eastAsia"/>
                <w:sz w:val="26"/>
                <w:szCs w:val="26"/>
                <w:lang w:val="en-US" w:eastAsia="zh-CN"/>
              </w:rPr>
              <w:t>7.118</w:t>
            </w:r>
            <w:r>
              <w:rPr>
                <w:sz w:val="26"/>
                <w:szCs w:val="26"/>
              </w:rPr>
              <w:t>t/a</w:t>
            </w:r>
            <w:r>
              <w:rPr>
                <w:rFonts w:hint="eastAsia"/>
                <w:sz w:val="26"/>
                <w:szCs w:val="26"/>
              </w:rPr>
              <w:t>，</w:t>
            </w:r>
            <w:r>
              <w:rPr>
                <w:rFonts w:hint="eastAsia"/>
                <w:sz w:val="26"/>
                <w:szCs w:val="26"/>
                <w:lang w:val="en-US" w:eastAsia="zh-CN"/>
              </w:rPr>
              <w:t>合计为8.395t/a。</w:t>
            </w:r>
            <w:r>
              <w:rPr>
                <w:rFonts w:hint="eastAsia"/>
                <w:sz w:val="26"/>
                <w:szCs w:val="26"/>
              </w:rPr>
              <w:t>站区站房及加油站出入口分别设置生活垃圾分类收集桶，当日清运，生活垃圾经分类</w:t>
            </w:r>
            <w:r>
              <w:rPr>
                <w:sz w:val="26"/>
                <w:szCs w:val="26"/>
              </w:rPr>
              <w:t>收集后</w:t>
            </w:r>
            <w:r>
              <w:rPr>
                <w:rFonts w:hint="eastAsia"/>
                <w:sz w:val="26"/>
                <w:szCs w:val="26"/>
              </w:rPr>
              <w:t>由</w:t>
            </w:r>
            <w:r>
              <w:rPr>
                <w:rFonts w:hint="eastAsia"/>
                <w:sz w:val="26"/>
                <w:szCs w:val="26"/>
                <w:lang w:val="en-US" w:eastAsia="zh-CN"/>
              </w:rPr>
              <w:t>当地</w:t>
            </w:r>
            <w:r>
              <w:rPr>
                <w:sz w:val="26"/>
                <w:szCs w:val="26"/>
              </w:rPr>
              <w:t>环卫部门</w:t>
            </w:r>
            <w:r>
              <w:rPr>
                <w:rFonts w:hint="eastAsia"/>
                <w:sz w:val="26"/>
                <w:szCs w:val="26"/>
              </w:rPr>
              <w:t>进行清运</w:t>
            </w:r>
            <w:r>
              <w:rPr>
                <w:sz w:val="26"/>
                <w:szCs w:val="26"/>
              </w:rPr>
              <w:t>处置</w:t>
            </w:r>
            <w:r>
              <w:rPr>
                <w:rFonts w:hint="eastAsia"/>
                <w:sz w:val="26"/>
                <w:szCs w:val="26"/>
              </w:rPr>
              <w:t>，可满足项目生活垃圾收集转运。</w:t>
            </w:r>
          </w:p>
          <w:p w14:paraId="312D721E">
            <w:pPr>
              <w:adjustRightInd w:val="0"/>
              <w:snapToGrid w:val="0"/>
              <w:spacing w:line="460" w:lineRule="exact"/>
              <w:ind w:firstLine="520" w:firstLineChars="200"/>
              <w:rPr>
                <w:kern w:val="44"/>
                <w:sz w:val="26"/>
                <w:szCs w:val="26"/>
                <w:lang w:bidi="ar"/>
              </w:rPr>
            </w:pPr>
            <w:r>
              <w:rPr>
                <w:rFonts w:hint="eastAsia"/>
                <w:kern w:val="44"/>
                <w:sz w:val="26"/>
                <w:szCs w:val="26"/>
                <w:lang w:eastAsia="zh-CN" w:bidi="ar"/>
              </w:rPr>
              <w:t>（</w:t>
            </w:r>
            <w:r>
              <w:rPr>
                <w:rFonts w:hint="eastAsia"/>
                <w:kern w:val="44"/>
                <w:sz w:val="26"/>
                <w:szCs w:val="26"/>
                <w:lang w:val="en-US" w:eastAsia="zh-CN" w:bidi="ar"/>
              </w:rPr>
              <w:t>2</w:t>
            </w:r>
            <w:r>
              <w:rPr>
                <w:rFonts w:hint="eastAsia"/>
                <w:kern w:val="44"/>
                <w:sz w:val="26"/>
                <w:szCs w:val="26"/>
                <w:lang w:eastAsia="zh-CN" w:bidi="ar"/>
              </w:rPr>
              <w:t>）</w:t>
            </w:r>
            <w:r>
              <w:rPr>
                <w:rFonts w:hint="eastAsia"/>
                <w:kern w:val="44"/>
                <w:sz w:val="26"/>
                <w:szCs w:val="26"/>
                <w:lang w:bidi="ar"/>
              </w:rPr>
              <w:t>危险废物</w:t>
            </w:r>
          </w:p>
          <w:p w14:paraId="0DFD18EE">
            <w:pPr>
              <w:adjustRightInd w:val="0"/>
              <w:snapToGrid w:val="0"/>
              <w:spacing w:line="460" w:lineRule="exact"/>
              <w:ind w:firstLine="520" w:firstLineChars="200"/>
              <w:rPr>
                <w:kern w:val="44"/>
                <w:sz w:val="26"/>
                <w:szCs w:val="26"/>
                <w:lang w:bidi="ar"/>
              </w:rPr>
            </w:pPr>
            <w:r>
              <w:rPr>
                <w:rFonts w:hint="eastAsia" w:ascii="Times New Roman" w:hAnsi="Times New Roman" w:cs="Times New Roman"/>
                <w:color w:val="auto"/>
                <w:sz w:val="26"/>
                <w:szCs w:val="26"/>
                <w:lang w:val="en-US" w:eastAsia="zh-CN"/>
              </w:rPr>
              <w:t>本项目产生的</w:t>
            </w:r>
            <w:r>
              <w:rPr>
                <w:rFonts w:hint="default" w:ascii="Times New Roman" w:hAnsi="Times New Roman" w:cs="Times New Roman"/>
                <w:color w:val="auto"/>
                <w:sz w:val="26"/>
                <w:szCs w:val="26"/>
              </w:rPr>
              <w:t>危险废物主要为</w:t>
            </w:r>
            <w:r>
              <w:rPr>
                <w:rFonts w:hint="eastAsia" w:ascii="Times New Roman" w:hAnsi="Times New Roman" w:cs="Times New Roman"/>
                <w:color w:val="auto"/>
                <w:sz w:val="26"/>
                <w:szCs w:val="26"/>
                <w:lang w:val="en-US" w:eastAsia="zh-CN"/>
              </w:rPr>
              <w:t>清罐废物、设备检修废物</w:t>
            </w:r>
            <w:r>
              <w:rPr>
                <w:rFonts w:hint="eastAsia" w:cs="Times New Roman"/>
                <w:color w:val="auto"/>
                <w:sz w:val="26"/>
                <w:szCs w:val="26"/>
                <w:lang w:val="en-US" w:eastAsia="zh-CN"/>
              </w:rPr>
              <w:t>、隔油沉淀池含油污泥、三次油气回收废膜组件</w:t>
            </w:r>
            <w:r>
              <w:rPr>
                <w:rFonts w:hint="default" w:ascii="Times New Roman" w:hAnsi="Times New Roman" w:cs="Times New Roman"/>
                <w:color w:val="auto"/>
                <w:sz w:val="26"/>
                <w:szCs w:val="26"/>
                <w:lang w:eastAsia="zh-CN"/>
              </w:rPr>
              <w:t>。</w:t>
            </w:r>
          </w:p>
          <w:p w14:paraId="29476291">
            <w:pPr>
              <w:adjustRightInd w:val="0"/>
              <w:snapToGrid w:val="0"/>
              <w:spacing w:line="460" w:lineRule="exact"/>
              <w:ind w:firstLine="520" w:firstLineChars="200"/>
              <w:rPr>
                <w:rFonts w:hint="default" w:eastAsia="宋体"/>
                <w:kern w:val="44"/>
                <w:sz w:val="26"/>
                <w:szCs w:val="26"/>
                <w:lang w:val="en-US" w:eastAsia="zh-CN" w:bidi="ar"/>
              </w:rPr>
            </w:pPr>
            <w:r>
              <w:rPr>
                <w:rFonts w:hint="eastAsia"/>
                <w:kern w:val="44"/>
                <w:sz w:val="26"/>
                <w:szCs w:val="26"/>
                <w:lang w:val="en-US" w:eastAsia="zh-CN" w:bidi="ar"/>
              </w:rPr>
              <w:t>①清罐废物</w:t>
            </w:r>
          </w:p>
          <w:p w14:paraId="1DFC1948">
            <w:pPr>
              <w:adjustRightInd w:val="0"/>
              <w:snapToGrid w:val="0"/>
              <w:spacing w:line="460" w:lineRule="exact"/>
              <w:ind w:firstLine="520" w:firstLineChars="200"/>
              <w:rPr>
                <w:rFonts w:hint="eastAsia"/>
                <w:kern w:val="44"/>
                <w:sz w:val="26"/>
                <w:szCs w:val="26"/>
                <w:lang w:bidi="ar"/>
              </w:rPr>
            </w:pPr>
            <w:r>
              <w:rPr>
                <w:rFonts w:hint="eastAsia"/>
                <w:kern w:val="44"/>
                <w:sz w:val="26"/>
                <w:szCs w:val="26"/>
                <w:lang w:bidi="ar"/>
              </w:rPr>
              <w:t>成品油储罐定期清理时，有少量清罐废物产生，主要由清罐油渣和清罐废水组成（统称为清罐废物）。根据调查，加油站平均5年清理一次，由有资质的专业清洗公司进行清洗。油罐清洗含油废渣产生量约为 0.5t/罐•次，本次评价按</w:t>
            </w:r>
            <w:r>
              <w:rPr>
                <w:rFonts w:hint="eastAsia"/>
                <w:kern w:val="44"/>
                <w:sz w:val="26"/>
                <w:szCs w:val="26"/>
                <w:lang w:val="en-US" w:eastAsia="zh-CN" w:bidi="ar"/>
              </w:rPr>
              <w:t>4</w:t>
            </w:r>
            <w:r>
              <w:rPr>
                <w:rFonts w:hint="eastAsia"/>
                <w:kern w:val="44"/>
                <w:sz w:val="26"/>
                <w:szCs w:val="26"/>
                <w:lang w:bidi="ar"/>
              </w:rPr>
              <w:t>个油罐每5年清洗一次油罐计，则</w:t>
            </w:r>
            <w:r>
              <w:rPr>
                <w:rFonts w:hint="eastAsia"/>
                <w:kern w:val="44"/>
                <w:sz w:val="26"/>
                <w:szCs w:val="26"/>
                <w:lang w:val="en-US" w:eastAsia="zh-CN" w:bidi="ar"/>
              </w:rPr>
              <w:t>清罐废物</w:t>
            </w:r>
            <w:r>
              <w:rPr>
                <w:rFonts w:hint="eastAsia"/>
                <w:kern w:val="44"/>
                <w:sz w:val="26"/>
                <w:szCs w:val="26"/>
                <w:lang w:bidi="ar"/>
              </w:rPr>
              <w:t>的产生量为</w:t>
            </w:r>
            <w:r>
              <w:rPr>
                <w:rFonts w:hint="eastAsia"/>
                <w:kern w:val="44"/>
                <w:sz w:val="26"/>
                <w:szCs w:val="26"/>
                <w:lang w:val="en-US" w:eastAsia="zh-CN" w:bidi="ar"/>
              </w:rPr>
              <w:t>2.0</w:t>
            </w:r>
            <w:r>
              <w:rPr>
                <w:rFonts w:hint="eastAsia"/>
                <w:kern w:val="44"/>
                <w:sz w:val="26"/>
                <w:szCs w:val="26"/>
                <w:lang w:bidi="ar"/>
              </w:rPr>
              <w:t>t/次，根据《国家危险废物名录》</w:t>
            </w:r>
            <w:r>
              <w:rPr>
                <w:rFonts w:hint="eastAsia"/>
                <w:kern w:val="44"/>
                <w:sz w:val="26"/>
                <w:szCs w:val="26"/>
                <w:lang w:eastAsia="zh-CN" w:bidi="ar"/>
              </w:rPr>
              <w:t>（</w:t>
            </w:r>
            <w:r>
              <w:rPr>
                <w:rFonts w:hint="eastAsia"/>
                <w:kern w:val="44"/>
                <w:sz w:val="26"/>
                <w:szCs w:val="26"/>
                <w:lang w:val="en-US" w:eastAsia="zh-CN" w:bidi="ar"/>
              </w:rPr>
              <w:t>2025版</w:t>
            </w:r>
            <w:r>
              <w:rPr>
                <w:rFonts w:hint="eastAsia"/>
                <w:kern w:val="44"/>
                <w:sz w:val="26"/>
                <w:szCs w:val="26"/>
                <w:lang w:eastAsia="zh-CN" w:bidi="ar"/>
              </w:rPr>
              <w:t>）</w:t>
            </w:r>
            <w:r>
              <w:rPr>
                <w:rFonts w:hint="eastAsia"/>
                <w:kern w:val="44"/>
                <w:sz w:val="26"/>
                <w:szCs w:val="26"/>
                <w:lang w:bidi="ar"/>
              </w:rPr>
              <w:t>，</w:t>
            </w:r>
            <w:r>
              <w:rPr>
                <w:rFonts w:hint="eastAsia"/>
                <w:kern w:val="44"/>
                <w:sz w:val="26"/>
                <w:szCs w:val="26"/>
                <w:lang w:val="en-US" w:eastAsia="zh-CN" w:bidi="ar"/>
              </w:rPr>
              <w:t>清罐废渣</w:t>
            </w:r>
            <w:r>
              <w:rPr>
                <w:rFonts w:hint="eastAsia"/>
                <w:kern w:val="44"/>
                <w:sz w:val="26"/>
                <w:szCs w:val="26"/>
                <w:lang w:bidi="ar"/>
              </w:rPr>
              <w:t>属于危险废物（HW08，900-</w:t>
            </w:r>
            <w:r>
              <w:rPr>
                <w:rFonts w:hint="eastAsia"/>
                <w:kern w:val="44"/>
                <w:sz w:val="26"/>
                <w:szCs w:val="26"/>
                <w:lang w:val="en-US" w:eastAsia="zh-CN" w:bidi="ar"/>
              </w:rPr>
              <w:t>221</w:t>
            </w:r>
            <w:r>
              <w:rPr>
                <w:rFonts w:hint="eastAsia"/>
                <w:kern w:val="44"/>
                <w:sz w:val="26"/>
                <w:szCs w:val="26"/>
                <w:lang w:bidi="ar"/>
              </w:rPr>
              <w:t>-08），清罐废物用塑料桶盛装，转运均采用联单制管理，当日由危废资质单位统一清运处置</w:t>
            </w:r>
            <w:r>
              <w:rPr>
                <w:rFonts w:hint="eastAsia"/>
                <w:kern w:val="44"/>
                <w:sz w:val="26"/>
                <w:szCs w:val="26"/>
                <w:lang w:eastAsia="zh-CN" w:bidi="ar"/>
              </w:rPr>
              <w:t>，</w:t>
            </w:r>
            <w:r>
              <w:rPr>
                <w:rFonts w:hint="eastAsia"/>
                <w:kern w:val="44"/>
                <w:sz w:val="26"/>
                <w:szCs w:val="26"/>
                <w:lang w:bidi="ar"/>
              </w:rPr>
              <w:t>站内不进行暂存和处置。</w:t>
            </w:r>
          </w:p>
          <w:p w14:paraId="5CB465CC">
            <w:pPr>
              <w:adjustRightInd w:val="0"/>
              <w:snapToGrid w:val="0"/>
              <w:spacing w:line="460" w:lineRule="exact"/>
              <w:ind w:firstLine="520" w:firstLineChars="200"/>
              <w:rPr>
                <w:rFonts w:hint="eastAsia"/>
                <w:kern w:val="44"/>
                <w:sz w:val="26"/>
                <w:szCs w:val="26"/>
                <w:lang w:bidi="ar"/>
              </w:rPr>
            </w:pPr>
            <w:r>
              <w:rPr>
                <w:rFonts w:hint="eastAsia"/>
                <w:kern w:val="44"/>
                <w:sz w:val="26"/>
                <w:szCs w:val="26"/>
                <w:lang w:val="en-US" w:eastAsia="zh-CN" w:bidi="ar"/>
              </w:rPr>
              <w:t>②</w:t>
            </w:r>
            <w:r>
              <w:rPr>
                <w:rFonts w:hint="eastAsia"/>
                <w:kern w:val="44"/>
                <w:sz w:val="26"/>
                <w:szCs w:val="26"/>
                <w:lang w:bidi="ar"/>
              </w:rPr>
              <w:t>设备检修废物</w:t>
            </w:r>
          </w:p>
          <w:p w14:paraId="329D0EE5">
            <w:pPr>
              <w:adjustRightInd w:val="0"/>
              <w:snapToGrid w:val="0"/>
              <w:spacing w:line="460" w:lineRule="exact"/>
              <w:ind w:firstLine="520" w:firstLineChars="200"/>
              <w:rPr>
                <w:kern w:val="44"/>
                <w:sz w:val="26"/>
                <w:szCs w:val="26"/>
                <w:lang w:bidi="ar"/>
              </w:rPr>
            </w:pPr>
            <w:r>
              <w:rPr>
                <w:rFonts w:hint="eastAsia"/>
                <w:kern w:val="44"/>
                <w:sz w:val="26"/>
                <w:szCs w:val="26"/>
                <w:lang w:bidi="ar"/>
              </w:rPr>
              <w:t>加油机、管道等设备平均每3个月检修一次，检修废物由含油废水、含油废渣、伴生污染物、清洗废液构成。清洗废液由于含油类物质浓度较高，现场无法进行处理或回用，与其余检修废物一并作为危险废物进行处理。根据</w:t>
            </w:r>
            <w:r>
              <w:rPr>
                <w:rFonts w:hint="eastAsia"/>
                <w:kern w:val="44"/>
                <w:sz w:val="26"/>
                <w:szCs w:val="26"/>
                <w:lang w:val="en-US" w:eastAsia="zh-CN" w:bidi="ar"/>
              </w:rPr>
              <w:t>建设单位提供的</w:t>
            </w:r>
            <w:r>
              <w:rPr>
                <w:rFonts w:hint="eastAsia"/>
                <w:kern w:val="44"/>
                <w:sz w:val="26"/>
                <w:szCs w:val="26"/>
                <w:lang w:bidi="ar"/>
              </w:rPr>
              <w:t>项目实际运行情况，本项目加油机等设备检修废物产生量约0.1t/次，一年约检修4次，则项目</w:t>
            </w:r>
            <w:r>
              <w:rPr>
                <w:rFonts w:hint="eastAsia"/>
                <w:kern w:val="44"/>
                <w:sz w:val="26"/>
                <w:szCs w:val="26"/>
                <w:lang w:val="en-US" w:eastAsia="zh-CN" w:bidi="ar"/>
              </w:rPr>
              <w:t>设备</w:t>
            </w:r>
            <w:r>
              <w:rPr>
                <w:rFonts w:hint="eastAsia"/>
                <w:kern w:val="44"/>
                <w:sz w:val="26"/>
                <w:szCs w:val="26"/>
                <w:lang w:bidi="ar"/>
              </w:rPr>
              <w:t>检修废物合计约0.4t/a，属于危险废物，危废代码为（H</w:t>
            </w:r>
            <w:r>
              <w:rPr>
                <w:kern w:val="44"/>
                <w:sz w:val="26"/>
                <w:szCs w:val="26"/>
                <w:lang w:bidi="ar"/>
              </w:rPr>
              <w:t>W0</w:t>
            </w:r>
            <w:r>
              <w:rPr>
                <w:rFonts w:hint="eastAsia"/>
                <w:kern w:val="44"/>
                <w:sz w:val="26"/>
                <w:szCs w:val="26"/>
                <w:lang w:bidi="ar"/>
              </w:rPr>
              <w:t>8</w:t>
            </w:r>
            <w:r>
              <w:rPr>
                <w:rFonts w:hint="eastAsia"/>
                <w:kern w:val="44"/>
                <w:sz w:val="26"/>
                <w:szCs w:val="26"/>
                <w:lang w:eastAsia="zh-CN" w:bidi="ar"/>
              </w:rPr>
              <w:t>，</w:t>
            </w:r>
            <w:r>
              <w:rPr>
                <w:kern w:val="44"/>
                <w:sz w:val="26"/>
                <w:szCs w:val="26"/>
                <w:lang w:bidi="ar"/>
              </w:rPr>
              <w:t>900-249-08</w:t>
            </w:r>
            <w:r>
              <w:rPr>
                <w:rFonts w:hint="eastAsia"/>
                <w:kern w:val="44"/>
                <w:sz w:val="26"/>
                <w:szCs w:val="26"/>
                <w:lang w:bidi="ar"/>
              </w:rPr>
              <w:t>），收集暂存于危废暂存点</w:t>
            </w:r>
            <w:r>
              <w:rPr>
                <w:rFonts w:hint="eastAsia"/>
                <w:kern w:val="44"/>
                <w:sz w:val="26"/>
                <w:szCs w:val="26"/>
                <w:lang w:val="en-US" w:eastAsia="zh-CN" w:bidi="ar"/>
              </w:rPr>
              <w:t>后</w:t>
            </w:r>
            <w:r>
              <w:rPr>
                <w:rFonts w:hint="eastAsia"/>
                <w:kern w:val="44"/>
                <w:sz w:val="26"/>
                <w:szCs w:val="26"/>
                <w:lang w:bidi="ar"/>
              </w:rPr>
              <w:t>定期交有资质的单位清运处置。</w:t>
            </w:r>
          </w:p>
          <w:p w14:paraId="0357D0BF">
            <w:pPr>
              <w:adjustRightInd w:val="0"/>
              <w:snapToGrid w:val="0"/>
              <w:spacing w:line="460" w:lineRule="exact"/>
              <w:ind w:firstLine="520" w:firstLineChars="200"/>
              <w:rPr>
                <w:rFonts w:hint="eastAsia"/>
                <w:kern w:val="44"/>
                <w:sz w:val="26"/>
                <w:szCs w:val="26"/>
                <w:lang w:bidi="ar"/>
              </w:rPr>
            </w:pPr>
            <w:r>
              <w:rPr>
                <w:rFonts w:hint="eastAsia"/>
                <w:kern w:val="44"/>
                <w:sz w:val="26"/>
                <w:szCs w:val="26"/>
                <w:lang w:val="en-US" w:eastAsia="zh-CN" w:bidi="ar"/>
              </w:rPr>
              <w:t>③隔油池浮油及</w:t>
            </w:r>
            <w:r>
              <w:rPr>
                <w:rFonts w:hint="eastAsia"/>
                <w:kern w:val="44"/>
                <w:sz w:val="26"/>
                <w:szCs w:val="26"/>
                <w:lang w:bidi="ar"/>
              </w:rPr>
              <w:t>含油污泥</w:t>
            </w:r>
          </w:p>
          <w:p w14:paraId="1EFEF8A8">
            <w:pPr>
              <w:adjustRightInd w:val="0"/>
              <w:snapToGrid w:val="0"/>
              <w:spacing w:line="460" w:lineRule="exact"/>
              <w:ind w:firstLine="520" w:firstLineChars="200"/>
              <w:rPr>
                <w:rFonts w:hint="eastAsia"/>
                <w:kern w:val="44"/>
                <w:sz w:val="26"/>
                <w:szCs w:val="26"/>
                <w:lang w:bidi="ar"/>
              </w:rPr>
            </w:pPr>
            <w:r>
              <w:rPr>
                <w:rFonts w:hint="eastAsia"/>
                <w:kern w:val="44"/>
                <w:sz w:val="26"/>
                <w:szCs w:val="26"/>
                <w:lang w:val="en-US" w:eastAsia="zh-CN" w:bidi="ar"/>
              </w:rPr>
              <w:t>洗车机自带三级隔油沉淀池和站区</w:t>
            </w:r>
            <w:r>
              <w:rPr>
                <w:rFonts w:hint="eastAsia"/>
                <w:kern w:val="44"/>
                <w:sz w:val="26"/>
                <w:szCs w:val="26"/>
                <w:lang w:bidi="ar"/>
              </w:rPr>
              <w:t>隔油沉淀池每半年清掏一次，清掏产生的</w:t>
            </w:r>
            <w:r>
              <w:rPr>
                <w:rFonts w:hint="eastAsia"/>
                <w:kern w:val="44"/>
                <w:sz w:val="26"/>
                <w:szCs w:val="26"/>
                <w:lang w:val="en-US" w:eastAsia="zh-CN" w:bidi="ar"/>
              </w:rPr>
              <w:t>浮油及</w:t>
            </w:r>
            <w:r>
              <w:rPr>
                <w:rFonts w:hint="eastAsia"/>
                <w:kern w:val="44"/>
                <w:sz w:val="26"/>
                <w:szCs w:val="26"/>
                <w:lang w:bidi="ar"/>
              </w:rPr>
              <w:t>含油污泥量约为0.</w:t>
            </w:r>
            <w:r>
              <w:rPr>
                <w:rFonts w:hint="eastAsia"/>
                <w:kern w:val="44"/>
                <w:sz w:val="26"/>
                <w:szCs w:val="26"/>
                <w:lang w:val="en-US" w:eastAsia="zh-CN" w:bidi="ar"/>
              </w:rPr>
              <w:t>1</w:t>
            </w:r>
            <w:r>
              <w:rPr>
                <w:rFonts w:hint="eastAsia"/>
                <w:kern w:val="44"/>
                <w:sz w:val="26"/>
                <w:szCs w:val="26"/>
                <w:lang w:bidi="ar"/>
              </w:rPr>
              <w:t>t/a，属于危险废物，危废代码为（H</w:t>
            </w:r>
            <w:r>
              <w:rPr>
                <w:kern w:val="44"/>
                <w:sz w:val="26"/>
                <w:szCs w:val="26"/>
                <w:lang w:bidi="ar"/>
              </w:rPr>
              <w:t>W08</w:t>
            </w:r>
            <w:r>
              <w:rPr>
                <w:rFonts w:hint="eastAsia"/>
                <w:kern w:val="44"/>
                <w:sz w:val="26"/>
                <w:szCs w:val="26"/>
                <w:lang w:eastAsia="zh-CN" w:bidi="ar"/>
              </w:rPr>
              <w:t>，</w:t>
            </w:r>
            <w:r>
              <w:rPr>
                <w:kern w:val="44"/>
                <w:sz w:val="26"/>
                <w:szCs w:val="26"/>
                <w:lang w:bidi="ar"/>
              </w:rPr>
              <w:t>900-210-08</w:t>
            </w:r>
            <w:r>
              <w:rPr>
                <w:rFonts w:hint="eastAsia"/>
                <w:kern w:val="44"/>
                <w:sz w:val="26"/>
                <w:szCs w:val="26"/>
                <w:lang w:bidi="ar"/>
              </w:rPr>
              <w:t>），</w:t>
            </w:r>
            <w:r>
              <w:rPr>
                <w:rFonts w:hint="eastAsia"/>
                <w:kern w:val="44"/>
                <w:sz w:val="26"/>
                <w:szCs w:val="26"/>
                <w:lang w:val="en-US" w:eastAsia="zh-CN" w:bidi="ar"/>
              </w:rPr>
              <w:t>隔油沉淀池定期委托有资质单位清掏后即时</w:t>
            </w:r>
            <w:r>
              <w:rPr>
                <w:rFonts w:hint="eastAsia"/>
                <w:kern w:val="44"/>
                <w:sz w:val="26"/>
                <w:szCs w:val="26"/>
                <w:lang w:bidi="ar"/>
              </w:rPr>
              <w:t>进行清运处置</w:t>
            </w:r>
            <w:r>
              <w:rPr>
                <w:rFonts w:hint="eastAsia"/>
                <w:kern w:val="44"/>
                <w:sz w:val="26"/>
                <w:szCs w:val="26"/>
                <w:lang w:eastAsia="zh-CN" w:bidi="ar"/>
              </w:rPr>
              <w:t>，</w:t>
            </w:r>
            <w:r>
              <w:rPr>
                <w:rFonts w:hint="eastAsia"/>
                <w:kern w:val="44"/>
                <w:sz w:val="26"/>
                <w:szCs w:val="26"/>
                <w:lang w:val="en-US" w:eastAsia="zh-CN" w:bidi="ar"/>
              </w:rPr>
              <w:t>不在站内暂存和处置</w:t>
            </w:r>
            <w:r>
              <w:rPr>
                <w:rFonts w:hint="eastAsia"/>
                <w:kern w:val="44"/>
                <w:sz w:val="26"/>
                <w:szCs w:val="26"/>
                <w:lang w:bidi="ar"/>
              </w:rPr>
              <w:t>。</w:t>
            </w:r>
          </w:p>
          <w:p w14:paraId="2935B3A7">
            <w:pPr>
              <w:adjustRightInd w:val="0"/>
              <w:snapToGrid w:val="0"/>
              <w:spacing w:line="460" w:lineRule="exact"/>
              <w:ind w:firstLine="520" w:firstLineChars="200"/>
              <w:rPr>
                <w:rFonts w:hint="eastAsia" w:eastAsia="宋体"/>
                <w:color w:val="FF0000"/>
                <w:kern w:val="44"/>
                <w:sz w:val="26"/>
                <w:szCs w:val="26"/>
                <w:lang w:val="en-US" w:eastAsia="zh-CN" w:bidi="ar"/>
              </w:rPr>
            </w:pPr>
            <w:r>
              <w:rPr>
                <w:rFonts w:hint="eastAsia"/>
                <w:color w:val="FF0000"/>
                <w:kern w:val="44"/>
                <w:sz w:val="26"/>
                <w:szCs w:val="26"/>
                <w:lang w:val="en-US" w:eastAsia="zh-CN" w:bidi="ar"/>
              </w:rPr>
              <w:t>④</w:t>
            </w:r>
            <w:r>
              <w:rPr>
                <w:rFonts w:hint="eastAsia" w:cs="Times New Roman"/>
                <w:color w:val="FF0000"/>
                <w:sz w:val="26"/>
                <w:szCs w:val="26"/>
                <w:lang w:val="en-US" w:eastAsia="zh-CN"/>
              </w:rPr>
              <w:t>三次油气回收废膜组件</w:t>
            </w:r>
          </w:p>
          <w:p w14:paraId="228E79B7">
            <w:pPr>
              <w:adjustRightInd w:val="0"/>
              <w:snapToGrid w:val="0"/>
              <w:spacing w:line="460" w:lineRule="exact"/>
              <w:ind w:firstLine="520" w:firstLineChars="200"/>
              <w:rPr>
                <w:rFonts w:hint="default" w:eastAsia="宋体"/>
                <w:kern w:val="44"/>
                <w:sz w:val="26"/>
                <w:szCs w:val="26"/>
                <w:lang w:val="en-US" w:eastAsia="zh-CN" w:bidi="ar"/>
              </w:rPr>
            </w:pPr>
            <w:r>
              <w:rPr>
                <w:rFonts w:hint="eastAsia"/>
                <w:color w:val="FF0000"/>
                <w:kern w:val="44"/>
                <w:sz w:val="26"/>
                <w:szCs w:val="26"/>
                <w:lang w:val="en-US" w:eastAsia="zh-CN" w:bidi="ar"/>
              </w:rPr>
              <w:t>膜组件达到使用寿命后，由厂家更换，一般6个月更换一次，产生量约0.01t/a。属于危险废物（HW49，900-041-49），由厂家负责交有资质的单位处置，站内不暂存。</w:t>
            </w:r>
          </w:p>
          <w:p w14:paraId="06E171D1">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cs="Times New Roman"/>
                <w:color w:val="auto"/>
                <w:sz w:val="26"/>
                <w:szCs w:val="26"/>
                <w:lang w:val="en-US" w:eastAsia="zh-CN"/>
              </w:rPr>
            </w:pPr>
            <w:r>
              <w:rPr>
                <w:rFonts w:hint="default" w:cs="Times New Roman"/>
                <w:color w:val="auto"/>
                <w:sz w:val="26"/>
                <w:szCs w:val="26"/>
                <w:lang w:val="en-US" w:eastAsia="zh-CN"/>
              </w:rPr>
              <w:t>（3）</w:t>
            </w:r>
            <w:r>
              <w:rPr>
                <w:rFonts w:hint="eastAsia" w:cs="Times New Roman"/>
                <w:color w:val="auto"/>
                <w:sz w:val="26"/>
                <w:szCs w:val="26"/>
                <w:lang w:val="en-US" w:eastAsia="zh-CN"/>
              </w:rPr>
              <w:t>化粪池</w:t>
            </w:r>
            <w:r>
              <w:rPr>
                <w:rFonts w:hint="default" w:cs="Times New Roman"/>
                <w:color w:val="auto"/>
                <w:sz w:val="26"/>
                <w:szCs w:val="26"/>
                <w:lang w:val="en-US" w:eastAsia="zh-CN"/>
              </w:rPr>
              <w:t>污泥</w:t>
            </w:r>
          </w:p>
          <w:p w14:paraId="0E44A160">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cs="Times New Roman"/>
                <w:color w:val="auto"/>
                <w:sz w:val="26"/>
                <w:szCs w:val="26"/>
                <w:lang w:val="en-US" w:eastAsia="zh-CN"/>
              </w:rPr>
            </w:pPr>
            <w:r>
              <w:rPr>
                <w:rFonts w:hint="default" w:cs="Times New Roman"/>
                <w:color w:val="auto"/>
                <w:sz w:val="26"/>
                <w:szCs w:val="26"/>
                <w:lang w:val="en-US" w:eastAsia="zh-CN"/>
              </w:rPr>
              <w:t>本项目</w:t>
            </w:r>
            <w:r>
              <w:rPr>
                <w:rFonts w:hint="eastAsia" w:cs="Times New Roman"/>
                <w:color w:val="auto"/>
                <w:sz w:val="26"/>
                <w:szCs w:val="26"/>
                <w:lang w:val="en-US" w:eastAsia="zh-CN"/>
              </w:rPr>
              <w:t>化粪池</w:t>
            </w:r>
            <w:r>
              <w:rPr>
                <w:rFonts w:hint="default" w:cs="Times New Roman"/>
                <w:color w:val="auto"/>
                <w:sz w:val="26"/>
                <w:szCs w:val="26"/>
                <w:lang w:val="en-US" w:eastAsia="zh-CN"/>
              </w:rPr>
              <w:t>处理的污水量为</w:t>
            </w:r>
            <w:r>
              <w:rPr>
                <w:rFonts w:hint="eastAsia" w:cs="Times New Roman"/>
                <w:color w:val="auto"/>
                <w:sz w:val="26"/>
                <w:szCs w:val="26"/>
                <w:lang w:val="en-US" w:eastAsia="zh-CN"/>
              </w:rPr>
              <w:t>985.5m</w:t>
            </w:r>
            <w:r>
              <w:rPr>
                <w:rFonts w:hint="eastAsia" w:cs="Times New Roman"/>
                <w:color w:val="auto"/>
                <w:sz w:val="26"/>
                <w:szCs w:val="26"/>
                <w:vertAlign w:val="superscript"/>
                <w:lang w:val="en-US" w:eastAsia="zh-CN"/>
              </w:rPr>
              <w:t>3</w:t>
            </w:r>
            <w:r>
              <w:rPr>
                <w:rFonts w:hint="default" w:cs="Times New Roman"/>
                <w:color w:val="auto"/>
                <w:sz w:val="26"/>
                <w:szCs w:val="26"/>
                <w:lang w:val="en-US" w:eastAsia="zh-CN"/>
              </w:rPr>
              <w:t>/a，该过程会产生污泥，污泥产生系数为0.1kg/</w:t>
            </w:r>
            <w:r>
              <w:rPr>
                <w:rFonts w:hint="eastAsia" w:cs="Times New Roman"/>
                <w:color w:val="auto"/>
                <w:sz w:val="26"/>
                <w:szCs w:val="26"/>
                <w:lang w:val="en-US" w:eastAsia="zh-CN"/>
              </w:rPr>
              <w:t>m</w:t>
            </w:r>
            <w:r>
              <w:rPr>
                <w:rFonts w:hint="eastAsia" w:cs="Times New Roman"/>
                <w:color w:val="auto"/>
                <w:sz w:val="26"/>
                <w:szCs w:val="26"/>
                <w:vertAlign w:val="superscript"/>
                <w:lang w:val="en-US" w:eastAsia="zh-CN"/>
              </w:rPr>
              <w:t>3</w:t>
            </w:r>
            <w:r>
              <w:rPr>
                <w:rFonts w:hint="default" w:cs="Times New Roman"/>
                <w:color w:val="auto"/>
                <w:sz w:val="26"/>
                <w:szCs w:val="26"/>
                <w:lang w:val="en-US" w:eastAsia="zh-CN"/>
              </w:rPr>
              <w:t>-废水，则</w:t>
            </w:r>
            <w:r>
              <w:rPr>
                <w:rFonts w:hint="eastAsia" w:cs="Times New Roman"/>
                <w:color w:val="auto"/>
                <w:sz w:val="26"/>
                <w:szCs w:val="26"/>
                <w:lang w:val="en-US" w:eastAsia="zh-CN"/>
              </w:rPr>
              <w:t>化粪池</w:t>
            </w:r>
            <w:r>
              <w:rPr>
                <w:rFonts w:hint="default" w:cs="Times New Roman"/>
                <w:color w:val="auto"/>
                <w:sz w:val="26"/>
                <w:szCs w:val="26"/>
                <w:lang w:val="en-US" w:eastAsia="zh-CN"/>
              </w:rPr>
              <w:t>污泥产生量约</w:t>
            </w:r>
            <w:r>
              <w:rPr>
                <w:rFonts w:hint="eastAsia" w:cs="Times New Roman"/>
                <w:color w:val="auto"/>
                <w:sz w:val="26"/>
                <w:szCs w:val="26"/>
                <w:lang w:val="en-US" w:eastAsia="zh-CN"/>
              </w:rPr>
              <w:t>0.1</w:t>
            </w:r>
            <w:r>
              <w:rPr>
                <w:rFonts w:hint="default" w:cs="Times New Roman"/>
                <w:color w:val="auto"/>
                <w:sz w:val="26"/>
                <w:szCs w:val="26"/>
                <w:lang w:val="en-US" w:eastAsia="zh-CN"/>
              </w:rPr>
              <w:t>t/a</w:t>
            </w:r>
            <w:r>
              <w:rPr>
                <w:rFonts w:hint="eastAsia" w:cs="Times New Roman"/>
                <w:color w:val="auto"/>
                <w:sz w:val="26"/>
                <w:szCs w:val="26"/>
                <w:lang w:val="en-US" w:eastAsia="zh-CN"/>
              </w:rPr>
              <w:t>，一般固废代码为</w:t>
            </w:r>
            <w:r>
              <w:rPr>
                <w:rFonts w:hint="default" w:cs="Times New Roman"/>
                <w:color w:val="auto"/>
                <w:sz w:val="26"/>
                <w:szCs w:val="26"/>
                <w:lang w:val="en-US" w:eastAsia="zh-CN"/>
              </w:rPr>
              <w:t>。</w:t>
            </w:r>
            <w:r>
              <w:rPr>
                <w:rFonts w:hint="eastAsia" w:cs="Times New Roman"/>
                <w:color w:val="auto"/>
                <w:sz w:val="26"/>
                <w:szCs w:val="26"/>
                <w:lang w:val="en-US" w:eastAsia="zh-CN"/>
              </w:rPr>
              <w:t>化粪池</w:t>
            </w:r>
            <w:r>
              <w:rPr>
                <w:rFonts w:hint="default" w:cs="Times New Roman"/>
                <w:color w:val="auto"/>
                <w:sz w:val="26"/>
                <w:szCs w:val="26"/>
                <w:lang w:val="en-US" w:eastAsia="zh-CN"/>
              </w:rPr>
              <w:t>定期清掏，交由环卫部门统一清运处置。</w:t>
            </w:r>
          </w:p>
          <w:p w14:paraId="7174EAFF">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rPr>
            </w:pPr>
            <w:r>
              <w:rPr>
                <w:rFonts w:hint="eastAsia" w:cs="Times New Roman"/>
                <w:color w:val="auto"/>
                <w:sz w:val="26"/>
                <w:szCs w:val="26"/>
                <w:lang w:val="en-US" w:eastAsia="zh-CN"/>
              </w:rPr>
              <w:t>综上所述，</w:t>
            </w:r>
            <w:r>
              <w:rPr>
                <w:rFonts w:hint="default" w:ascii="Times New Roman" w:hAnsi="Times New Roman" w:cs="Times New Roman"/>
                <w:color w:val="auto"/>
                <w:sz w:val="26"/>
                <w:szCs w:val="26"/>
              </w:rPr>
              <w:t>本项目固体废物产生量及处理方式见表4</w:t>
            </w:r>
            <w:r>
              <w:rPr>
                <w:rFonts w:hint="default" w:ascii="Times New Roman" w:hAnsi="Times New Roman" w:cs="Times New Roman"/>
                <w:color w:val="auto"/>
                <w:sz w:val="26"/>
                <w:szCs w:val="26"/>
                <w:lang w:val="en-US" w:eastAsia="zh-CN"/>
              </w:rPr>
              <w:t>.2-1</w:t>
            </w:r>
            <w:r>
              <w:rPr>
                <w:rFonts w:hint="eastAsia" w:cs="Times New Roman"/>
                <w:color w:val="auto"/>
                <w:sz w:val="26"/>
                <w:szCs w:val="26"/>
                <w:lang w:val="en-US" w:eastAsia="zh-CN"/>
              </w:rPr>
              <w:t>7</w:t>
            </w:r>
            <w:r>
              <w:rPr>
                <w:rFonts w:hint="default" w:ascii="Times New Roman" w:hAnsi="Times New Roman" w:cs="Times New Roman"/>
                <w:color w:val="auto"/>
                <w:sz w:val="26"/>
                <w:szCs w:val="26"/>
              </w:rPr>
              <w:t>。</w:t>
            </w:r>
          </w:p>
          <w:p w14:paraId="46410568">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rFonts w:hint="eastAsia" w:ascii="Times New Roman" w:hAnsi="Times New Roman" w:eastAsia="宋体" w:cs="Times New Roman"/>
                <w:b w:val="0"/>
                <w:bCs w:val="0"/>
                <w:color w:val="auto"/>
                <w:sz w:val="26"/>
                <w:szCs w:val="26"/>
                <w:lang w:val="en-US" w:eastAsia="zh-CN"/>
              </w:rPr>
            </w:pPr>
            <w:r>
              <w:rPr>
                <w:rFonts w:hint="default" w:ascii="Times New Roman" w:hAnsi="Times New Roman" w:cs="Times New Roman"/>
                <w:b w:val="0"/>
                <w:bCs w:val="0"/>
                <w:color w:val="auto"/>
                <w:sz w:val="22"/>
                <w:szCs w:val="22"/>
              </w:rPr>
              <w:t>表</w:t>
            </w:r>
            <w:r>
              <w:rPr>
                <w:rFonts w:hint="default" w:ascii="Times New Roman" w:hAnsi="Times New Roman" w:cs="Times New Roman"/>
                <w:b w:val="0"/>
                <w:bCs w:val="0"/>
                <w:color w:val="auto"/>
                <w:sz w:val="22"/>
                <w:szCs w:val="22"/>
                <w:lang w:val="en-US" w:eastAsia="zh-CN"/>
              </w:rPr>
              <w:t>4.2-1</w:t>
            </w:r>
            <w:r>
              <w:rPr>
                <w:rFonts w:hint="eastAsia" w:cs="Times New Roman"/>
                <w:b w:val="0"/>
                <w:bCs w:val="0"/>
                <w:color w:val="auto"/>
                <w:sz w:val="22"/>
                <w:szCs w:val="22"/>
                <w:lang w:val="en-US" w:eastAsia="zh-CN"/>
              </w:rPr>
              <w:t>7</w:t>
            </w:r>
            <w:r>
              <w:rPr>
                <w:rFonts w:hint="default" w:ascii="Times New Roman" w:hAnsi="Times New Roman" w:cs="Times New Roman"/>
                <w:b w:val="0"/>
                <w:bCs w:val="0"/>
                <w:color w:val="auto"/>
                <w:sz w:val="22"/>
                <w:szCs w:val="22"/>
                <w:lang w:val="en-US" w:eastAsia="zh-CN"/>
              </w:rPr>
              <w:t xml:space="preserve">  本项目</w:t>
            </w:r>
            <w:r>
              <w:rPr>
                <w:rFonts w:hint="default" w:ascii="Times New Roman" w:hAnsi="Times New Roman" w:cs="Times New Roman"/>
                <w:b w:val="0"/>
                <w:bCs w:val="0"/>
                <w:color w:val="auto"/>
                <w:sz w:val="22"/>
                <w:szCs w:val="22"/>
              </w:rPr>
              <w:t>固废产生及处理情况</w:t>
            </w:r>
            <w:r>
              <w:rPr>
                <w:rFonts w:hint="eastAsia" w:ascii="Times New Roman" w:hAnsi="Times New Roman" w:cs="Times New Roman"/>
                <w:b w:val="0"/>
                <w:bCs w:val="0"/>
                <w:color w:val="auto"/>
                <w:sz w:val="22"/>
                <w:szCs w:val="22"/>
                <w:lang w:val="en-US" w:eastAsia="zh-CN"/>
              </w:rPr>
              <w:t>一览表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108"/>
              <w:gridCol w:w="940"/>
              <w:gridCol w:w="993"/>
              <w:gridCol w:w="1509"/>
              <w:gridCol w:w="2428"/>
            </w:tblGrid>
            <w:tr w14:paraId="3EFB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pct"/>
                  <w:gridSpan w:val="2"/>
                  <w:noWrap w:val="0"/>
                  <w:vAlign w:val="center"/>
                </w:tcPr>
                <w:p w14:paraId="08B71699">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类别</w:t>
                  </w:r>
                </w:p>
              </w:tc>
              <w:tc>
                <w:tcPr>
                  <w:tcW w:w="592" w:type="pct"/>
                  <w:noWrap w:val="0"/>
                  <w:vAlign w:val="center"/>
                </w:tcPr>
                <w:p w14:paraId="1383DCD1">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产生量（t/a）</w:t>
                  </w:r>
                </w:p>
              </w:tc>
              <w:tc>
                <w:tcPr>
                  <w:tcW w:w="626" w:type="pct"/>
                  <w:noWrap w:val="0"/>
                  <w:vAlign w:val="center"/>
                </w:tcPr>
                <w:p w14:paraId="61E61ECF">
                  <w:pPr>
                    <w:pStyle w:val="94"/>
                    <w:rPr>
                      <w:rFonts w:hint="default" w:ascii="Times New Roman" w:hAnsi="Times New Roman" w:cs="Times New Roman"/>
                      <w:color w:val="auto"/>
                      <w:sz w:val="22"/>
                      <w:szCs w:val="22"/>
                    </w:rPr>
                  </w:pPr>
                  <w:r>
                    <w:rPr>
                      <w:rFonts w:hint="eastAsia" w:cs="Times New Roman"/>
                      <w:color w:val="auto"/>
                      <w:sz w:val="22"/>
                      <w:szCs w:val="22"/>
                      <w:lang w:val="en-US" w:eastAsia="zh-CN"/>
                    </w:rPr>
                    <w:t>处置</w:t>
                  </w:r>
                  <w:r>
                    <w:rPr>
                      <w:rFonts w:hint="default" w:ascii="Times New Roman" w:hAnsi="Times New Roman" w:cs="Times New Roman"/>
                      <w:color w:val="auto"/>
                      <w:sz w:val="22"/>
                      <w:szCs w:val="22"/>
                    </w:rPr>
                    <w:t>量（t/a）</w:t>
                  </w:r>
                </w:p>
              </w:tc>
              <w:tc>
                <w:tcPr>
                  <w:tcW w:w="951" w:type="pct"/>
                  <w:noWrap w:val="0"/>
                  <w:vAlign w:val="center"/>
                </w:tcPr>
                <w:p w14:paraId="35DD2B2D">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一般固废/</w:t>
                  </w:r>
                  <w:r>
                    <w:rPr>
                      <w:rFonts w:hint="default" w:ascii="Times New Roman" w:hAnsi="Times New Roman" w:cs="Times New Roman"/>
                      <w:color w:val="auto"/>
                      <w:sz w:val="22"/>
                      <w:szCs w:val="22"/>
                    </w:rPr>
                    <w:t>危险废物代码</w:t>
                  </w:r>
                </w:p>
              </w:tc>
              <w:tc>
                <w:tcPr>
                  <w:tcW w:w="1530" w:type="pct"/>
                  <w:noWrap w:val="0"/>
                  <w:vAlign w:val="center"/>
                </w:tcPr>
                <w:p w14:paraId="3E34BD10">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处理措施</w:t>
                  </w:r>
                </w:p>
              </w:tc>
            </w:tr>
            <w:tr w14:paraId="2012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noWrap w:val="0"/>
                  <w:vAlign w:val="center"/>
                </w:tcPr>
                <w:p w14:paraId="4716BA16">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一般工业废物</w:t>
                  </w:r>
                </w:p>
              </w:tc>
              <w:tc>
                <w:tcPr>
                  <w:tcW w:w="698" w:type="pct"/>
                  <w:noWrap w:val="0"/>
                  <w:vAlign w:val="center"/>
                </w:tcPr>
                <w:p w14:paraId="7C0BDAAB">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eastAsia="宋体" w:cs="Times New Roman"/>
                      <w:color w:val="auto"/>
                      <w:kern w:val="0"/>
                      <w:sz w:val="22"/>
                      <w:szCs w:val="22"/>
                      <w:lang w:val="en-US" w:eastAsia="zh-CN" w:bidi="ar-SA"/>
                    </w:rPr>
                    <w:t>化粪池污泥</w:t>
                  </w:r>
                </w:p>
              </w:tc>
              <w:tc>
                <w:tcPr>
                  <w:tcW w:w="592" w:type="pct"/>
                  <w:noWrap w:val="0"/>
                  <w:vAlign w:val="center"/>
                </w:tcPr>
                <w:p w14:paraId="0ECA7311">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0.1</w:t>
                  </w:r>
                </w:p>
              </w:tc>
              <w:tc>
                <w:tcPr>
                  <w:tcW w:w="626" w:type="pct"/>
                  <w:noWrap w:val="0"/>
                  <w:vAlign w:val="center"/>
                </w:tcPr>
                <w:p w14:paraId="2AF2CC83">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0.1</w:t>
                  </w:r>
                </w:p>
              </w:tc>
              <w:tc>
                <w:tcPr>
                  <w:tcW w:w="951" w:type="pct"/>
                  <w:noWrap w:val="0"/>
                  <w:vAlign w:val="center"/>
                </w:tcPr>
                <w:p w14:paraId="7C8EEF38">
                  <w:pPr>
                    <w:pStyle w:val="94"/>
                    <w:ind w:firstLine="0" w:firstLineChars="0"/>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462-001-S90</w:t>
                  </w:r>
                </w:p>
              </w:tc>
              <w:tc>
                <w:tcPr>
                  <w:tcW w:w="1530" w:type="pct"/>
                  <w:noWrap w:val="0"/>
                  <w:vAlign w:val="center"/>
                </w:tcPr>
                <w:p w14:paraId="4FE6C8D2">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定期清掏，交由环卫部门统一清运处置</w:t>
                  </w:r>
                </w:p>
              </w:tc>
            </w:tr>
            <w:tr w14:paraId="5488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00" w:type="pct"/>
                  <w:vMerge w:val="restart"/>
                  <w:noWrap w:val="0"/>
                  <w:vAlign w:val="center"/>
                </w:tcPr>
                <w:p w14:paraId="0B5F091F">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危险废物</w:t>
                  </w:r>
                </w:p>
              </w:tc>
              <w:tc>
                <w:tcPr>
                  <w:tcW w:w="698" w:type="pct"/>
                  <w:noWrap w:val="0"/>
                  <w:vAlign w:val="center"/>
                </w:tcPr>
                <w:p w14:paraId="1B4DC643">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清罐废物</w:t>
                  </w:r>
                </w:p>
              </w:tc>
              <w:tc>
                <w:tcPr>
                  <w:tcW w:w="592" w:type="pct"/>
                  <w:noWrap w:val="0"/>
                  <w:vAlign w:val="center"/>
                </w:tcPr>
                <w:p w14:paraId="4F95C08A">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cs="Times New Roman"/>
                      <w:color w:val="auto"/>
                      <w:sz w:val="22"/>
                      <w:szCs w:val="22"/>
                      <w:lang w:val="en-US" w:eastAsia="zh-CN"/>
                    </w:rPr>
                    <w:t>0.4</w:t>
                  </w:r>
                </w:p>
              </w:tc>
              <w:tc>
                <w:tcPr>
                  <w:tcW w:w="626" w:type="pct"/>
                  <w:noWrap w:val="0"/>
                  <w:vAlign w:val="center"/>
                </w:tcPr>
                <w:p w14:paraId="5B7CBE8B">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cs="Times New Roman"/>
                      <w:color w:val="auto"/>
                      <w:sz w:val="22"/>
                      <w:szCs w:val="22"/>
                      <w:lang w:val="en-US" w:eastAsia="zh-CN"/>
                    </w:rPr>
                    <w:t>0.4</w:t>
                  </w:r>
                </w:p>
              </w:tc>
              <w:tc>
                <w:tcPr>
                  <w:tcW w:w="951" w:type="pct"/>
                  <w:noWrap w:val="0"/>
                  <w:vAlign w:val="center"/>
                </w:tcPr>
                <w:p w14:paraId="52CC3D3D">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900-2</w:t>
                  </w:r>
                  <w:r>
                    <w:rPr>
                      <w:rFonts w:hint="eastAsia" w:ascii="Times New Roman" w:hAnsi="Times New Roman" w:eastAsia="宋体" w:cs="Times New Roman"/>
                      <w:color w:val="auto"/>
                      <w:kern w:val="0"/>
                      <w:sz w:val="22"/>
                      <w:szCs w:val="22"/>
                      <w:lang w:val="en-US" w:eastAsia="zh-CN" w:bidi="ar-SA"/>
                    </w:rPr>
                    <w:t>21</w:t>
                  </w:r>
                  <w:r>
                    <w:rPr>
                      <w:rFonts w:hint="default" w:ascii="Times New Roman" w:hAnsi="Times New Roman" w:eastAsia="宋体" w:cs="Times New Roman"/>
                      <w:color w:val="auto"/>
                      <w:kern w:val="0"/>
                      <w:sz w:val="22"/>
                      <w:szCs w:val="22"/>
                      <w:lang w:val="en-US" w:eastAsia="zh-CN" w:bidi="ar-SA"/>
                    </w:rPr>
                    <w:t>-08</w:t>
                  </w:r>
                </w:p>
              </w:tc>
              <w:tc>
                <w:tcPr>
                  <w:tcW w:w="1530" w:type="pct"/>
                  <w:noWrap w:val="0"/>
                  <w:vAlign w:val="center"/>
                </w:tcPr>
                <w:p w14:paraId="5A52C9F8">
                  <w:pPr>
                    <w:pStyle w:val="94"/>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定期清罐，</w:t>
                  </w:r>
                  <w:r>
                    <w:rPr>
                      <w:rFonts w:hint="default" w:ascii="Times New Roman" w:hAnsi="Times New Roman" w:cs="Times New Roman"/>
                      <w:color w:val="auto"/>
                      <w:sz w:val="22"/>
                      <w:szCs w:val="22"/>
                    </w:rPr>
                    <w:t>当日由危废资质单位清运处置，不</w:t>
                  </w:r>
                  <w:r>
                    <w:rPr>
                      <w:rFonts w:hint="eastAsia" w:ascii="Times New Roman" w:hAnsi="Times New Roman" w:cs="Times New Roman"/>
                      <w:color w:val="auto"/>
                      <w:sz w:val="22"/>
                      <w:szCs w:val="22"/>
                      <w:lang w:val="en-US" w:eastAsia="zh-CN"/>
                    </w:rPr>
                    <w:t>在</w:t>
                  </w:r>
                  <w:r>
                    <w:rPr>
                      <w:rFonts w:hint="default" w:ascii="Times New Roman" w:hAnsi="Times New Roman" w:cs="Times New Roman"/>
                      <w:color w:val="auto"/>
                      <w:sz w:val="22"/>
                      <w:szCs w:val="22"/>
                    </w:rPr>
                    <w:t>站内进行暂存</w:t>
                  </w:r>
                </w:p>
              </w:tc>
            </w:tr>
            <w:tr w14:paraId="18FC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00" w:type="pct"/>
                  <w:vMerge w:val="continue"/>
                  <w:noWrap w:val="0"/>
                  <w:vAlign w:val="center"/>
                </w:tcPr>
                <w:p w14:paraId="0260F005">
                  <w:pPr>
                    <w:pStyle w:val="94"/>
                    <w:rPr>
                      <w:rFonts w:hint="default" w:ascii="Times New Roman" w:hAnsi="Times New Roman" w:cs="Times New Roman"/>
                      <w:color w:val="auto"/>
                      <w:sz w:val="22"/>
                      <w:szCs w:val="22"/>
                    </w:rPr>
                  </w:pPr>
                </w:p>
              </w:tc>
              <w:tc>
                <w:tcPr>
                  <w:tcW w:w="698" w:type="pct"/>
                  <w:noWrap w:val="0"/>
                  <w:vAlign w:val="center"/>
                </w:tcPr>
                <w:p w14:paraId="245F7E7A">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设备检修废物</w:t>
                  </w:r>
                </w:p>
              </w:tc>
              <w:tc>
                <w:tcPr>
                  <w:tcW w:w="592" w:type="pct"/>
                  <w:noWrap w:val="0"/>
                  <w:vAlign w:val="center"/>
                </w:tcPr>
                <w:p w14:paraId="0C5ADA5A">
                  <w:pPr>
                    <w:pStyle w:val="94"/>
                    <w:ind w:firstLine="0" w:firstLineChars="0"/>
                    <w:rPr>
                      <w:rFonts w:hint="eastAsia" w:ascii="Times New Roman" w:hAnsi="Times New Roman" w:eastAsia="宋体" w:cs="Times New Roman"/>
                      <w:color w:val="auto"/>
                      <w:kern w:val="0"/>
                      <w:sz w:val="22"/>
                      <w:szCs w:val="22"/>
                      <w:lang w:val="en-US" w:eastAsia="zh-CN" w:bidi="ar-SA"/>
                    </w:rPr>
                  </w:pPr>
                  <w:r>
                    <w:rPr>
                      <w:rFonts w:hint="eastAsia" w:eastAsia="宋体" w:cs="Times New Roman"/>
                      <w:color w:val="auto"/>
                      <w:kern w:val="0"/>
                      <w:sz w:val="22"/>
                      <w:szCs w:val="22"/>
                      <w:lang w:val="en-US" w:eastAsia="zh-CN" w:bidi="ar-SA"/>
                    </w:rPr>
                    <w:t>0.4</w:t>
                  </w:r>
                </w:p>
              </w:tc>
              <w:tc>
                <w:tcPr>
                  <w:tcW w:w="626" w:type="pct"/>
                  <w:noWrap w:val="0"/>
                  <w:vAlign w:val="center"/>
                </w:tcPr>
                <w:p w14:paraId="7F96CF81">
                  <w:pPr>
                    <w:pStyle w:val="94"/>
                    <w:ind w:firstLine="0" w:firstLineChars="0"/>
                    <w:rPr>
                      <w:rFonts w:hint="eastAsia" w:ascii="Times New Roman" w:hAnsi="Times New Roman" w:eastAsia="宋体" w:cs="Times New Roman"/>
                      <w:color w:val="auto"/>
                      <w:kern w:val="0"/>
                      <w:sz w:val="22"/>
                      <w:szCs w:val="22"/>
                      <w:lang w:val="en-US" w:eastAsia="zh-CN" w:bidi="ar-SA"/>
                    </w:rPr>
                  </w:pPr>
                  <w:r>
                    <w:rPr>
                      <w:rFonts w:hint="eastAsia" w:eastAsia="宋体" w:cs="Times New Roman"/>
                      <w:color w:val="auto"/>
                      <w:kern w:val="0"/>
                      <w:sz w:val="22"/>
                      <w:szCs w:val="22"/>
                      <w:lang w:val="en-US" w:eastAsia="zh-CN" w:bidi="ar-SA"/>
                    </w:rPr>
                    <w:t>0.4</w:t>
                  </w:r>
                </w:p>
              </w:tc>
              <w:tc>
                <w:tcPr>
                  <w:tcW w:w="951" w:type="pct"/>
                  <w:noWrap w:val="0"/>
                  <w:vAlign w:val="center"/>
                </w:tcPr>
                <w:p w14:paraId="47837013">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w:t>
                  </w:r>
                  <w:r>
                    <w:rPr>
                      <w:rFonts w:hint="eastAsia" w:ascii="Times New Roman" w:hAnsi="Times New Roman" w:eastAsia="宋体" w:cs="Times New Roman"/>
                      <w:color w:val="auto"/>
                      <w:kern w:val="0"/>
                      <w:sz w:val="22"/>
                      <w:szCs w:val="22"/>
                      <w:lang w:val="en-US" w:eastAsia="zh-CN" w:bidi="ar-SA"/>
                    </w:rPr>
                    <w:t>249</w:t>
                  </w:r>
                  <w:r>
                    <w:rPr>
                      <w:rFonts w:hint="default" w:ascii="Times New Roman" w:hAnsi="Times New Roman" w:eastAsia="宋体" w:cs="Times New Roman"/>
                      <w:color w:val="auto"/>
                      <w:kern w:val="0"/>
                      <w:sz w:val="22"/>
                      <w:szCs w:val="22"/>
                      <w:lang w:val="en-US" w:eastAsia="zh-CN" w:bidi="ar-SA"/>
                    </w:rPr>
                    <w:t>-</w:t>
                  </w:r>
                  <w:r>
                    <w:rPr>
                      <w:rFonts w:hint="eastAsia" w:ascii="Times New Roman" w:hAnsi="Times New Roman" w:eastAsia="宋体" w:cs="Times New Roman"/>
                      <w:color w:val="auto"/>
                      <w:kern w:val="0"/>
                      <w:sz w:val="22"/>
                      <w:szCs w:val="22"/>
                      <w:lang w:val="en-US" w:eastAsia="zh-CN" w:bidi="ar-SA"/>
                    </w:rPr>
                    <w:t>08</w:t>
                  </w:r>
                </w:p>
              </w:tc>
              <w:tc>
                <w:tcPr>
                  <w:tcW w:w="1530" w:type="pct"/>
                  <w:noWrap w:val="0"/>
                  <w:vAlign w:val="center"/>
                </w:tcPr>
                <w:p w14:paraId="10A451F7">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集中收集</w:t>
                  </w:r>
                  <w:r>
                    <w:rPr>
                      <w:rFonts w:hint="eastAsia" w:cs="Times New Roman"/>
                      <w:color w:val="auto"/>
                      <w:sz w:val="22"/>
                      <w:szCs w:val="22"/>
                      <w:lang w:val="en-US" w:eastAsia="zh-CN"/>
                    </w:rPr>
                    <w:t>至危废暂存点暂存</w:t>
                  </w:r>
                  <w:r>
                    <w:rPr>
                      <w:rFonts w:hint="default" w:ascii="Times New Roman" w:hAnsi="Times New Roman" w:cs="Times New Roman"/>
                      <w:color w:val="auto"/>
                      <w:sz w:val="22"/>
                      <w:szCs w:val="22"/>
                    </w:rPr>
                    <w:t>后，定期交由有</w:t>
                  </w:r>
                  <w:r>
                    <w:rPr>
                      <w:rFonts w:hint="default" w:ascii="Times New Roman" w:hAnsi="Times New Roman" w:cs="Times New Roman"/>
                      <w:color w:val="auto"/>
                      <w:sz w:val="22"/>
                      <w:szCs w:val="22"/>
                      <w:lang w:val="en-US" w:eastAsia="zh-CN"/>
                    </w:rPr>
                    <w:t>危废</w:t>
                  </w:r>
                  <w:r>
                    <w:rPr>
                      <w:rFonts w:hint="default" w:ascii="Times New Roman" w:hAnsi="Times New Roman" w:cs="Times New Roman"/>
                      <w:color w:val="auto"/>
                      <w:sz w:val="22"/>
                      <w:szCs w:val="22"/>
                    </w:rPr>
                    <w:t>资质的单位处置</w:t>
                  </w:r>
                </w:p>
              </w:tc>
            </w:tr>
            <w:tr w14:paraId="3014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00" w:type="pct"/>
                  <w:vMerge w:val="continue"/>
                  <w:noWrap w:val="0"/>
                  <w:vAlign w:val="center"/>
                </w:tcPr>
                <w:p w14:paraId="6FC6B72A">
                  <w:pPr>
                    <w:pStyle w:val="94"/>
                    <w:rPr>
                      <w:rFonts w:hint="default" w:ascii="Times New Roman" w:hAnsi="Times New Roman" w:cs="Times New Roman"/>
                      <w:color w:val="auto"/>
                      <w:sz w:val="22"/>
                      <w:szCs w:val="22"/>
                    </w:rPr>
                  </w:pPr>
                </w:p>
              </w:tc>
              <w:tc>
                <w:tcPr>
                  <w:tcW w:w="698" w:type="pct"/>
                  <w:shd w:val="clear" w:color="auto" w:fill="auto"/>
                  <w:noWrap w:val="0"/>
                  <w:vAlign w:val="center"/>
                </w:tcPr>
                <w:p w14:paraId="05B4733F">
                  <w:pPr>
                    <w:pStyle w:val="94"/>
                    <w:ind w:firstLine="0" w:firstLineChars="0"/>
                    <w:rPr>
                      <w:rFonts w:hint="eastAsia"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隔油</w:t>
                  </w:r>
                  <w:r>
                    <w:rPr>
                      <w:rFonts w:hint="eastAsia" w:ascii="Times New Roman" w:hAnsi="Times New Roman" w:cs="Times New Roman"/>
                      <w:color w:val="auto"/>
                      <w:sz w:val="22"/>
                      <w:szCs w:val="22"/>
                      <w:lang w:val="en-US" w:eastAsia="zh-CN"/>
                    </w:rPr>
                    <w:t>池</w:t>
                  </w:r>
                  <w:r>
                    <w:rPr>
                      <w:rFonts w:hint="eastAsia" w:cs="Times New Roman"/>
                      <w:color w:val="auto"/>
                      <w:sz w:val="22"/>
                      <w:szCs w:val="22"/>
                      <w:lang w:val="en-US" w:eastAsia="zh-CN"/>
                    </w:rPr>
                    <w:t>浮油及</w:t>
                  </w:r>
                  <w:r>
                    <w:rPr>
                      <w:rFonts w:hint="eastAsia" w:ascii="Times New Roman" w:hAnsi="Times New Roman" w:cs="Times New Roman"/>
                      <w:color w:val="auto"/>
                      <w:sz w:val="22"/>
                      <w:szCs w:val="22"/>
                      <w:lang w:val="en-US" w:eastAsia="zh-CN"/>
                    </w:rPr>
                    <w:t>含油污泥</w:t>
                  </w:r>
                </w:p>
              </w:tc>
              <w:tc>
                <w:tcPr>
                  <w:tcW w:w="592" w:type="pct"/>
                  <w:shd w:val="clear" w:color="auto" w:fill="auto"/>
                  <w:noWrap w:val="0"/>
                  <w:vAlign w:val="center"/>
                </w:tcPr>
                <w:p w14:paraId="59D487C9">
                  <w:pPr>
                    <w:pStyle w:val="94"/>
                    <w:ind w:firstLine="0" w:firstLineChars="0"/>
                    <w:rPr>
                      <w:rFonts w:hint="eastAsia" w:ascii="Times New Roman" w:hAnsi="Times New Roman" w:eastAsia="宋体" w:cs="Times New Roman"/>
                      <w:color w:val="auto"/>
                      <w:kern w:val="0"/>
                      <w:sz w:val="22"/>
                      <w:szCs w:val="22"/>
                      <w:lang w:val="en-US" w:eastAsia="zh-CN" w:bidi="ar-SA"/>
                    </w:rPr>
                  </w:pPr>
                  <w:r>
                    <w:rPr>
                      <w:rFonts w:hint="eastAsia" w:eastAsia="宋体" w:cs="Times New Roman"/>
                      <w:color w:val="auto"/>
                      <w:kern w:val="0"/>
                      <w:sz w:val="22"/>
                      <w:szCs w:val="22"/>
                      <w:lang w:val="en-US" w:eastAsia="zh-CN" w:bidi="ar-SA"/>
                    </w:rPr>
                    <w:t>0.</w:t>
                  </w:r>
                  <w:r>
                    <w:rPr>
                      <w:rFonts w:hint="eastAsia" w:cs="Times New Roman"/>
                      <w:color w:val="auto"/>
                      <w:kern w:val="0"/>
                      <w:sz w:val="22"/>
                      <w:szCs w:val="22"/>
                      <w:lang w:val="en-US" w:eastAsia="zh-CN" w:bidi="ar-SA"/>
                    </w:rPr>
                    <w:t>1</w:t>
                  </w:r>
                </w:p>
              </w:tc>
              <w:tc>
                <w:tcPr>
                  <w:tcW w:w="626" w:type="pct"/>
                  <w:shd w:val="clear" w:color="auto" w:fill="auto"/>
                  <w:noWrap w:val="0"/>
                  <w:vAlign w:val="center"/>
                </w:tcPr>
                <w:p w14:paraId="5CA07A5A">
                  <w:pPr>
                    <w:pStyle w:val="94"/>
                    <w:ind w:firstLine="0" w:firstLineChars="0"/>
                    <w:rPr>
                      <w:rFonts w:hint="eastAsia" w:ascii="Times New Roman" w:hAnsi="Times New Roman" w:eastAsia="宋体" w:cs="Times New Roman"/>
                      <w:color w:val="auto"/>
                      <w:kern w:val="0"/>
                      <w:sz w:val="22"/>
                      <w:szCs w:val="22"/>
                      <w:lang w:val="en-US" w:eastAsia="zh-CN" w:bidi="ar-SA"/>
                    </w:rPr>
                  </w:pPr>
                  <w:r>
                    <w:rPr>
                      <w:rFonts w:hint="eastAsia" w:eastAsia="宋体" w:cs="Times New Roman"/>
                      <w:color w:val="auto"/>
                      <w:kern w:val="0"/>
                      <w:sz w:val="22"/>
                      <w:szCs w:val="22"/>
                      <w:lang w:val="en-US" w:eastAsia="zh-CN" w:bidi="ar-SA"/>
                    </w:rPr>
                    <w:t>0.</w:t>
                  </w:r>
                  <w:r>
                    <w:rPr>
                      <w:rFonts w:hint="eastAsia" w:cs="Times New Roman"/>
                      <w:color w:val="auto"/>
                      <w:kern w:val="0"/>
                      <w:sz w:val="22"/>
                      <w:szCs w:val="22"/>
                      <w:lang w:val="en-US" w:eastAsia="zh-CN" w:bidi="ar-SA"/>
                    </w:rPr>
                    <w:t>1</w:t>
                  </w:r>
                </w:p>
              </w:tc>
              <w:tc>
                <w:tcPr>
                  <w:tcW w:w="951" w:type="pct"/>
                  <w:shd w:val="clear" w:color="auto" w:fill="auto"/>
                  <w:noWrap w:val="0"/>
                  <w:vAlign w:val="center"/>
                </w:tcPr>
                <w:p w14:paraId="01ABC4A3">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900-210-08</w:t>
                  </w:r>
                </w:p>
              </w:tc>
              <w:tc>
                <w:tcPr>
                  <w:tcW w:w="1530" w:type="pct"/>
                  <w:shd w:val="clear" w:color="auto" w:fill="auto"/>
                  <w:noWrap w:val="0"/>
                  <w:vAlign w:val="center"/>
                </w:tcPr>
                <w:p w14:paraId="512D6E07">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sz w:val="22"/>
                      <w:szCs w:val="22"/>
                      <w:lang w:val="en-US" w:eastAsia="zh-CN"/>
                    </w:rPr>
                    <w:t>定期清掏，</w:t>
                  </w:r>
                  <w:r>
                    <w:rPr>
                      <w:rFonts w:hint="default" w:ascii="Times New Roman" w:hAnsi="Times New Roman" w:cs="Times New Roman"/>
                      <w:color w:val="auto"/>
                      <w:sz w:val="22"/>
                      <w:szCs w:val="22"/>
                    </w:rPr>
                    <w:t>当日由危废资质单位清运处置，不</w:t>
                  </w:r>
                  <w:r>
                    <w:rPr>
                      <w:rFonts w:hint="eastAsia" w:ascii="Times New Roman" w:hAnsi="Times New Roman" w:cs="Times New Roman"/>
                      <w:color w:val="auto"/>
                      <w:sz w:val="22"/>
                      <w:szCs w:val="22"/>
                      <w:lang w:val="en-US" w:eastAsia="zh-CN"/>
                    </w:rPr>
                    <w:t>在</w:t>
                  </w:r>
                  <w:r>
                    <w:rPr>
                      <w:rFonts w:hint="default" w:ascii="Times New Roman" w:hAnsi="Times New Roman" w:cs="Times New Roman"/>
                      <w:color w:val="auto"/>
                      <w:sz w:val="22"/>
                      <w:szCs w:val="22"/>
                    </w:rPr>
                    <w:t>站内进行暂存</w:t>
                  </w:r>
                </w:p>
              </w:tc>
            </w:tr>
            <w:tr w14:paraId="64F0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00" w:type="pct"/>
                  <w:vMerge w:val="continue"/>
                  <w:noWrap w:val="0"/>
                  <w:vAlign w:val="center"/>
                </w:tcPr>
                <w:p w14:paraId="7F0F6B36">
                  <w:pPr>
                    <w:pStyle w:val="94"/>
                    <w:rPr>
                      <w:rFonts w:hint="default" w:ascii="Times New Roman" w:hAnsi="Times New Roman" w:cs="Times New Roman"/>
                      <w:color w:val="auto"/>
                      <w:sz w:val="22"/>
                      <w:szCs w:val="22"/>
                    </w:rPr>
                  </w:pPr>
                </w:p>
              </w:tc>
              <w:tc>
                <w:tcPr>
                  <w:tcW w:w="698" w:type="pct"/>
                  <w:noWrap w:val="0"/>
                  <w:vAlign w:val="center"/>
                </w:tcPr>
                <w:p w14:paraId="1B04329A">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三次油气回收废膜组件</w:t>
                  </w:r>
                </w:p>
              </w:tc>
              <w:tc>
                <w:tcPr>
                  <w:tcW w:w="592" w:type="pct"/>
                  <w:noWrap w:val="0"/>
                  <w:vAlign w:val="center"/>
                </w:tcPr>
                <w:p w14:paraId="3FDAD91A">
                  <w:pPr>
                    <w:pStyle w:val="94"/>
                    <w:ind w:firstLine="0" w:firstLineChars="0"/>
                    <w:rPr>
                      <w:rFonts w:hint="default" w:eastAsia="宋体" w:cs="Times New Roman"/>
                      <w:color w:val="auto"/>
                      <w:kern w:val="0"/>
                      <w:sz w:val="22"/>
                      <w:szCs w:val="22"/>
                      <w:lang w:val="en-US" w:eastAsia="zh-CN" w:bidi="ar-SA"/>
                    </w:rPr>
                  </w:pPr>
                  <w:r>
                    <w:rPr>
                      <w:rFonts w:hint="eastAsia" w:cs="Times New Roman"/>
                      <w:color w:val="auto"/>
                      <w:kern w:val="0"/>
                      <w:sz w:val="22"/>
                      <w:szCs w:val="22"/>
                      <w:lang w:val="en-US" w:eastAsia="zh-CN" w:bidi="ar-SA"/>
                    </w:rPr>
                    <w:t>0.01</w:t>
                  </w:r>
                </w:p>
              </w:tc>
              <w:tc>
                <w:tcPr>
                  <w:tcW w:w="626" w:type="pct"/>
                  <w:noWrap w:val="0"/>
                  <w:vAlign w:val="center"/>
                </w:tcPr>
                <w:p w14:paraId="0E7B03C4">
                  <w:pPr>
                    <w:pStyle w:val="94"/>
                    <w:ind w:firstLine="0" w:firstLineChars="0"/>
                    <w:rPr>
                      <w:rFonts w:hint="default" w:eastAsia="宋体" w:cs="Times New Roman"/>
                      <w:color w:val="auto"/>
                      <w:kern w:val="0"/>
                      <w:sz w:val="22"/>
                      <w:szCs w:val="22"/>
                      <w:lang w:val="en-US" w:eastAsia="zh-CN" w:bidi="ar-SA"/>
                    </w:rPr>
                  </w:pPr>
                  <w:r>
                    <w:rPr>
                      <w:rFonts w:hint="eastAsia" w:cs="Times New Roman"/>
                      <w:color w:val="auto"/>
                      <w:kern w:val="0"/>
                      <w:sz w:val="22"/>
                      <w:szCs w:val="22"/>
                      <w:lang w:val="en-US" w:eastAsia="zh-CN" w:bidi="ar-SA"/>
                    </w:rPr>
                    <w:t>0.01</w:t>
                  </w:r>
                </w:p>
              </w:tc>
              <w:tc>
                <w:tcPr>
                  <w:tcW w:w="951" w:type="pct"/>
                  <w:noWrap w:val="0"/>
                  <w:vAlign w:val="center"/>
                </w:tcPr>
                <w:p w14:paraId="72459EE4">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900-041-49</w:t>
                  </w:r>
                </w:p>
              </w:tc>
              <w:tc>
                <w:tcPr>
                  <w:tcW w:w="1530" w:type="pct"/>
                  <w:noWrap w:val="0"/>
                  <w:vAlign w:val="center"/>
                </w:tcPr>
                <w:p w14:paraId="24976C41">
                  <w:pPr>
                    <w:pStyle w:val="94"/>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由厂家负责交有资质的单位处置，站内不暂存</w:t>
                  </w:r>
                </w:p>
              </w:tc>
            </w:tr>
            <w:tr w14:paraId="6BCE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noWrap w:val="0"/>
                  <w:vAlign w:val="center"/>
                </w:tcPr>
                <w:p w14:paraId="435A9F4F">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生活垃圾</w:t>
                  </w:r>
                </w:p>
              </w:tc>
              <w:tc>
                <w:tcPr>
                  <w:tcW w:w="698" w:type="pct"/>
                  <w:noWrap w:val="0"/>
                  <w:vAlign w:val="center"/>
                </w:tcPr>
                <w:p w14:paraId="0B056E0F">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生活垃圾</w:t>
                  </w:r>
                </w:p>
              </w:tc>
              <w:tc>
                <w:tcPr>
                  <w:tcW w:w="592" w:type="pct"/>
                  <w:noWrap w:val="0"/>
                  <w:vAlign w:val="center"/>
                </w:tcPr>
                <w:p w14:paraId="1BFA8AEA">
                  <w:pPr>
                    <w:pStyle w:val="94"/>
                    <w:rPr>
                      <w:rFonts w:hint="default" w:ascii="Times New Roman" w:hAnsi="Times New Roman" w:eastAsia="宋体" w:cs="Times New Roman"/>
                      <w:color w:val="auto"/>
                      <w:sz w:val="22"/>
                      <w:szCs w:val="22"/>
                      <w:lang w:val="en-US" w:eastAsia="zh-CN"/>
                    </w:rPr>
                  </w:pPr>
                  <w:r>
                    <w:rPr>
                      <w:rFonts w:hint="eastAsia" w:eastAsia="宋体" w:cs="Times New Roman"/>
                      <w:color w:val="auto"/>
                      <w:sz w:val="22"/>
                      <w:szCs w:val="22"/>
                      <w:lang w:val="en-US" w:eastAsia="zh-CN"/>
                    </w:rPr>
                    <w:t>8.395</w:t>
                  </w:r>
                </w:p>
              </w:tc>
              <w:tc>
                <w:tcPr>
                  <w:tcW w:w="626" w:type="pct"/>
                  <w:noWrap w:val="0"/>
                  <w:vAlign w:val="center"/>
                </w:tcPr>
                <w:p w14:paraId="197C126E">
                  <w:pPr>
                    <w:pStyle w:val="94"/>
                    <w:ind w:firstLine="0" w:firstLineChars="0"/>
                    <w:rPr>
                      <w:rFonts w:hint="default" w:ascii="Times New Roman" w:hAnsi="Times New Roman" w:eastAsia="宋体" w:cs="Times New Roman"/>
                      <w:color w:val="auto"/>
                      <w:sz w:val="22"/>
                      <w:szCs w:val="22"/>
                      <w:lang w:val="en-US" w:eastAsia="zh-CN"/>
                    </w:rPr>
                  </w:pPr>
                  <w:r>
                    <w:rPr>
                      <w:rFonts w:hint="eastAsia" w:eastAsia="宋体" w:cs="Times New Roman"/>
                      <w:color w:val="auto"/>
                      <w:sz w:val="22"/>
                      <w:szCs w:val="22"/>
                      <w:lang w:val="en-US" w:eastAsia="zh-CN"/>
                    </w:rPr>
                    <w:t>8.395</w:t>
                  </w:r>
                </w:p>
              </w:tc>
              <w:tc>
                <w:tcPr>
                  <w:tcW w:w="951" w:type="pct"/>
                  <w:noWrap w:val="0"/>
                  <w:vAlign w:val="center"/>
                </w:tcPr>
                <w:p w14:paraId="227000A3">
                  <w:pPr>
                    <w:pStyle w:val="94"/>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900-099-S64</w:t>
                  </w:r>
                </w:p>
              </w:tc>
              <w:tc>
                <w:tcPr>
                  <w:tcW w:w="1530" w:type="pct"/>
                  <w:noWrap w:val="0"/>
                  <w:vAlign w:val="center"/>
                </w:tcPr>
                <w:p w14:paraId="4FFD1370">
                  <w:pPr>
                    <w:pStyle w:val="94"/>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交由当地环卫部门统一清运处置</w:t>
                  </w:r>
                </w:p>
              </w:tc>
            </w:tr>
          </w:tbl>
          <w:p w14:paraId="1580DEED">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rFonts w:hint="default" w:ascii="Times New Roman" w:hAnsi="Times New Roman" w:cs="Times New Roman"/>
                <w:color w:val="auto"/>
                <w:sz w:val="26"/>
                <w:szCs w:val="26"/>
              </w:rPr>
            </w:pPr>
            <w:r>
              <w:rPr>
                <w:rFonts w:hint="default" w:ascii="Times New Roman" w:hAnsi="Times New Roman" w:cs="Times New Roman"/>
                <w:b w:val="0"/>
                <w:bCs w:val="0"/>
                <w:color w:val="auto"/>
                <w:sz w:val="22"/>
                <w:szCs w:val="22"/>
              </w:rPr>
              <w:t>表4</w:t>
            </w:r>
            <w:r>
              <w:rPr>
                <w:rFonts w:hint="default" w:ascii="Times New Roman" w:hAnsi="Times New Roman" w:cs="Times New Roman"/>
                <w:b w:val="0"/>
                <w:bCs w:val="0"/>
                <w:color w:val="auto"/>
                <w:sz w:val="22"/>
                <w:szCs w:val="22"/>
                <w:lang w:val="en-US" w:eastAsia="zh-CN"/>
              </w:rPr>
              <w:t>.2-</w:t>
            </w:r>
            <w:r>
              <w:rPr>
                <w:rFonts w:hint="eastAsia" w:cs="Times New Roman"/>
                <w:b w:val="0"/>
                <w:bCs w:val="0"/>
                <w:color w:val="auto"/>
                <w:sz w:val="22"/>
                <w:szCs w:val="22"/>
                <w:lang w:val="en-US" w:eastAsia="zh-CN"/>
              </w:rPr>
              <w:t xml:space="preserve">18 </w:t>
            </w:r>
            <w:r>
              <w:rPr>
                <w:rFonts w:hint="default" w:ascii="Times New Roman" w:hAnsi="Times New Roman" w:cs="Times New Roman"/>
                <w:b w:val="0"/>
                <w:bCs w:val="0"/>
                <w:color w:val="auto"/>
                <w:sz w:val="22"/>
                <w:szCs w:val="22"/>
                <w:lang w:val="en-US" w:eastAsia="zh-CN"/>
              </w:rPr>
              <w:t xml:space="preserve"> </w:t>
            </w:r>
            <w:r>
              <w:rPr>
                <w:rFonts w:hint="default" w:ascii="Times New Roman" w:hAnsi="Times New Roman" w:cs="Times New Roman"/>
                <w:b w:val="0"/>
                <w:bCs w:val="0"/>
                <w:color w:val="auto"/>
                <w:sz w:val="22"/>
                <w:szCs w:val="22"/>
              </w:rPr>
              <w:t>建设项目危险废物汇总情况表</w:t>
            </w:r>
          </w:p>
          <w:tbl>
            <w:tblPr>
              <w:tblStyle w:val="17"/>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774"/>
              <w:gridCol w:w="660"/>
              <w:gridCol w:w="841"/>
              <w:gridCol w:w="834"/>
              <w:gridCol w:w="831"/>
              <w:gridCol w:w="515"/>
              <w:gridCol w:w="514"/>
              <w:gridCol w:w="514"/>
              <w:gridCol w:w="493"/>
              <w:gridCol w:w="450"/>
              <w:gridCol w:w="1105"/>
            </w:tblGrid>
            <w:tr w14:paraId="3675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3" w:hRule="atLeast"/>
                <w:jc w:val="center"/>
              </w:trPr>
              <w:tc>
                <w:tcPr>
                  <w:tcW w:w="273" w:type="pct"/>
                  <w:noWrap w:val="0"/>
                  <w:vAlign w:val="center"/>
                </w:tcPr>
                <w:p w14:paraId="69DEF179">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序号</w:t>
                  </w:r>
                </w:p>
              </w:tc>
              <w:tc>
                <w:tcPr>
                  <w:tcW w:w="485" w:type="pct"/>
                  <w:noWrap w:val="0"/>
                  <w:vAlign w:val="center"/>
                </w:tcPr>
                <w:p w14:paraId="75AD084D">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危险废物名称</w:t>
                  </w:r>
                </w:p>
              </w:tc>
              <w:tc>
                <w:tcPr>
                  <w:tcW w:w="414" w:type="pct"/>
                  <w:noWrap w:val="0"/>
                  <w:vAlign w:val="center"/>
                </w:tcPr>
                <w:p w14:paraId="70E324B7">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危险废物类别</w:t>
                  </w:r>
                </w:p>
              </w:tc>
              <w:tc>
                <w:tcPr>
                  <w:tcW w:w="527" w:type="pct"/>
                  <w:noWrap w:val="0"/>
                  <w:vAlign w:val="center"/>
                </w:tcPr>
                <w:p w14:paraId="1FFE92F5">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危险废物代码</w:t>
                  </w:r>
                </w:p>
              </w:tc>
              <w:tc>
                <w:tcPr>
                  <w:tcW w:w="523" w:type="pct"/>
                  <w:noWrap w:val="0"/>
                  <w:vAlign w:val="center"/>
                </w:tcPr>
                <w:p w14:paraId="1AE9BA42">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产生量（t/a）</w:t>
                  </w:r>
                </w:p>
              </w:tc>
              <w:tc>
                <w:tcPr>
                  <w:tcW w:w="521" w:type="pct"/>
                  <w:noWrap w:val="0"/>
                  <w:vAlign w:val="center"/>
                </w:tcPr>
                <w:p w14:paraId="73A942AB">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产生工序及装置</w:t>
                  </w:r>
                </w:p>
              </w:tc>
              <w:tc>
                <w:tcPr>
                  <w:tcW w:w="323" w:type="pct"/>
                  <w:noWrap w:val="0"/>
                  <w:vAlign w:val="center"/>
                </w:tcPr>
                <w:p w14:paraId="5CFFE965">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形态</w:t>
                  </w:r>
                </w:p>
              </w:tc>
              <w:tc>
                <w:tcPr>
                  <w:tcW w:w="322" w:type="pct"/>
                  <w:noWrap w:val="0"/>
                  <w:vAlign w:val="center"/>
                </w:tcPr>
                <w:p w14:paraId="25899BA8">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主要成分</w:t>
                  </w:r>
                </w:p>
              </w:tc>
              <w:tc>
                <w:tcPr>
                  <w:tcW w:w="322" w:type="pct"/>
                  <w:noWrap w:val="0"/>
                  <w:vAlign w:val="center"/>
                </w:tcPr>
                <w:p w14:paraId="406E54D4">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有害成分</w:t>
                  </w:r>
                </w:p>
              </w:tc>
              <w:tc>
                <w:tcPr>
                  <w:tcW w:w="309" w:type="pct"/>
                  <w:noWrap w:val="0"/>
                  <w:vAlign w:val="center"/>
                </w:tcPr>
                <w:p w14:paraId="4C340E60">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产废周期</w:t>
                  </w:r>
                </w:p>
              </w:tc>
              <w:tc>
                <w:tcPr>
                  <w:tcW w:w="282" w:type="pct"/>
                  <w:noWrap w:val="0"/>
                  <w:vAlign w:val="center"/>
                </w:tcPr>
                <w:p w14:paraId="78F31C9A">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危险特性</w:t>
                  </w:r>
                </w:p>
              </w:tc>
              <w:tc>
                <w:tcPr>
                  <w:tcW w:w="693" w:type="pct"/>
                  <w:noWrap w:val="0"/>
                  <w:vAlign w:val="center"/>
                </w:tcPr>
                <w:p w14:paraId="43CBD497">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污染防治措施</w:t>
                  </w:r>
                </w:p>
              </w:tc>
            </w:tr>
            <w:tr w14:paraId="485F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273" w:type="pct"/>
                  <w:noWrap w:val="0"/>
                  <w:vAlign w:val="center"/>
                </w:tcPr>
                <w:p w14:paraId="582BD44D">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sz w:val="22"/>
                      <w:szCs w:val="22"/>
                      <w:lang w:val="en-US" w:eastAsia="zh-CN"/>
                    </w:rPr>
                    <w:t>1</w:t>
                  </w:r>
                </w:p>
              </w:tc>
              <w:tc>
                <w:tcPr>
                  <w:tcW w:w="485" w:type="pct"/>
                  <w:noWrap w:val="0"/>
                  <w:vAlign w:val="center"/>
                </w:tcPr>
                <w:p w14:paraId="629FD889">
                  <w:pPr>
                    <w:pStyle w:val="94"/>
                    <w:ind w:firstLine="0" w:firstLineChars="0"/>
                    <w:rPr>
                      <w:rFonts w:hint="default" w:ascii="Times New Roman" w:hAnsi="Times New Roman" w:cs="Times New Roman"/>
                      <w:color w:val="auto"/>
                      <w:sz w:val="22"/>
                      <w:szCs w:val="22"/>
                    </w:rPr>
                  </w:pPr>
                  <w:r>
                    <w:rPr>
                      <w:rFonts w:hint="eastAsia" w:ascii="Times New Roman" w:hAnsi="Times New Roman" w:eastAsia="宋体" w:cs="Times New Roman"/>
                      <w:color w:val="auto"/>
                      <w:kern w:val="0"/>
                      <w:sz w:val="22"/>
                      <w:szCs w:val="22"/>
                      <w:lang w:val="en-US" w:eastAsia="zh-CN" w:bidi="ar-SA"/>
                    </w:rPr>
                    <w:t>清罐废物</w:t>
                  </w:r>
                </w:p>
              </w:tc>
              <w:tc>
                <w:tcPr>
                  <w:tcW w:w="414" w:type="pct"/>
                  <w:noWrap w:val="0"/>
                  <w:vAlign w:val="center"/>
                </w:tcPr>
                <w:p w14:paraId="1262841B">
                  <w:pPr>
                    <w:pStyle w:val="94"/>
                    <w:bidi w:val="0"/>
                    <w:jc w:val="center"/>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rPr>
                    <w:t>HW</w:t>
                  </w:r>
                  <w:r>
                    <w:rPr>
                      <w:rFonts w:hint="default" w:ascii="Times New Roman" w:hAnsi="Times New Roman" w:cs="Times New Roman"/>
                      <w:color w:val="auto"/>
                      <w:sz w:val="22"/>
                      <w:szCs w:val="22"/>
                      <w:lang w:val="en-US" w:eastAsia="zh-CN"/>
                    </w:rPr>
                    <w:t>08</w:t>
                  </w:r>
                </w:p>
              </w:tc>
              <w:tc>
                <w:tcPr>
                  <w:tcW w:w="527" w:type="pct"/>
                  <w:noWrap w:val="0"/>
                  <w:vAlign w:val="center"/>
                </w:tcPr>
                <w:p w14:paraId="68D556CE">
                  <w:pPr>
                    <w:pStyle w:val="94"/>
                    <w:ind w:firstLine="0" w:firstLineChars="0"/>
                    <w:rPr>
                      <w:rFonts w:hint="default" w:ascii="Times New Roman" w:hAnsi="Times New Roman" w:cs="Times New Roman"/>
                      <w:color w:val="auto"/>
                      <w:sz w:val="22"/>
                      <w:szCs w:val="22"/>
                    </w:rPr>
                  </w:pPr>
                  <w:r>
                    <w:rPr>
                      <w:rFonts w:hint="default" w:ascii="Times New Roman" w:hAnsi="Times New Roman" w:eastAsia="宋体" w:cs="Times New Roman"/>
                      <w:color w:val="auto"/>
                      <w:kern w:val="0"/>
                      <w:sz w:val="22"/>
                      <w:szCs w:val="22"/>
                      <w:lang w:val="en-US" w:eastAsia="zh-CN" w:bidi="ar-SA"/>
                    </w:rPr>
                    <w:t>900-2</w:t>
                  </w:r>
                  <w:r>
                    <w:rPr>
                      <w:rFonts w:hint="eastAsia" w:ascii="Times New Roman" w:hAnsi="Times New Roman" w:eastAsia="宋体" w:cs="Times New Roman"/>
                      <w:color w:val="auto"/>
                      <w:kern w:val="0"/>
                      <w:sz w:val="22"/>
                      <w:szCs w:val="22"/>
                      <w:lang w:val="en-US" w:eastAsia="zh-CN" w:bidi="ar-SA"/>
                    </w:rPr>
                    <w:t>21</w:t>
                  </w:r>
                  <w:r>
                    <w:rPr>
                      <w:rFonts w:hint="default" w:ascii="Times New Roman" w:hAnsi="Times New Roman" w:eastAsia="宋体" w:cs="Times New Roman"/>
                      <w:color w:val="auto"/>
                      <w:kern w:val="0"/>
                      <w:sz w:val="22"/>
                      <w:szCs w:val="22"/>
                      <w:lang w:val="en-US" w:eastAsia="zh-CN" w:bidi="ar-SA"/>
                    </w:rPr>
                    <w:t>-08</w:t>
                  </w:r>
                </w:p>
              </w:tc>
              <w:tc>
                <w:tcPr>
                  <w:tcW w:w="523" w:type="pct"/>
                  <w:noWrap w:val="0"/>
                  <w:vAlign w:val="center"/>
                </w:tcPr>
                <w:p w14:paraId="67E55AB5">
                  <w:pPr>
                    <w:pStyle w:val="94"/>
                    <w:ind w:firstLine="0" w:firstLineChars="0"/>
                    <w:rPr>
                      <w:rFonts w:hint="default" w:ascii="Times New Roman" w:hAnsi="Times New Roman" w:cs="Times New Roman"/>
                      <w:color w:val="auto"/>
                      <w:sz w:val="22"/>
                      <w:szCs w:val="22"/>
                      <w:lang w:val="en-US" w:eastAsia="zh-CN"/>
                    </w:rPr>
                  </w:pPr>
                  <w:r>
                    <w:rPr>
                      <w:rFonts w:hint="eastAsia" w:eastAsia="宋体" w:cs="Times New Roman"/>
                      <w:color w:val="auto"/>
                      <w:kern w:val="0"/>
                      <w:sz w:val="22"/>
                      <w:szCs w:val="22"/>
                      <w:lang w:val="en-US" w:eastAsia="zh-CN" w:bidi="ar-SA"/>
                    </w:rPr>
                    <w:t>0.4</w:t>
                  </w:r>
                </w:p>
              </w:tc>
              <w:tc>
                <w:tcPr>
                  <w:tcW w:w="521" w:type="pct"/>
                  <w:noWrap w:val="0"/>
                  <w:vAlign w:val="center"/>
                </w:tcPr>
                <w:p w14:paraId="0050CF7C">
                  <w:pPr>
                    <w:pStyle w:val="94"/>
                    <w:bidi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油罐清洗</w:t>
                  </w:r>
                </w:p>
              </w:tc>
              <w:tc>
                <w:tcPr>
                  <w:tcW w:w="323" w:type="pct"/>
                  <w:noWrap w:val="0"/>
                  <w:vAlign w:val="center"/>
                </w:tcPr>
                <w:p w14:paraId="4AA46D05">
                  <w:pPr>
                    <w:pStyle w:val="94"/>
                    <w:bidi w:val="0"/>
                    <w:jc w:val="center"/>
                    <w:rPr>
                      <w:rFonts w:hint="default" w:ascii="Times New Roman" w:hAnsi="Times New Roman" w:cs="Times New Roman"/>
                      <w:color w:val="auto"/>
                      <w:sz w:val="22"/>
                      <w:szCs w:val="22"/>
                      <w:lang w:val="en-US"/>
                    </w:rPr>
                  </w:pPr>
                  <w:r>
                    <w:rPr>
                      <w:rFonts w:hint="eastAsia" w:cs="Times New Roman"/>
                      <w:color w:val="auto"/>
                      <w:sz w:val="22"/>
                      <w:szCs w:val="22"/>
                      <w:lang w:val="en-US" w:eastAsia="zh-CN"/>
                    </w:rPr>
                    <w:t>液态</w:t>
                  </w:r>
                </w:p>
              </w:tc>
              <w:tc>
                <w:tcPr>
                  <w:tcW w:w="322" w:type="pct"/>
                  <w:noWrap w:val="0"/>
                  <w:vAlign w:val="center"/>
                </w:tcPr>
                <w:p w14:paraId="21137864">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矿物油</w:t>
                  </w:r>
                </w:p>
              </w:tc>
              <w:tc>
                <w:tcPr>
                  <w:tcW w:w="322" w:type="pct"/>
                  <w:noWrap w:val="0"/>
                  <w:vAlign w:val="center"/>
                </w:tcPr>
                <w:p w14:paraId="62777AC3">
                  <w:pPr>
                    <w:pStyle w:val="94"/>
                    <w:bidi w:val="0"/>
                    <w:jc w:val="center"/>
                    <w:rPr>
                      <w:rFonts w:hint="default" w:ascii="Times New Roman" w:hAnsi="Times New Roman" w:eastAsia="宋体" w:cs="Times New Roman"/>
                      <w:color w:val="auto"/>
                      <w:sz w:val="22"/>
                      <w:szCs w:val="22"/>
                      <w:lang w:eastAsia="zh-CN"/>
                    </w:rPr>
                  </w:pPr>
                  <w:r>
                    <w:rPr>
                      <w:rFonts w:hint="default" w:ascii="Times New Roman" w:hAnsi="Times New Roman" w:cs="Times New Roman"/>
                      <w:color w:val="auto"/>
                      <w:sz w:val="22"/>
                      <w:szCs w:val="22"/>
                    </w:rPr>
                    <w:t>矿物油</w:t>
                  </w:r>
                </w:p>
              </w:tc>
              <w:tc>
                <w:tcPr>
                  <w:tcW w:w="309" w:type="pct"/>
                  <w:noWrap w:val="0"/>
                  <w:vAlign w:val="center"/>
                </w:tcPr>
                <w:p w14:paraId="73EB4F6C">
                  <w:pPr>
                    <w:pStyle w:val="94"/>
                    <w:bidi w:val="0"/>
                    <w:jc w:val="center"/>
                    <w:rPr>
                      <w:rFonts w:hint="default" w:ascii="Times New Roman" w:hAnsi="Times New Roman" w:cs="Times New Roman"/>
                      <w:color w:val="auto"/>
                      <w:sz w:val="22"/>
                      <w:szCs w:val="22"/>
                      <w:lang w:eastAsia="zh-CN"/>
                    </w:rPr>
                  </w:pPr>
                  <w:r>
                    <w:rPr>
                      <w:rFonts w:hint="default" w:ascii="Times New Roman" w:hAnsi="Times New Roman" w:cs="Times New Roman"/>
                      <w:color w:val="auto"/>
                      <w:sz w:val="22"/>
                      <w:szCs w:val="22"/>
                      <w:lang w:val="en-US" w:eastAsia="zh-CN"/>
                    </w:rPr>
                    <w:t>不定</w:t>
                  </w:r>
                </w:p>
              </w:tc>
              <w:tc>
                <w:tcPr>
                  <w:tcW w:w="282" w:type="pct"/>
                  <w:noWrap w:val="0"/>
                  <w:vAlign w:val="center"/>
                </w:tcPr>
                <w:p w14:paraId="70D98185">
                  <w:pPr>
                    <w:pStyle w:val="94"/>
                    <w:ind w:firstLine="0" w:firstLineChars="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T，I</w:t>
                  </w:r>
                </w:p>
              </w:tc>
              <w:tc>
                <w:tcPr>
                  <w:tcW w:w="693" w:type="pct"/>
                  <w:noWrap w:val="0"/>
                  <w:vAlign w:val="center"/>
                </w:tcPr>
                <w:p w14:paraId="558924D3">
                  <w:pPr>
                    <w:pStyle w:val="94"/>
                    <w:bidi w:val="0"/>
                    <w:jc w:val="center"/>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定期清罐，</w:t>
                  </w:r>
                  <w:r>
                    <w:rPr>
                      <w:rFonts w:hint="default" w:ascii="Times New Roman" w:hAnsi="Times New Roman" w:cs="Times New Roman"/>
                      <w:color w:val="auto"/>
                      <w:sz w:val="22"/>
                      <w:szCs w:val="22"/>
                    </w:rPr>
                    <w:t>当日由危废资质单位清运处置，不</w:t>
                  </w:r>
                  <w:r>
                    <w:rPr>
                      <w:rFonts w:hint="eastAsia" w:ascii="Times New Roman" w:hAnsi="Times New Roman" w:cs="Times New Roman"/>
                      <w:color w:val="auto"/>
                      <w:sz w:val="22"/>
                      <w:szCs w:val="22"/>
                      <w:lang w:val="en-US" w:eastAsia="zh-CN"/>
                    </w:rPr>
                    <w:t>在</w:t>
                  </w:r>
                  <w:r>
                    <w:rPr>
                      <w:rFonts w:hint="default" w:ascii="Times New Roman" w:hAnsi="Times New Roman" w:cs="Times New Roman"/>
                      <w:color w:val="auto"/>
                      <w:sz w:val="22"/>
                      <w:szCs w:val="22"/>
                    </w:rPr>
                    <w:t>站内进行暂存</w:t>
                  </w:r>
                </w:p>
              </w:tc>
            </w:tr>
            <w:tr w14:paraId="5D9F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273" w:type="pct"/>
                  <w:noWrap w:val="0"/>
                  <w:vAlign w:val="center"/>
                </w:tcPr>
                <w:p w14:paraId="348AFEA6">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kern w:val="0"/>
                      <w:sz w:val="22"/>
                      <w:szCs w:val="22"/>
                      <w:lang w:val="en-US" w:eastAsia="zh-CN" w:bidi="ar-SA"/>
                    </w:rPr>
                    <w:t>2</w:t>
                  </w:r>
                </w:p>
              </w:tc>
              <w:tc>
                <w:tcPr>
                  <w:tcW w:w="485" w:type="pct"/>
                  <w:noWrap w:val="0"/>
                  <w:vAlign w:val="center"/>
                </w:tcPr>
                <w:p w14:paraId="546F5DD8">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设备检修废物</w:t>
                  </w:r>
                </w:p>
              </w:tc>
              <w:tc>
                <w:tcPr>
                  <w:tcW w:w="414" w:type="pct"/>
                  <w:noWrap w:val="0"/>
                  <w:vAlign w:val="center"/>
                </w:tcPr>
                <w:p w14:paraId="344A82E7">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HW</w:t>
                  </w:r>
                  <w:r>
                    <w:rPr>
                      <w:rFonts w:hint="eastAsia" w:ascii="Times New Roman" w:hAnsi="Times New Roman" w:cs="Times New Roman"/>
                      <w:color w:val="auto"/>
                      <w:sz w:val="22"/>
                      <w:szCs w:val="22"/>
                      <w:lang w:val="en-US" w:eastAsia="zh-CN"/>
                    </w:rPr>
                    <w:t>08</w:t>
                  </w:r>
                </w:p>
              </w:tc>
              <w:tc>
                <w:tcPr>
                  <w:tcW w:w="527" w:type="pct"/>
                  <w:noWrap w:val="0"/>
                  <w:vAlign w:val="center"/>
                </w:tcPr>
                <w:p w14:paraId="754F9750">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w:t>
                  </w:r>
                  <w:r>
                    <w:rPr>
                      <w:rFonts w:hint="eastAsia" w:ascii="Times New Roman" w:hAnsi="Times New Roman" w:eastAsia="宋体" w:cs="Times New Roman"/>
                      <w:color w:val="auto"/>
                      <w:kern w:val="0"/>
                      <w:sz w:val="22"/>
                      <w:szCs w:val="22"/>
                      <w:lang w:val="en-US" w:eastAsia="zh-CN" w:bidi="ar-SA"/>
                    </w:rPr>
                    <w:t>249</w:t>
                  </w:r>
                  <w:r>
                    <w:rPr>
                      <w:rFonts w:hint="default" w:ascii="Times New Roman" w:hAnsi="Times New Roman" w:eastAsia="宋体" w:cs="Times New Roman"/>
                      <w:color w:val="auto"/>
                      <w:kern w:val="0"/>
                      <w:sz w:val="22"/>
                      <w:szCs w:val="22"/>
                      <w:lang w:val="en-US" w:eastAsia="zh-CN" w:bidi="ar-SA"/>
                    </w:rPr>
                    <w:t>-</w:t>
                  </w:r>
                  <w:r>
                    <w:rPr>
                      <w:rFonts w:hint="eastAsia" w:ascii="Times New Roman" w:hAnsi="Times New Roman" w:eastAsia="宋体" w:cs="Times New Roman"/>
                      <w:color w:val="auto"/>
                      <w:kern w:val="0"/>
                      <w:sz w:val="22"/>
                      <w:szCs w:val="22"/>
                      <w:lang w:val="en-US" w:eastAsia="zh-CN" w:bidi="ar-SA"/>
                    </w:rPr>
                    <w:t>08</w:t>
                  </w:r>
                </w:p>
              </w:tc>
              <w:tc>
                <w:tcPr>
                  <w:tcW w:w="523" w:type="pct"/>
                  <w:noWrap w:val="0"/>
                  <w:vAlign w:val="center"/>
                </w:tcPr>
                <w:p w14:paraId="087A2AB7">
                  <w:pPr>
                    <w:pStyle w:val="94"/>
                    <w:ind w:firstLine="0" w:firstLineChars="0"/>
                    <w:rPr>
                      <w:rFonts w:hint="eastAsia"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0.</w:t>
                  </w:r>
                  <w:r>
                    <w:rPr>
                      <w:rFonts w:hint="eastAsia" w:ascii="Times New Roman" w:hAnsi="Times New Roman" w:eastAsia="宋体" w:cs="Times New Roman"/>
                      <w:color w:val="auto"/>
                      <w:kern w:val="0"/>
                      <w:sz w:val="22"/>
                      <w:szCs w:val="22"/>
                      <w:lang w:val="en-US" w:eastAsia="zh-CN" w:bidi="ar-SA"/>
                    </w:rPr>
                    <w:t>4</w:t>
                  </w:r>
                </w:p>
              </w:tc>
              <w:tc>
                <w:tcPr>
                  <w:tcW w:w="521" w:type="pct"/>
                  <w:noWrap w:val="0"/>
                  <w:vAlign w:val="center"/>
                </w:tcPr>
                <w:p w14:paraId="1BCF9517">
                  <w:pPr>
                    <w:pStyle w:val="94"/>
                    <w:ind w:firstLine="0" w:firstLineChars="0"/>
                    <w:rPr>
                      <w:rFonts w:hint="eastAsia" w:ascii="Times New Roman" w:hAnsi="Times New Roman" w:eastAsia="宋体" w:cs="Times New Roman"/>
                      <w:color w:val="auto"/>
                      <w:kern w:val="0"/>
                      <w:sz w:val="22"/>
                      <w:szCs w:val="22"/>
                      <w:lang w:val="en-US" w:eastAsia="zh-CN" w:bidi="ar-SA"/>
                    </w:rPr>
                  </w:pPr>
                  <w:r>
                    <w:rPr>
                      <w:rFonts w:hint="eastAsia" w:cs="Times New Roman"/>
                      <w:color w:val="auto"/>
                      <w:sz w:val="22"/>
                      <w:szCs w:val="22"/>
                      <w:lang w:val="en-US" w:eastAsia="zh-CN"/>
                    </w:rPr>
                    <w:t>加油机、管线等设备检修维护</w:t>
                  </w:r>
                  <w:r>
                    <w:rPr>
                      <w:rFonts w:hint="default" w:ascii="Times New Roman" w:hAnsi="Times New Roman" w:cs="Times New Roman"/>
                      <w:color w:val="auto"/>
                      <w:sz w:val="22"/>
                      <w:szCs w:val="22"/>
                      <w:lang w:val="en-US" w:eastAsia="zh-CN"/>
                    </w:rPr>
                    <w:t>过程</w:t>
                  </w:r>
                </w:p>
              </w:tc>
              <w:tc>
                <w:tcPr>
                  <w:tcW w:w="323" w:type="pct"/>
                  <w:noWrap w:val="0"/>
                  <w:vAlign w:val="center"/>
                </w:tcPr>
                <w:p w14:paraId="2AA90C4B">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固体</w:t>
                  </w:r>
                  <w:r>
                    <w:rPr>
                      <w:rFonts w:hint="eastAsia" w:ascii="Times New Roman" w:hAnsi="Times New Roman" w:cs="Times New Roman"/>
                      <w:color w:val="auto"/>
                      <w:sz w:val="22"/>
                      <w:szCs w:val="22"/>
                      <w:lang w:val="en-US" w:eastAsia="zh-CN"/>
                    </w:rPr>
                    <w:t>/液态</w:t>
                  </w:r>
                </w:p>
              </w:tc>
              <w:tc>
                <w:tcPr>
                  <w:tcW w:w="322" w:type="pct"/>
                  <w:noWrap w:val="0"/>
                  <w:vAlign w:val="center"/>
                </w:tcPr>
                <w:p w14:paraId="6E45169E">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矿物油</w:t>
                  </w:r>
                </w:p>
              </w:tc>
              <w:tc>
                <w:tcPr>
                  <w:tcW w:w="322" w:type="pct"/>
                  <w:noWrap w:val="0"/>
                  <w:vAlign w:val="center"/>
                </w:tcPr>
                <w:p w14:paraId="2E520F7B">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矿物油</w:t>
                  </w:r>
                </w:p>
              </w:tc>
              <w:tc>
                <w:tcPr>
                  <w:tcW w:w="309" w:type="pct"/>
                  <w:noWrap w:val="0"/>
                  <w:vAlign w:val="center"/>
                </w:tcPr>
                <w:p w14:paraId="34454D4A">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eastAsia="zh-CN"/>
                    </w:rPr>
                    <w:t>不定</w:t>
                  </w:r>
                </w:p>
              </w:tc>
              <w:tc>
                <w:tcPr>
                  <w:tcW w:w="282" w:type="pct"/>
                  <w:noWrap w:val="0"/>
                  <w:vAlign w:val="center"/>
                </w:tcPr>
                <w:p w14:paraId="78AD25D9">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T/In</w:t>
                  </w:r>
                </w:p>
              </w:tc>
              <w:tc>
                <w:tcPr>
                  <w:tcW w:w="693" w:type="pct"/>
                  <w:noWrap w:val="0"/>
                  <w:vAlign w:val="center"/>
                </w:tcPr>
                <w:p w14:paraId="12DC4131">
                  <w:pPr>
                    <w:pStyle w:val="94"/>
                    <w:bidi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暂存于危废</w:t>
                  </w:r>
                  <w:r>
                    <w:rPr>
                      <w:rFonts w:hint="eastAsia" w:cs="Times New Roman"/>
                      <w:color w:val="auto"/>
                      <w:sz w:val="22"/>
                      <w:szCs w:val="22"/>
                      <w:lang w:val="en-US" w:eastAsia="zh-CN"/>
                    </w:rPr>
                    <w:t>贮存点</w:t>
                  </w:r>
                  <w:r>
                    <w:rPr>
                      <w:rFonts w:hint="default" w:ascii="Times New Roman" w:hAnsi="Times New Roman" w:cs="Times New Roman"/>
                      <w:color w:val="auto"/>
                      <w:sz w:val="22"/>
                      <w:szCs w:val="22"/>
                    </w:rPr>
                    <w:t>，设托盘、</w:t>
                  </w:r>
                  <w:r>
                    <w:rPr>
                      <w:rFonts w:hint="default" w:ascii="Times New Roman" w:hAnsi="Times New Roman" w:cs="Times New Roman"/>
                      <w:color w:val="auto"/>
                      <w:sz w:val="22"/>
                      <w:szCs w:val="22"/>
                      <w:lang w:val="en-US" w:eastAsia="zh-CN"/>
                    </w:rPr>
                    <w:t>六</w:t>
                  </w:r>
                  <w:r>
                    <w:rPr>
                      <w:rFonts w:hint="default" w:ascii="Times New Roman" w:hAnsi="Times New Roman" w:cs="Times New Roman"/>
                      <w:color w:val="auto"/>
                      <w:sz w:val="22"/>
                      <w:szCs w:val="22"/>
                    </w:rPr>
                    <w:t>防设施，定期交由具有危险废物处置资质单位处理</w:t>
                  </w:r>
                </w:p>
              </w:tc>
            </w:tr>
            <w:tr w14:paraId="4597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273" w:type="pct"/>
                  <w:noWrap w:val="0"/>
                  <w:vAlign w:val="center"/>
                </w:tcPr>
                <w:p w14:paraId="5F090DBF">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eastAsia" w:eastAsia="宋体" w:cs="Times New Roman"/>
                      <w:color w:val="auto"/>
                      <w:kern w:val="0"/>
                      <w:sz w:val="22"/>
                      <w:szCs w:val="22"/>
                      <w:lang w:val="en-US" w:eastAsia="zh-CN" w:bidi="ar-SA"/>
                    </w:rPr>
                    <w:t>3</w:t>
                  </w:r>
                </w:p>
              </w:tc>
              <w:tc>
                <w:tcPr>
                  <w:tcW w:w="485" w:type="pct"/>
                  <w:noWrap w:val="0"/>
                  <w:vAlign w:val="center"/>
                </w:tcPr>
                <w:p w14:paraId="056BA225">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隔油</w:t>
                  </w:r>
                  <w:r>
                    <w:rPr>
                      <w:rFonts w:hint="eastAsia" w:ascii="Times New Roman" w:hAnsi="Times New Roman" w:cs="Times New Roman"/>
                      <w:color w:val="auto"/>
                      <w:sz w:val="22"/>
                      <w:szCs w:val="22"/>
                      <w:lang w:val="en-US" w:eastAsia="zh-CN"/>
                    </w:rPr>
                    <w:t>池</w:t>
                  </w:r>
                  <w:r>
                    <w:rPr>
                      <w:rFonts w:hint="eastAsia" w:cs="Times New Roman"/>
                      <w:color w:val="auto"/>
                      <w:sz w:val="22"/>
                      <w:szCs w:val="22"/>
                      <w:lang w:val="en-US" w:eastAsia="zh-CN"/>
                    </w:rPr>
                    <w:t>浮油及</w:t>
                  </w:r>
                  <w:r>
                    <w:rPr>
                      <w:rFonts w:hint="eastAsia" w:ascii="Times New Roman" w:hAnsi="Times New Roman" w:cs="Times New Roman"/>
                      <w:color w:val="auto"/>
                      <w:sz w:val="22"/>
                      <w:szCs w:val="22"/>
                      <w:lang w:val="en-US" w:eastAsia="zh-CN"/>
                    </w:rPr>
                    <w:t>含油污泥</w:t>
                  </w:r>
                </w:p>
              </w:tc>
              <w:tc>
                <w:tcPr>
                  <w:tcW w:w="414" w:type="pct"/>
                  <w:noWrap w:val="0"/>
                  <w:vAlign w:val="center"/>
                </w:tcPr>
                <w:p w14:paraId="3BF78734">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HW</w:t>
                  </w:r>
                  <w:r>
                    <w:rPr>
                      <w:rFonts w:hint="default" w:ascii="Times New Roman" w:hAnsi="Times New Roman" w:cs="Times New Roman"/>
                      <w:color w:val="auto"/>
                      <w:sz w:val="22"/>
                      <w:szCs w:val="22"/>
                      <w:lang w:val="en-US" w:eastAsia="zh-CN"/>
                    </w:rPr>
                    <w:t>08</w:t>
                  </w:r>
                </w:p>
              </w:tc>
              <w:tc>
                <w:tcPr>
                  <w:tcW w:w="527" w:type="pct"/>
                  <w:noWrap w:val="0"/>
                  <w:vAlign w:val="center"/>
                </w:tcPr>
                <w:p w14:paraId="4A5FF309">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900-210-08</w:t>
                  </w:r>
                </w:p>
              </w:tc>
              <w:tc>
                <w:tcPr>
                  <w:tcW w:w="523" w:type="pct"/>
                  <w:noWrap w:val="0"/>
                  <w:vAlign w:val="center"/>
                </w:tcPr>
                <w:p w14:paraId="20CE0533">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kern w:val="0"/>
                      <w:sz w:val="22"/>
                      <w:szCs w:val="22"/>
                      <w:lang w:val="en-US" w:eastAsia="zh-CN" w:bidi="ar-SA"/>
                    </w:rPr>
                    <w:t>0.</w:t>
                  </w:r>
                  <w:r>
                    <w:rPr>
                      <w:rFonts w:hint="eastAsia" w:cs="Times New Roman"/>
                      <w:color w:val="auto"/>
                      <w:kern w:val="0"/>
                      <w:sz w:val="22"/>
                      <w:szCs w:val="22"/>
                      <w:lang w:val="en-US" w:eastAsia="zh-CN" w:bidi="ar-SA"/>
                    </w:rPr>
                    <w:t>1</w:t>
                  </w:r>
                </w:p>
              </w:tc>
              <w:tc>
                <w:tcPr>
                  <w:tcW w:w="521" w:type="pct"/>
                  <w:noWrap w:val="0"/>
                  <w:vAlign w:val="center"/>
                </w:tcPr>
                <w:p w14:paraId="6DDD71EC">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cs="Times New Roman"/>
                      <w:color w:val="auto"/>
                      <w:kern w:val="0"/>
                      <w:sz w:val="22"/>
                      <w:szCs w:val="22"/>
                      <w:lang w:val="en-US" w:eastAsia="zh-CN" w:bidi="ar-SA"/>
                    </w:rPr>
                    <w:t>隔油池隔油</w:t>
                  </w:r>
                </w:p>
              </w:tc>
              <w:tc>
                <w:tcPr>
                  <w:tcW w:w="323" w:type="pct"/>
                  <w:noWrap w:val="0"/>
                  <w:vAlign w:val="center"/>
                </w:tcPr>
                <w:p w14:paraId="4D2D131D">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固态</w:t>
                  </w:r>
                  <w:r>
                    <w:rPr>
                      <w:rFonts w:hint="eastAsia" w:cs="Times New Roman"/>
                      <w:color w:val="auto"/>
                      <w:sz w:val="22"/>
                      <w:szCs w:val="22"/>
                      <w:lang w:val="en-US" w:eastAsia="zh-CN"/>
                    </w:rPr>
                    <w:t>/液态</w:t>
                  </w:r>
                </w:p>
              </w:tc>
              <w:tc>
                <w:tcPr>
                  <w:tcW w:w="322" w:type="pct"/>
                  <w:noWrap w:val="0"/>
                  <w:vAlign w:val="center"/>
                </w:tcPr>
                <w:p w14:paraId="47ECA470">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矿物油</w:t>
                  </w:r>
                </w:p>
              </w:tc>
              <w:tc>
                <w:tcPr>
                  <w:tcW w:w="322" w:type="pct"/>
                  <w:noWrap w:val="0"/>
                  <w:vAlign w:val="center"/>
                </w:tcPr>
                <w:p w14:paraId="019BFA3A">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有机物</w:t>
                  </w:r>
                </w:p>
              </w:tc>
              <w:tc>
                <w:tcPr>
                  <w:tcW w:w="309" w:type="pct"/>
                  <w:noWrap w:val="0"/>
                  <w:vAlign w:val="center"/>
                </w:tcPr>
                <w:p w14:paraId="06BBFB5D">
                  <w:pPr>
                    <w:pStyle w:val="94"/>
                    <w:bidi w:val="0"/>
                    <w:ind w:firstLine="0" w:firstLineChars="0"/>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不定</w:t>
                  </w:r>
                </w:p>
              </w:tc>
              <w:tc>
                <w:tcPr>
                  <w:tcW w:w="282" w:type="pct"/>
                  <w:noWrap w:val="0"/>
                  <w:vAlign w:val="center"/>
                </w:tcPr>
                <w:p w14:paraId="4ECB97F4">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T</w:t>
                  </w:r>
                </w:p>
              </w:tc>
              <w:tc>
                <w:tcPr>
                  <w:tcW w:w="693" w:type="pct"/>
                  <w:noWrap w:val="0"/>
                  <w:vAlign w:val="center"/>
                </w:tcPr>
                <w:p w14:paraId="653EBE36">
                  <w:pPr>
                    <w:pStyle w:val="94"/>
                    <w:bidi w:val="0"/>
                    <w:jc w:val="center"/>
                    <w:rPr>
                      <w:rFonts w:hint="default" w:ascii="Times New Roman" w:hAnsi="Times New Roman" w:cs="Times New Roman"/>
                      <w:color w:val="auto"/>
                      <w:sz w:val="22"/>
                      <w:szCs w:val="22"/>
                    </w:rPr>
                  </w:pPr>
                  <w:r>
                    <w:rPr>
                      <w:rFonts w:hint="eastAsia" w:ascii="Times New Roman" w:hAnsi="Times New Roman" w:cs="Times New Roman"/>
                      <w:color w:val="auto"/>
                      <w:sz w:val="22"/>
                      <w:szCs w:val="22"/>
                      <w:lang w:val="en-US" w:eastAsia="zh-CN"/>
                    </w:rPr>
                    <w:t>定期清掏，</w:t>
                  </w:r>
                  <w:r>
                    <w:rPr>
                      <w:rFonts w:hint="default" w:ascii="Times New Roman" w:hAnsi="Times New Roman" w:cs="Times New Roman"/>
                      <w:color w:val="auto"/>
                      <w:sz w:val="22"/>
                      <w:szCs w:val="22"/>
                    </w:rPr>
                    <w:t>当日由危废资质单位清运处置，不</w:t>
                  </w:r>
                  <w:r>
                    <w:rPr>
                      <w:rFonts w:hint="eastAsia" w:ascii="Times New Roman" w:hAnsi="Times New Roman" w:cs="Times New Roman"/>
                      <w:color w:val="auto"/>
                      <w:sz w:val="22"/>
                      <w:szCs w:val="22"/>
                      <w:lang w:val="en-US" w:eastAsia="zh-CN"/>
                    </w:rPr>
                    <w:t>在</w:t>
                  </w:r>
                  <w:r>
                    <w:rPr>
                      <w:rFonts w:hint="default" w:ascii="Times New Roman" w:hAnsi="Times New Roman" w:cs="Times New Roman"/>
                      <w:color w:val="auto"/>
                      <w:sz w:val="22"/>
                      <w:szCs w:val="22"/>
                    </w:rPr>
                    <w:t>站内进行暂存</w:t>
                  </w:r>
                </w:p>
              </w:tc>
            </w:tr>
            <w:tr w14:paraId="476F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273" w:type="pct"/>
                  <w:noWrap w:val="0"/>
                  <w:vAlign w:val="center"/>
                </w:tcPr>
                <w:p w14:paraId="450E2BF8">
                  <w:pPr>
                    <w:pStyle w:val="94"/>
                    <w:bidi w:val="0"/>
                    <w:ind w:firstLine="0" w:firstLineChars="0"/>
                    <w:jc w:val="center"/>
                    <w:rPr>
                      <w:rFonts w:hint="default" w:eastAsia="宋体" w:cs="Times New Roman"/>
                      <w:color w:val="auto"/>
                      <w:kern w:val="0"/>
                      <w:sz w:val="22"/>
                      <w:szCs w:val="22"/>
                      <w:lang w:val="en-US" w:eastAsia="zh-CN" w:bidi="ar-SA"/>
                    </w:rPr>
                  </w:pPr>
                  <w:r>
                    <w:rPr>
                      <w:rFonts w:hint="eastAsia" w:cs="Times New Roman"/>
                      <w:color w:val="auto"/>
                      <w:kern w:val="0"/>
                      <w:sz w:val="22"/>
                      <w:szCs w:val="22"/>
                      <w:lang w:val="en-US" w:eastAsia="zh-CN" w:bidi="ar-SA"/>
                    </w:rPr>
                    <w:t>4</w:t>
                  </w:r>
                </w:p>
              </w:tc>
              <w:tc>
                <w:tcPr>
                  <w:tcW w:w="485" w:type="pct"/>
                  <w:noWrap w:val="0"/>
                  <w:vAlign w:val="center"/>
                </w:tcPr>
                <w:p w14:paraId="40754EB9">
                  <w:pPr>
                    <w:pStyle w:val="94"/>
                    <w:ind w:firstLine="0" w:firstLineChars="0"/>
                    <w:rPr>
                      <w:rFonts w:hint="default" w:ascii="Times New Roman" w:hAnsi="Times New Roman" w:cs="Times New Roman"/>
                      <w:color w:val="auto"/>
                      <w:sz w:val="22"/>
                      <w:szCs w:val="22"/>
                      <w:lang w:val="en-US" w:eastAsia="zh-CN"/>
                    </w:rPr>
                  </w:pPr>
                  <w:r>
                    <w:rPr>
                      <w:rFonts w:hint="default" w:ascii="Times New Roman" w:hAnsi="Times New Roman" w:eastAsia="宋体" w:cs="Times New Roman"/>
                      <w:color w:val="auto"/>
                      <w:kern w:val="0"/>
                      <w:sz w:val="22"/>
                      <w:szCs w:val="22"/>
                      <w:lang w:val="en-US" w:eastAsia="zh-CN" w:bidi="ar-SA"/>
                    </w:rPr>
                    <w:t>三次油气回收废膜组件</w:t>
                  </w:r>
                </w:p>
              </w:tc>
              <w:tc>
                <w:tcPr>
                  <w:tcW w:w="414" w:type="pct"/>
                  <w:noWrap w:val="0"/>
                  <w:vAlign w:val="center"/>
                </w:tcPr>
                <w:p w14:paraId="6DC87CD1">
                  <w:pPr>
                    <w:pStyle w:val="94"/>
                    <w:bidi w:val="0"/>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rPr>
                    <w:t>HW</w:t>
                  </w:r>
                  <w:r>
                    <w:rPr>
                      <w:rFonts w:hint="eastAsia" w:ascii="Times New Roman" w:hAnsi="Times New Roman" w:cs="Times New Roman"/>
                      <w:color w:val="auto"/>
                      <w:sz w:val="22"/>
                      <w:szCs w:val="22"/>
                      <w:lang w:val="en-US" w:eastAsia="zh-CN"/>
                    </w:rPr>
                    <w:t>49</w:t>
                  </w:r>
                </w:p>
              </w:tc>
              <w:tc>
                <w:tcPr>
                  <w:tcW w:w="527" w:type="pct"/>
                  <w:noWrap w:val="0"/>
                  <w:vAlign w:val="center"/>
                </w:tcPr>
                <w:p w14:paraId="6D34DFFE">
                  <w:pPr>
                    <w:pStyle w:val="94"/>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w:t>
                  </w:r>
                  <w:r>
                    <w:rPr>
                      <w:rFonts w:hint="eastAsia" w:cs="Times New Roman"/>
                      <w:color w:val="auto"/>
                      <w:kern w:val="0"/>
                      <w:sz w:val="22"/>
                      <w:szCs w:val="22"/>
                      <w:lang w:val="en-US" w:eastAsia="zh-CN" w:bidi="ar-SA"/>
                    </w:rPr>
                    <w:t>041</w:t>
                  </w:r>
                  <w:r>
                    <w:rPr>
                      <w:rFonts w:hint="default" w:ascii="Times New Roman" w:hAnsi="Times New Roman" w:eastAsia="宋体" w:cs="Times New Roman"/>
                      <w:color w:val="auto"/>
                      <w:kern w:val="0"/>
                      <w:sz w:val="22"/>
                      <w:szCs w:val="22"/>
                      <w:lang w:val="en-US" w:eastAsia="zh-CN" w:bidi="ar-SA"/>
                    </w:rPr>
                    <w:t>-49</w:t>
                  </w:r>
                </w:p>
              </w:tc>
              <w:tc>
                <w:tcPr>
                  <w:tcW w:w="523" w:type="pct"/>
                  <w:noWrap w:val="0"/>
                  <w:vAlign w:val="center"/>
                </w:tcPr>
                <w:p w14:paraId="4EE12221">
                  <w:pPr>
                    <w:pStyle w:val="94"/>
                    <w:ind w:firstLine="0" w:firstLineChars="0"/>
                    <w:rPr>
                      <w:rFonts w:hint="default" w:ascii="Times New Roman" w:hAnsi="Times New Roman" w:cs="Times New Roman"/>
                      <w:color w:val="auto"/>
                      <w:kern w:val="0"/>
                      <w:sz w:val="22"/>
                      <w:szCs w:val="22"/>
                      <w:lang w:val="en-US" w:eastAsia="zh-CN" w:bidi="ar-SA"/>
                    </w:rPr>
                  </w:pPr>
                  <w:r>
                    <w:rPr>
                      <w:rFonts w:hint="eastAsia" w:cs="Times New Roman"/>
                      <w:color w:val="auto"/>
                      <w:kern w:val="0"/>
                      <w:sz w:val="22"/>
                      <w:szCs w:val="22"/>
                      <w:lang w:val="en-US" w:eastAsia="zh-CN" w:bidi="ar-SA"/>
                    </w:rPr>
                    <w:t>0.01</w:t>
                  </w:r>
                </w:p>
              </w:tc>
              <w:tc>
                <w:tcPr>
                  <w:tcW w:w="521" w:type="pct"/>
                  <w:noWrap w:val="0"/>
                  <w:vAlign w:val="center"/>
                </w:tcPr>
                <w:p w14:paraId="51BF3E84">
                  <w:pPr>
                    <w:pStyle w:val="94"/>
                    <w:ind w:firstLine="0" w:firstLineChars="0"/>
                    <w:rPr>
                      <w:rFonts w:hint="default" w:ascii="Times New Roman" w:hAnsi="Times New Roman" w:cs="Times New Roman"/>
                      <w:color w:val="auto"/>
                      <w:kern w:val="0"/>
                      <w:sz w:val="22"/>
                      <w:szCs w:val="22"/>
                      <w:lang w:val="en-US" w:eastAsia="zh-CN" w:bidi="ar-SA"/>
                    </w:rPr>
                  </w:pPr>
                  <w:r>
                    <w:rPr>
                      <w:rFonts w:hint="eastAsia" w:cs="Times New Roman"/>
                      <w:color w:val="auto"/>
                      <w:kern w:val="0"/>
                      <w:sz w:val="22"/>
                      <w:szCs w:val="22"/>
                      <w:lang w:val="en-US" w:eastAsia="zh-CN" w:bidi="ar-SA"/>
                    </w:rPr>
                    <w:t>油气回收</w:t>
                  </w:r>
                </w:p>
              </w:tc>
              <w:tc>
                <w:tcPr>
                  <w:tcW w:w="323" w:type="pct"/>
                  <w:noWrap w:val="0"/>
                  <w:vAlign w:val="center"/>
                </w:tcPr>
                <w:p w14:paraId="4BED2B95">
                  <w:pPr>
                    <w:pStyle w:val="94"/>
                    <w:bidi w:val="0"/>
                    <w:ind w:firstLine="0" w:firstLineChars="0"/>
                    <w:jc w:val="center"/>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固态</w:t>
                  </w:r>
                </w:p>
              </w:tc>
              <w:tc>
                <w:tcPr>
                  <w:tcW w:w="322" w:type="pct"/>
                  <w:noWrap w:val="0"/>
                  <w:vAlign w:val="center"/>
                </w:tcPr>
                <w:p w14:paraId="4720A0E5">
                  <w:pPr>
                    <w:pStyle w:val="94"/>
                    <w:bidi w:val="0"/>
                    <w:ind w:firstLine="0" w:firstLineChars="0"/>
                    <w:jc w:val="center"/>
                    <w:rPr>
                      <w:rFonts w:hint="eastAsia"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矿物油</w:t>
                  </w:r>
                </w:p>
              </w:tc>
              <w:tc>
                <w:tcPr>
                  <w:tcW w:w="322" w:type="pct"/>
                  <w:noWrap w:val="0"/>
                  <w:vAlign w:val="center"/>
                </w:tcPr>
                <w:p w14:paraId="7036EE30">
                  <w:pPr>
                    <w:pStyle w:val="94"/>
                    <w:bidi w:val="0"/>
                    <w:ind w:firstLine="0" w:firstLineChars="0"/>
                    <w:jc w:val="center"/>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有机物</w:t>
                  </w:r>
                </w:p>
              </w:tc>
              <w:tc>
                <w:tcPr>
                  <w:tcW w:w="309" w:type="pct"/>
                  <w:noWrap w:val="0"/>
                  <w:vAlign w:val="center"/>
                </w:tcPr>
                <w:p w14:paraId="0142534E">
                  <w:pPr>
                    <w:pStyle w:val="94"/>
                    <w:bidi w:val="0"/>
                    <w:ind w:firstLine="0" w:firstLineChars="0"/>
                    <w:jc w:val="center"/>
                    <w:rPr>
                      <w:rFonts w:hint="default" w:ascii="Times New Roman" w:hAnsi="Times New Roman" w:cs="Times New Roman"/>
                      <w:color w:val="auto"/>
                      <w:sz w:val="22"/>
                      <w:szCs w:val="22"/>
                      <w:lang w:val="en-US" w:eastAsia="zh-CN"/>
                    </w:rPr>
                  </w:pPr>
                  <w:r>
                    <w:rPr>
                      <w:rFonts w:hint="eastAsia" w:cs="Times New Roman"/>
                      <w:color w:val="auto"/>
                      <w:sz w:val="22"/>
                      <w:szCs w:val="22"/>
                      <w:lang w:val="en-US" w:eastAsia="zh-CN"/>
                    </w:rPr>
                    <w:t>每年</w:t>
                  </w:r>
                </w:p>
              </w:tc>
              <w:tc>
                <w:tcPr>
                  <w:tcW w:w="282" w:type="pct"/>
                  <w:noWrap w:val="0"/>
                  <w:vAlign w:val="center"/>
                </w:tcPr>
                <w:p w14:paraId="4FD90E1F">
                  <w:pPr>
                    <w:pStyle w:val="94"/>
                    <w:ind w:firstLine="0" w:firstLineChars="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T</w:t>
                  </w:r>
                </w:p>
              </w:tc>
              <w:tc>
                <w:tcPr>
                  <w:tcW w:w="693" w:type="pct"/>
                  <w:noWrap w:val="0"/>
                  <w:vAlign w:val="center"/>
                </w:tcPr>
                <w:p w14:paraId="0A750511">
                  <w:pPr>
                    <w:pStyle w:val="94"/>
                    <w:ind w:firstLine="0" w:firstLineChars="0"/>
                    <w:rPr>
                      <w:rFonts w:hint="eastAsia"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由厂家负责交有资质的单位处置，站内不暂存</w:t>
                  </w:r>
                </w:p>
              </w:tc>
            </w:tr>
          </w:tbl>
          <w:p w14:paraId="760F87A7">
            <w:pPr>
              <w:adjustRightInd w:val="0"/>
              <w:snapToGrid w:val="0"/>
              <w:spacing w:line="460" w:lineRule="exact"/>
              <w:rPr>
                <w:bCs/>
                <w:sz w:val="26"/>
                <w:szCs w:val="26"/>
              </w:rPr>
            </w:pPr>
            <w:r>
              <w:rPr>
                <w:rFonts w:hint="eastAsia"/>
                <w:kern w:val="44"/>
                <w:sz w:val="26"/>
                <w:szCs w:val="26"/>
                <w:lang w:val="en-US" w:eastAsia="zh-CN" w:bidi="ar"/>
              </w:rPr>
              <w:t>4.2.4.2</w:t>
            </w:r>
            <w:r>
              <w:rPr>
                <w:kern w:val="44"/>
                <w:sz w:val="26"/>
                <w:szCs w:val="26"/>
                <w:lang w:bidi="ar"/>
              </w:rPr>
              <w:t>固体废物</w:t>
            </w:r>
            <w:r>
              <w:rPr>
                <w:rFonts w:hint="eastAsia"/>
                <w:kern w:val="44"/>
                <w:sz w:val="26"/>
                <w:szCs w:val="26"/>
                <w:lang w:val="en-US" w:eastAsia="zh-CN" w:bidi="ar"/>
              </w:rPr>
              <w:t>暂存措施要求</w:t>
            </w:r>
          </w:p>
          <w:p w14:paraId="4CD40EF3">
            <w:pPr>
              <w:adjustRightInd w:val="0"/>
              <w:snapToGrid w:val="0"/>
              <w:spacing w:line="460" w:lineRule="exact"/>
              <w:ind w:firstLine="520" w:firstLineChars="200"/>
              <w:rPr>
                <w:kern w:val="0"/>
                <w:sz w:val="26"/>
                <w:szCs w:val="26"/>
              </w:rPr>
            </w:pPr>
            <w:r>
              <w:rPr>
                <w:rFonts w:hint="eastAsia"/>
                <w:kern w:val="0"/>
                <w:sz w:val="26"/>
                <w:szCs w:val="26"/>
              </w:rPr>
              <w:t>本项目危险废物包括清罐废物、设备检修废物、</w:t>
            </w:r>
            <w:r>
              <w:rPr>
                <w:rFonts w:hint="eastAsia"/>
                <w:kern w:val="0"/>
                <w:sz w:val="26"/>
                <w:szCs w:val="26"/>
                <w:lang w:val="en-US" w:eastAsia="zh-CN"/>
              </w:rPr>
              <w:t>隔油池浮油及</w:t>
            </w:r>
            <w:r>
              <w:rPr>
                <w:rFonts w:hint="eastAsia"/>
                <w:kern w:val="0"/>
                <w:sz w:val="26"/>
                <w:szCs w:val="26"/>
              </w:rPr>
              <w:t>含油污泥</w:t>
            </w:r>
            <w:r>
              <w:rPr>
                <w:rFonts w:hint="eastAsia"/>
                <w:kern w:val="0"/>
                <w:sz w:val="26"/>
                <w:szCs w:val="26"/>
                <w:lang w:eastAsia="zh-CN"/>
              </w:rPr>
              <w:t>、三次油气回收废膜组件</w:t>
            </w:r>
            <w:r>
              <w:rPr>
                <w:rFonts w:hint="eastAsia"/>
                <w:kern w:val="0"/>
                <w:sz w:val="26"/>
                <w:szCs w:val="26"/>
              </w:rPr>
              <w:t>，</w:t>
            </w:r>
            <w:r>
              <w:rPr>
                <w:rFonts w:hint="eastAsia"/>
                <w:kern w:val="0"/>
                <w:sz w:val="26"/>
                <w:szCs w:val="26"/>
                <w:lang w:val="en-US" w:eastAsia="zh-CN"/>
              </w:rPr>
              <w:t>其中设备检修废物包含废油桶、废矿物油以及含油棉纱抹布等，</w:t>
            </w:r>
            <w:r>
              <w:rPr>
                <w:rFonts w:hint="eastAsia"/>
                <w:kern w:val="0"/>
                <w:sz w:val="26"/>
                <w:szCs w:val="26"/>
              </w:rPr>
              <w:t>分类暂存于</w:t>
            </w:r>
            <w:r>
              <w:rPr>
                <w:rFonts w:hint="eastAsia"/>
                <w:kern w:val="0"/>
                <w:sz w:val="26"/>
                <w:szCs w:val="26"/>
                <w:lang w:val="en-US" w:eastAsia="zh-CN"/>
              </w:rPr>
              <w:t>项目已设置的</w:t>
            </w:r>
            <w:r>
              <w:rPr>
                <w:rFonts w:hint="eastAsia"/>
                <w:kern w:val="0"/>
                <w:sz w:val="26"/>
                <w:szCs w:val="26"/>
              </w:rPr>
              <w:t>危险废物贮存点，定期交由有资质的单位</w:t>
            </w:r>
            <w:r>
              <w:rPr>
                <w:rFonts w:hint="eastAsia"/>
                <w:kern w:val="0"/>
                <w:sz w:val="26"/>
                <w:szCs w:val="26"/>
                <w:lang w:val="en-US" w:eastAsia="zh-CN"/>
              </w:rPr>
              <w:t>转运</w:t>
            </w:r>
            <w:r>
              <w:rPr>
                <w:rFonts w:hint="eastAsia"/>
                <w:kern w:val="0"/>
                <w:sz w:val="26"/>
                <w:szCs w:val="26"/>
              </w:rPr>
              <w:t>处置。</w:t>
            </w:r>
          </w:p>
          <w:p w14:paraId="7E4E4EB9">
            <w:pPr>
              <w:adjustRightInd w:val="0"/>
              <w:snapToGrid w:val="0"/>
              <w:spacing w:line="460" w:lineRule="exact"/>
              <w:ind w:firstLine="520" w:firstLineChars="200"/>
              <w:rPr>
                <w:kern w:val="0"/>
                <w:sz w:val="26"/>
                <w:szCs w:val="26"/>
              </w:rPr>
            </w:pPr>
            <w:r>
              <w:rPr>
                <w:rFonts w:hint="eastAsia"/>
                <w:kern w:val="0"/>
                <w:sz w:val="26"/>
                <w:szCs w:val="26"/>
              </w:rPr>
              <w:t>现有工程在站区西侧设置1处占地面积约</w:t>
            </w:r>
            <w:r>
              <w:rPr>
                <w:rFonts w:hint="eastAsia"/>
                <w:kern w:val="0"/>
                <w:sz w:val="26"/>
                <w:szCs w:val="26"/>
                <w:lang w:val="en-US" w:eastAsia="zh-CN"/>
              </w:rPr>
              <w:t>2</w:t>
            </w:r>
            <w:r>
              <w:rPr>
                <w:rFonts w:hint="eastAsia"/>
                <w:kern w:val="0"/>
                <w:sz w:val="26"/>
                <w:szCs w:val="26"/>
              </w:rPr>
              <w:t>m</w:t>
            </w:r>
            <w:r>
              <w:rPr>
                <w:rFonts w:hint="eastAsia"/>
                <w:kern w:val="0"/>
                <w:sz w:val="26"/>
                <w:szCs w:val="26"/>
                <w:vertAlign w:val="superscript"/>
              </w:rPr>
              <w:t>2</w:t>
            </w:r>
            <w:r>
              <w:rPr>
                <w:rFonts w:hint="eastAsia"/>
                <w:kern w:val="0"/>
                <w:sz w:val="26"/>
                <w:szCs w:val="26"/>
              </w:rPr>
              <w:t>的危险废物贮存点，为</w:t>
            </w:r>
            <w:r>
              <w:rPr>
                <w:rFonts w:hint="eastAsia"/>
                <w:color w:val="auto"/>
                <w:kern w:val="0"/>
                <w:sz w:val="26"/>
                <w:szCs w:val="26"/>
              </w:rPr>
              <w:t>2023年</w:t>
            </w:r>
            <w:r>
              <w:rPr>
                <w:rFonts w:hint="eastAsia"/>
                <w:kern w:val="0"/>
                <w:sz w:val="26"/>
                <w:szCs w:val="26"/>
              </w:rPr>
              <w:t>改造，采用不锈钢一体式结构，无焊缝，点位外区域底部硬化，危废贮存</w:t>
            </w:r>
            <w:r>
              <w:rPr>
                <w:rFonts w:hint="eastAsia"/>
                <w:kern w:val="0"/>
                <w:sz w:val="26"/>
                <w:szCs w:val="26"/>
                <w:lang w:val="en-US" w:eastAsia="zh-CN"/>
              </w:rPr>
              <w:t>点</w:t>
            </w:r>
            <w:r>
              <w:rPr>
                <w:rFonts w:hint="eastAsia"/>
                <w:kern w:val="0"/>
                <w:sz w:val="26"/>
                <w:szCs w:val="26"/>
              </w:rPr>
              <w:t>不与地面直接</w:t>
            </w:r>
            <w:r>
              <w:rPr>
                <w:rFonts w:hint="eastAsia"/>
                <w:kern w:val="0"/>
                <w:sz w:val="26"/>
                <w:szCs w:val="26"/>
                <w:lang w:val="en-US" w:eastAsia="zh-CN"/>
              </w:rPr>
              <w:t>接触</w:t>
            </w:r>
            <w:r>
              <w:rPr>
                <w:rFonts w:hint="eastAsia"/>
                <w:kern w:val="0"/>
                <w:sz w:val="26"/>
                <w:szCs w:val="26"/>
              </w:rPr>
              <w:t>，</w:t>
            </w:r>
            <w:r>
              <w:rPr>
                <w:rFonts w:hint="eastAsia"/>
                <w:kern w:val="0"/>
                <w:sz w:val="26"/>
                <w:szCs w:val="26"/>
                <w:lang w:val="en-US" w:eastAsia="zh-CN"/>
              </w:rPr>
              <w:t>危废贮存点</w:t>
            </w:r>
            <w:r>
              <w:rPr>
                <w:rFonts w:hint="eastAsia"/>
                <w:kern w:val="0"/>
                <w:sz w:val="26"/>
                <w:szCs w:val="26"/>
              </w:rPr>
              <w:t>设有危险废物标识牌，用于临时暂存</w:t>
            </w:r>
            <w:r>
              <w:rPr>
                <w:rFonts w:hint="eastAsia"/>
                <w:kern w:val="0"/>
                <w:sz w:val="26"/>
                <w:szCs w:val="26"/>
                <w:lang w:val="en-US" w:eastAsia="zh-CN"/>
              </w:rPr>
              <w:t>设备检修废物</w:t>
            </w:r>
            <w:r>
              <w:rPr>
                <w:rFonts w:hint="eastAsia"/>
                <w:kern w:val="0"/>
                <w:sz w:val="26"/>
                <w:szCs w:val="26"/>
              </w:rPr>
              <w:t>等危险废物</w:t>
            </w:r>
            <w:r>
              <w:rPr>
                <w:rFonts w:hint="eastAsia"/>
                <w:kern w:val="0"/>
                <w:sz w:val="26"/>
                <w:szCs w:val="26"/>
                <w:lang w:eastAsia="zh-CN"/>
              </w:rPr>
              <w:t>，</w:t>
            </w:r>
            <w:r>
              <w:rPr>
                <w:rFonts w:hint="eastAsia"/>
                <w:kern w:val="0"/>
                <w:sz w:val="26"/>
                <w:szCs w:val="26"/>
              </w:rPr>
              <w:t>满足《危险废物贮存污染控制标准》（</w:t>
            </w:r>
            <w:r>
              <w:rPr>
                <w:kern w:val="0"/>
                <w:sz w:val="26"/>
                <w:szCs w:val="26"/>
              </w:rPr>
              <w:t>GB 18597</w:t>
            </w:r>
            <w:r>
              <w:rPr>
                <w:rFonts w:hint="eastAsia"/>
                <w:kern w:val="0"/>
                <w:sz w:val="26"/>
                <w:szCs w:val="26"/>
                <w:lang w:val="en-US" w:eastAsia="zh-CN"/>
              </w:rPr>
              <w:t>-</w:t>
            </w:r>
            <w:r>
              <w:rPr>
                <w:kern w:val="0"/>
                <w:sz w:val="26"/>
                <w:szCs w:val="26"/>
              </w:rPr>
              <w:t>2023</w:t>
            </w:r>
            <w:r>
              <w:rPr>
                <w:rFonts w:hint="eastAsia"/>
                <w:kern w:val="0"/>
                <w:sz w:val="26"/>
                <w:szCs w:val="26"/>
              </w:rPr>
              <w:t>）要求。本项目检修周期频次不高，单次危废产生量较小。现有工程危险废物贮存点设置满足相关要求，本次项目改扩建后可依托利旧使用。</w:t>
            </w:r>
            <w:r>
              <w:rPr>
                <w:rFonts w:hint="eastAsia"/>
                <w:kern w:val="0"/>
                <w:sz w:val="26"/>
                <w:szCs w:val="26"/>
                <w:lang w:val="en-US" w:eastAsia="zh-CN"/>
              </w:rPr>
              <w:t>暂存的</w:t>
            </w:r>
            <w:r>
              <w:rPr>
                <w:rFonts w:hint="eastAsia"/>
                <w:kern w:val="0"/>
                <w:sz w:val="26"/>
                <w:szCs w:val="26"/>
              </w:rPr>
              <w:t>危险废物定期交由危险废物处置资质单位进行处置。</w:t>
            </w:r>
            <w:r>
              <w:rPr>
                <w:rFonts w:hint="default" w:ascii="Times New Roman" w:hAnsi="Times New Roman" w:cs="Times New Roman"/>
                <w:color w:val="auto"/>
                <w:sz w:val="26"/>
                <w:szCs w:val="26"/>
              </w:rPr>
              <w:t>做“</w:t>
            </w:r>
            <w:r>
              <w:rPr>
                <w:rFonts w:hint="default" w:ascii="Times New Roman" w:hAnsi="Times New Roman" w:cs="Times New Roman"/>
                <w:color w:val="auto"/>
                <w:sz w:val="26"/>
                <w:szCs w:val="26"/>
                <w:lang w:val="en-US" w:eastAsia="zh-CN"/>
              </w:rPr>
              <w:t>六</w:t>
            </w:r>
            <w:r>
              <w:rPr>
                <w:rFonts w:hint="default" w:ascii="Times New Roman" w:hAnsi="Times New Roman" w:cs="Times New Roman"/>
                <w:color w:val="auto"/>
                <w:sz w:val="26"/>
                <w:szCs w:val="26"/>
              </w:rPr>
              <w:t>防”处理并在地坪上方设置</w:t>
            </w:r>
            <w:r>
              <w:rPr>
                <w:rFonts w:hint="eastAsia" w:cs="Times New Roman"/>
                <w:color w:val="auto"/>
                <w:sz w:val="26"/>
                <w:szCs w:val="26"/>
                <w:lang w:val="en-US" w:eastAsia="zh-CN"/>
              </w:rPr>
              <w:t>防渗</w:t>
            </w:r>
            <w:r>
              <w:rPr>
                <w:rFonts w:hint="default" w:ascii="Times New Roman" w:hAnsi="Times New Roman" w:cs="Times New Roman"/>
                <w:color w:val="auto"/>
                <w:sz w:val="26"/>
                <w:szCs w:val="26"/>
              </w:rPr>
              <w:t>托盘，并张贴各类标识标牌；各种危险废物分类存放，并有相应的记录。</w:t>
            </w:r>
          </w:p>
          <w:p w14:paraId="5A4A9522">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本项目危险废物贮存场所（设施）基本情况表见表4</w:t>
            </w:r>
            <w:r>
              <w:rPr>
                <w:rFonts w:hint="default" w:ascii="Times New Roman" w:hAnsi="Times New Roman" w:cs="Times New Roman"/>
                <w:color w:val="auto"/>
                <w:sz w:val="26"/>
                <w:szCs w:val="26"/>
                <w:lang w:val="en-US" w:eastAsia="zh-CN"/>
              </w:rPr>
              <w:t>.2-</w:t>
            </w:r>
            <w:r>
              <w:rPr>
                <w:rFonts w:hint="eastAsia" w:cs="Times New Roman"/>
                <w:color w:val="auto"/>
                <w:sz w:val="26"/>
                <w:szCs w:val="26"/>
                <w:lang w:val="en-US" w:eastAsia="zh-CN"/>
              </w:rPr>
              <w:t>19</w:t>
            </w:r>
            <w:r>
              <w:rPr>
                <w:rFonts w:hint="default" w:ascii="Times New Roman" w:hAnsi="Times New Roman" w:cs="Times New Roman"/>
                <w:color w:val="auto"/>
                <w:sz w:val="26"/>
                <w:szCs w:val="26"/>
              </w:rPr>
              <w:t>。</w:t>
            </w:r>
          </w:p>
          <w:p w14:paraId="719E05ED">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2"/>
                <w:szCs w:val="22"/>
              </w:rPr>
              <w:t>表4</w:t>
            </w:r>
            <w:r>
              <w:rPr>
                <w:rFonts w:hint="default" w:ascii="Times New Roman" w:hAnsi="Times New Roman" w:cs="Times New Roman"/>
                <w:b w:val="0"/>
                <w:bCs w:val="0"/>
                <w:color w:val="auto"/>
                <w:sz w:val="22"/>
                <w:szCs w:val="22"/>
                <w:lang w:val="en-US" w:eastAsia="zh-CN"/>
              </w:rPr>
              <w:t>.2-</w:t>
            </w:r>
            <w:r>
              <w:rPr>
                <w:rFonts w:hint="eastAsia" w:cs="Times New Roman"/>
                <w:b w:val="0"/>
                <w:bCs w:val="0"/>
                <w:color w:val="auto"/>
                <w:sz w:val="22"/>
                <w:szCs w:val="22"/>
                <w:lang w:val="en-US" w:eastAsia="zh-CN"/>
              </w:rPr>
              <w:t xml:space="preserve">19 </w:t>
            </w:r>
            <w:r>
              <w:rPr>
                <w:rFonts w:hint="default" w:ascii="Times New Roman" w:hAnsi="Times New Roman" w:cs="Times New Roman"/>
                <w:b w:val="0"/>
                <w:bCs w:val="0"/>
                <w:color w:val="auto"/>
                <w:sz w:val="22"/>
                <w:szCs w:val="22"/>
                <w:lang w:val="en-US" w:eastAsia="zh-CN"/>
              </w:rPr>
              <w:t xml:space="preserve"> </w:t>
            </w:r>
            <w:r>
              <w:rPr>
                <w:rFonts w:hint="default" w:ascii="Times New Roman" w:hAnsi="Times New Roman" w:cs="Times New Roman"/>
                <w:b w:val="0"/>
                <w:bCs w:val="0"/>
                <w:color w:val="auto"/>
                <w:sz w:val="22"/>
                <w:szCs w:val="22"/>
              </w:rPr>
              <w:t>建设项目危险废物贮存场所（设施）基本情况表</w:t>
            </w:r>
          </w:p>
          <w:tbl>
            <w:tblPr>
              <w:tblStyle w:val="1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919"/>
              <w:gridCol w:w="1050"/>
              <w:gridCol w:w="977"/>
              <w:gridCol w:w="1034"/>
              <w:gridCol w:w="684"/>
              <w:gridCol w:w="665"/>
              <w:gridCol w:w="891"/>
              <w:gridCol w:w="661"/>
              <w:gridCol w:w="639"/>
            </w:tblGrid>
            <w:tr w14:paraId="26D3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noWrap w:val="0"/>
                  <w:vAlign w:val="center"/>
                </w:tcPr>
                <w:p w14:paraId="347D4E1B">
                  <w:pPr>
                    <w:adjustRightInd w:val="0"/>
                    <w:snapToGrid w:val="0"/>
                    <w:jc w:val="center"/>
                    <w:rPr>
                      <w:rFonts w:hint="default" w:ascii="Times New Roman" w:hAnsi="Times New Roman" w:cs="Times New Roman"/>
                      <w:b w:val="0"/>
                      <w:bCs/>
                      <w:color w:val="auto"/>
                      <w:sz w:val="22"/>
                      <w:szCs w:val="22"/>
                    </w:rPr>
                  </w:pPr>
                  <w:r>
                    <w:rPr>
                      <w:rFonts w:hint="default" w:ascii="Times New Roman" w:hAnsi="Times New Roman" w:cs="Times New Roman"/>
                      <w:b w:val="0"/>
                      <w:bCs/>
                      <w:color w:val="auto"/>
                      <w:kern w:val="0"/>
                      <w:sz w:val="22"/>
                      <w:szCs w:val="22"/>
                    </w:rPr>
                    <w:t>序号</w:t>
                  </w:r>
                </w:p>
              </w:tc>
              <w:tc>
                <w:tcPr>
                  <w:tcW w:w="579" w:type="pct"/>
                  <w:noWrap w:val="0"/>
                  <w:vAlign w:val="center"/>
                </w:tcPr>
                <w:p w14:paraId="1B18A063">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贮存场所（设施）名称</w:t>
                  </w:r>
                </w:p>
              </w:tc>
              <w:tc>
                <w:tcPr>
                  <w:tcW w:w="662" w:type="pct"/>
                  <w:noWrap w:val="0"/>
                  <w:vAlign w:val="center"/>
                </w:tcPr>
                <w:p w14:paraId="05724522">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危险废物名称</w:t>
                  </w:r>
                </w:p>
              </w:tc>
              <w:tc>
                <w:tcPr>
                  <w:tcW w:w="616" w:type="pct"/>
                  <w:noWrap w:val="0"/>
                  <w:vAlign w:val="center"/>
                </w:tcPr>
                <w:p w14:paraId="063B9C78">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危险废物类别</w:t>
                  </w:r>
                </w:p>
              </w:tc>
              <w:tc>
                <w:tcPr>
                  <w:tcW w:w="652" w:type="pct"/>
                  <w:noWrap w:val="0"/>
                  <w:vAlign w:val="center"/>
                </w:tcPr>
                <w:p w14:paraId="10155E91">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危险废物代码</w:t>
                  </w:r>
                </w:p>
              </w:tc>
              <w:tc>
                <w:tcPr>
                  <w:tcW w:w="431" w:type="pct"/>
                  <w:noWrap w:val="0"/>
                  <w:vAlign w:val="center"/>
                </w:tcPr>
                <w:p w14:paraId="2E1AF3F1">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位置</w:t>
                  </w:r>
                </w:p>
              </w:tc>
              <w:tc>
                <w:tcPr>
                  <w:tcW w:w="419" w:type="pct"/>
                  <w:noWrap w:val="0"/>
                  <w:vAlign w:val="center"/>
                </w:tcPr>
                <w:p w14:paraId="31E6DA2F">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占地面积</w:t>
                  </w:r>
                </w:p>
              </w:tc>
              <w:tc>
                <w:tcPr>
                  <w:tcW w:w="562" w:type="pct"/>
                  <w:noWrap w:val="0"/>
                  <w:vAlign w:val="center"/>
                </w:tcPr>
                <w:p w14:paraId="3A4F3204">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贮存方式</w:t>
                  </w:r>
                </w:p>
              </w:tc>
              <w:tc>
                <w:tcPr>
                  <w:tcW w:w="416" w:type="pct"/>
                  <w:noWrap w:val="0"/>
                  <w:vAlign w:val="center"/>
                </w:tcPr>
                <w:p w14:paraId="4320D9F9">
                  <w:pPr>
                    <w:topLinePunct/>
                    <w:adjustRightInd w:val="0"/>
                    <w:snapToGrid w:val="0"/>
                    <w:jc w:val="center"/>
                    <w:rPr>
                      <w:rFonts w:hint="default" w:ascii="Times New Roman" w:hAnsi="Times New Roman" w:eastAsia="宋体" w:cs="Times New Roman"/>
                      <w:b w:val="0"/>
                      <w:bCs/>
                      <w:color w:val="auto"/>
                      <w:kern w:val="0"/>
                      <w:sz w:val="22"/>
                      <w:szCs w:val="22"/>
                      <w:lang w:val="en-US" w:eastAsia="zh-CN"/>
                    </w:rPr>
                  </w:pPr>
                  <w:r>
                    <w:rPr>
                      <w:rFonts w:hint="default" w:ascii="Times New Roman" w:hAnsi="Times New Roman" w:cs="Times New Roman"/>
                      <w:b w:val="0"/>
                      <w:bCs/>
                      <w:color w:val="auto"/>
                      <w:kern w:val="0"/>
                      <w:sz w:val="22"/>
                      <w:szCs w:val="22"/>
                    </w:rPr>
                    <w:t>贮存能力</w:t>
                  </w:r>
                </w:p>
              </w:tc>
              <w:tc>
                <w:tcPr>
                  <w:tcW w:w="403" w:type="pct"/>
                  <w:noWrap w:val="0"/>
                  <w:vAlign w:val="center"/>
                </w:tcPr>
                <w:p w14:paraId="58D83D29">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贮存</w:t>
                  </w:r>
                </w:p>
                <w:p w14:paraId="5435C830">
                  <w:pPr>
                    <w:topLinePunct/>
                    <w:adjustRightInd w:val="0"/>
                    <w:snapToGrid w:val="0"/>
                    <w:jc w:val="center"/>
                    <w:rPr>
                      <w:rFonts w:hint="default" w:ascii="Times New Roman" w:hAnsi="Times New Roman" w:cs="Times New Roman"/>
                      <w:b w:val="0"/>
                      <w:bCs/>
                      <w:color w:val="auto"/>
                      <w:kern w:val="0"/>
                      <w:sz w:val="22"/>
                      <w:szCs w:val="22"/>
                    </w:rPr>
                  </w:pPr>
                  <w:r>
                    <w:rPr>
                      <w:rFonts w:hint="default" w:ascii="Times New Roman" w:hAnsi="Times New Roman" w:cs="Times New Roman"/>
                      <w:b w:val="0"/>
                      <w:bCs/>
                      <w:color w:val="auto"/>
                      <w:kern w:val="0"/>
                      <w:sz w:val="22"/>
                      <w:szCs w:val="22"/>
                    </w:rPr>
                    <w:t>周期</w:t>
                  </w:r>
                </w:p>
              </w:tc>
            </w:tr>
            <w:tr w14:paraId="422B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56" w:type="pct"/>
                  <w:noWrap w:val="0"/>
                  <w:vAlign w:val="center"/>
                </w:tcPr>
                <w:p w14:paraId="624F15CC">
                  <w:pPr>
                    <w:adjustRightInd w:val="0"/>
                    <w:snapToGrid w:val="0"/>
                    <w:jc w:val="center"/>
                    <w:rPr>
                      <w:rFonts w:hint="default" w:ascii="Times New Roman" w:hAnsi="Times New Roman" w:cs="Times New Roman"/>
                      <w:bCs/>
                      <w:color w:val="auto"/>
                      <w:kern w:val="2"/>
                      <w:sz w:val="22"/>
                      <w:szCs w:val="22"/>
                      <w:lang w:val="en-US" w:eastAsia="zh-CN" w:bidi="ar-SA"/>
                    </w:rPr>
                  </w:pPr>
                  <w:r>
                    <w:rPr>
                      <w:rFonts w:hint="default" w:ascii="Times New Roman" w:hAnsi="Times New Roman" w:cs="Times New Roman"/>
                      <w:bCs/>
                      <w:color w:val="auto"/>
                      <w:kern w:val="2"/>
                      <w:sz w:val="22"/>
                      <w:szCs w:val="22"/>
                      <w:lang w:val="en-US" w:eastAsia="zh-CN" w:bidi="ar-SA"/>
                    </w:rPr>
                    <w:t>1</w:t>
                  </w:r>
                </w:p>
              </w:tc>
              <w:tc>
                <w:tcPr>
                  <w:tcW w:w="579" w:type="pct"/>
                  <w:noWrap w:val="0"/>
                  <w:vAlign w:val="center"/>
                </w:tcPr>
                <w:p w14:paraId="125CCF43">
                  <w:pPr>
                    <w:adjustRightInd w:val="0"/>
                    <w:snapToGrid w:val="0"/>
                    <w:jc w:val="center"/>
                    <w:rPr>
                      <w:rFonts w:hint="default" w:ascii="Times New Roman" w:hAnsi="Times New Roman" w:eastAsia="宋体" w:cs="Times New Roman"/>
                      <w:bCs/>
                      <w:color w:val="auto"/>
                      <w:sz w:val="22"/>
                      <w:szCs w:val="22"/>
                      <w:lang w:val="en-US" w:eastAsia="zh-CN"/>
                    </w:rPr>
                  </w:pPr>
                  <w:r>
                    <w:rPr>
                      <w:rFonts w:hint="default" w:ascii="Times New Roman" w:hAnsi="Times New Roman" w:cs="Times New Roman"/>
                      <w:bCs/>
                      <w:color w:val="auto"/>
                      <w:sz w:val="22"/>
                      <w:szCs w:val="22"/>
                      <w:lang w:eastAsia="zh-CN"/>
                    </w:rPr>
                    <w:t>危废</w:t>
                  </w:r>
                  <w:r>
                    <w:rPr>
                      <w:rFonts w:hint="eastAsia" w:ascii="Times New Roman" w:hAnsi="Times New Roman" w:cs="Times New Roman"/>
                      <w:bCs/>
                      <w:color w:val="auto"/>
                      <w:sz w:val="22"/>
                      <w:szCs w:val="22"/>
                      <w:lang w:val="en-US" w:eastAsia="zh-CN"/>
                    </w:rPr>
                    <w:t>贮存点</w:t>
                  </w:r>
                </w:p>
              </w:tc>
              <w:tc>
                <w:tcPr>
                  <w:tcW w:w="662" w:type="pct"/>
                  <w:noWrap w:val="0"/>
                  <w:vAlign w:val="center"/>
                </w:tcPr>
                <w:p w14:paraId="65CC7739">
                  <w:pPr>
                    <w:pStyle w:val="94"/>
                    <w:ind w:firstLine="0" w:firstLineChars="0"/>
                    <w:rPr>
                      <w:rFonts w:hint="default" w:ascii="Times New Roman" w:hAnsi="Times New Roman" w:cs="Times New Roman"/>
                      <w:color w:val="auto"/>
                      <w:sz w:val="22"/>
                      <w:szCs w:val="22"/>
                      <w:lang w:val="en-US"/>
                    </w:rPr>
                  </w:pPr>
                  <w:r>
                    <w:rPr>
                      <w:rFonts w:hint="eastAsia" w:ascii="Times New Roman" w:hAnsi="Times New Roman" w:cs="Times New Roman"/>
                      <w:color w:val="auto"/>
                      <w:sz w:val="22"/>
                      <w:szCs w:val="22"/>
                      <w:lang w:val="en-US" w:eastAsia="zh-CN"/>
                    </w:rPr>
                    <w:t>设备检修废物</w:t>
                  </w:r>
                </w:p>
              </w:tc>
              <w:tc>
                <w:tcPr>
                  <w:tcW w:w="616" w:type="pct"/>
                  <w:noWrap w:val="0"/>
                  <w:vAlign w:val="center"/>
                </w:tcPr>
                <w:p w14:paraId="337A51E7">
                  <w:pPr>
                    <w:pStyle w:val="94"/>
                    <w:bidi w:val="0"/>
                    <w:ind w:firstLine="0" w:firstLineChars="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HW</w:t>
                  </w:r>
                  <w:r>
                    <w:rPr>
                      <w:rFonts w:hint="default" w:ascii="Times New Roman" w:hAnsi="Times New Roman" w:cs="Times New Roman"/>
                      <w:color w:val="auto"/>
                      <w:sz w:val="22"/>
                      <w:szCs w:val="22"/>
                      <w:lang w:val="en-US" w:eastAsia="zh-CN"/>
                    </w:rPr>
                    <w:t>08</w:t>
                  </w:r>
                </w:p>
              </w:tc>
              <w:tc>
                <w:tcPr>
                  <w:tcW w:w="652" w:type="pct"/>
                  <w:noWrap w:val="0"/>
                  <w:vAlign w:val="center"/>
                </w:tcPr>
                <w:p w14:paraId="05F389EA">
                  <w:pPr>
                    <w:pStyle w:val="94"/>
                    <w:ind w:firstLine="0" w:firstLineChars="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900-249-08</w:t>
                  </w:r>
                </w:p>
              </w:tc>
              <w:tc>
                <w:tcPr>
                  <w:tcW w:w="431" w:type="pct"/>
                  <w:noWrap w:val="0"/>
                  <w:vAlign w:val="center"/>
                </w:tcPr>
                <w:p w14:paraId="3BACC397">
                  <w:pPr>
                    <w:adjustRightInd w:val="0"/>
                    <w:snapToGrid w:val="0"/>
                    <w:jc w:val="center"/>
                    <w:rPr>
                      <w:rFonts w:hint="default" w:ascii="Times New Roman" w:hAnsi="Times New Roman" w:cs="Times New Roman"/>
                      <w:bCs/>
                      <w:color w:val="auto"/>
                      <w:sz w:val="22"/>
                      <w:szCs w:val="22"/>
                      <w:lang w:val="en-US"/>
                    </w:rPr>
                  </w:pPr>
                  <w:r>
                    <w:rPr>
                      <w:rFonts w:hint="eastAsia" w:ascii="Times New Roman" w:hAnsi="Times New Roman" w:cs="Times New Roman"/>
                      <w:color w:val="auto"/>
                      <w:kern w:val="0"/>
                      <w:sz w:val="22"/>
                      <w:szCs w:val="22"/>
                      <w:lang w:val="en-US" w:eastAsia="zh-CN"/>
                    </w:rPr>
                    <w:t>站房西</w:t>
                  </w:r>
                  <w:r>
                    <w:rPr>
                      <w:rFonts w:hint="default" w:ascii="Times New Roman" w:hAnsi="Times New Roman" w:cs="Times New Roman"/>
                      <w:color w:val="auto"/>
                      <w:kern w:val="0"/>
                      <w:sz w:val="22"/>
                      <w:szCs w:val="22"/>
                      <w:lang w:val="en-US" w:eastAsia="zh-CN"/>
                    </w:rPr>
                    <w:t>侧</w:t>
                  </w:r>
                </w:p>
              </w:tc>
              <w:tc>
                <w:tcPr>
                  <w:tcW w:w="419" w:type="pct"/>
                  <w:noWrap w:val="0"/>
                  <w:vAlign w:val="center"/>
                </w:tcPr>
                <w:p w14:paraId="7ECD4640">
                  <w:pPr>
                    <w:adjustRightInd w:val="0"/>
                    <w:snapToGrid w:val="0"/>
                    <w:jc w:val="center"/>
                    <w:rPr>
                      <w:rFonts w:hint="default" w:ascii="Times New Roman" w:hAnsi="Times New Roman" w:cs="Times New Roman"/>
                      <w:bCs/>
                      <w:color w:val="auto"/>
                      <w:sz w:val="22"/>
                      <w:szCs w:val="22"/>
                    </w:rPr>
                  </w:pPr>
                  <w:r>
                    <w:rPr>
                      <w:rFonts w:hint="eastAsia" w:ascii="Times New Roman" w:hAnsi="Times New Roman" w:cs="Times New Roman"/>
                      <w:bCs/>
                      <w:color w:val="auto"/>
                      <w:sz w:val="22"/>
                      <w:szCs w:val="22"/>
                      <w:lang w:val="en-US" w:eastAsia="zh-CN"/>
                    </w:rPr>
                    <w:t>2</w:t>
                  </w:r>
                  <w:r>
                    <w:rPr>
                      <w:rFonts w:hint="default" w:ascii="Times New Roman" w:hAnsi="Times New Roman" w:cs="Times New Roman"/>
                      <w:bCs/>
                      <w:color w:val="auto"/>
                      <w:sz w:val="22"/>
                      <w:szCs w:val="22"/>
                    </w:rPr>
                    <w:t>m</w:t>
                  </w:r>
                  <w:r>
                    <w:rPr>
                      <w:rFonts w:hint="default" w:ascii="Times New Roman" w:hAnsi="Times New Roman" w:cs="Times New Roman"/>
                      <w:bCs/>
                      <w:color w:val="auto"/>
                      <w:sz w:val="22"/>
                      <w:szCs w:val="22"/>
                      <w:vertAlign w:val="superscript"/>
                    </w:rPr>
                    <w:t>2</w:t>
                  </w:r>
                </w:p>
              </w:tc>
              <w:tc>
                <w:tcPr>
                  <w:tcW w:w="562" w:type="pct"/>
                  <w:noWrap w:val="0"/>
                  <w:vAlign w:val="center"/>
                </w:tcPr>
                <w:p w14:paraId="5AD5229B">
                  <w:pPr>
                    <w:topLinePunct/>
                    <w:adjustRightInd w:val="0"/>
                    <w:snapToGrid w:val="0"/>
                    <w:jc w:val="center"/>
                    <w:rPr>
                      <w:rFonts w:hint="default" w:ascii="Times New Roman" w:hAnsi="Times New Roman" w:cs="Times New Roman"/>
                      <w:bCs/>
                      <w:color w:val="auto"/>
                      <w:sz w:val="22"/>
                      <w:szCs w:val="22"/>
                    </w:rPr>
                  </w:pPr>
                  <w:r>
                    <w:rPr>
                      <w:rFonts w:hint="default" w:ascii="Times New Roman" w:hAnsi="Times New Roman" w:cs="Times New Roman"/>
                      <w:bCs/>
                      <w:color w:val="auto"/>
                      <w:sz w:val="22"/>
                      <w:szCs w:val="22"/>
                    </w:rPr>
                    <w:t>采用防渗、防漏的容器单独盛装</w:t>
                  </w:r>
                </w:p>
              </w:tc>
              <w:tc>
                <w:tcPr>
                  <w:tcW w:w="416" w:type="pct"/>
                  <w:noWrap w:val="0"/>
                  <w:vAlign w:val="center"/>
                </w:tcPr>
                <w:p w14:paraId="49235116">
                  <w:pPr>
                    <w:pStyle w:val="54"/>
                    <w:snapToGrid w:val="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1.5</w:t>
                  </w:r>
                  <w:r>
                    <w:rPr>
                      <w:rFonts w:hint="default" w:ascii="Times New Roman" w:hAnsi="Times New Roman" w:cs="Times New Roman"/>
                      <w:color w:val="auto"/>
                      <w:sz w:val="22"/>
                      <w:szCs w:val="22"/>
                      <w:lang w:val="en-US" w:eastAsia="zh-CN"/>
                    </w:rPr>
                    <w:t>t</w:t>
                  </w:r>
                </w:p>
              </w:tc>
              <w:tc>
                <w:tcPr>
                  <w:tcW w:w="403" w:type="pct"/>
                  <w:noWrap w:val="0"/>
                  <w:vAlign w:val="center"/>
                </w:tcPr>
                <w:p w14:paraId="3BB2F1A1">
                  <w:pPr>
                    <w:topLinePunct/>
                    <w:adjustRightInd w:val="0"/>
                    <w:snapToGrid w:val="0"/>
                    <w:jc w:val="center"/>
                    <w:rPr>
                      <w:rFonts w:hint="default" w:ascii="Times New Roman" w:hAnsi="Times New Roman" w:eastAsia="宋体" w:cs="Times New Roman"/>
                      <w:bCs/>
                      <w:color w:val="auto"/>
                      <w:kern w:val="0"/>
                      <w:sz w:val="22"/>
                      <w:szCs w:val="22"/>
                      <w:lang w:val="en-US" w:eastAsia="zh-CN"/>
                    </w:rPr>
                  </w:pPr>
                  <w:r>
                    <w:rPr>
                      <w:rFonts w:hint="eastAsia" w:ascii="Times New Roman" w:hAnsi="Times New Roman" w:eastAsia="宋体" w:cs="Times New Roman"/>
                      <w:bCs/>
                      <w:color w:val="auto"/>
                      <w:kern w:val="0"/>
                      <w:sz w:val="22"/>
                      <w:szCs w:val="22"/>
                      <w:lang w:val="en-US" w:eastAsia="zh-CN"/>
                    </w:rPr>
                    <w:t>一年</w:t>
                  </w:r>
                </w:p>
              </w:tc>
            </w:tr>
          </w:tbl>
          <w:p w14:paraId="663C2D58">
            <w:pPr>
              <w:pStyle w:val="4"/>
              <w:keepNext/>
              <w:keepLines/>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lang w:val="en-US" w:eastAsia="zh-CN"/>
              </w:rPr>
              <w:t>4.2.4.3</w:t>
            </w:r>
            <w:r>
              <w:rPr>
                <w:rFonts w:hint="default" w:ascii="Times New Roman" w:hAnsi="Times New Roman" w:cs="Times New Roman"/>
                <w:b w:val="0"/>
                <w:bCs w:val="0"/>
                <w:color w:val="auto"/>
                <w:sz w:val="26"/>
                <w:szCs w:val="26"/>
              </w:rPr>
              <w:t>环境管理要求</w:t>
            </w:r>
          </w:p>
          <w:p w14:paraId="7F891FBB">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Times New Roman" w:hAnsi="Times New Roman" w:eastAsia="宋体" w:cs="Times New Roman"/>
                <w:color w:val="auto"/>
                <w:sz w:val="26"/>
                <w:szCs w:val="26"/>
                <w:lang w:val="en-US" w:eastAsia="zh-CN"/>
              </w:rPr>
            </w:pPr>
            <w:r>
              <w:rPr>
                <w:rFonts w:hint="default" w:ascii="Times New Roman" w:hAnsi="Times New Roman" w:cs="Times New Roman"/>
                <w:color w:val="auto"/>
                <w:sz w:val="26"/>
                <w:szCs w:val="26"/>
              </w:rPr>
              <w:t>A</w:t>
            </w:r>
            <w:r>
              <w:rPr>
                <w:rFonts w:hint="eastAsia" w:cs="Times New Roman"/>
                <w:color w:val="auto"/>
                <w:sz w:val="26"/>
                <w:szCs w:val="26"/>
                <w:lang w:eastAsia="zh-CN"/>
              </w:rPr>
              <w:t>、</w:t>
            </w:r>
            <w:r>
              <w:rPr>
                <w:rFonts w:hint="default" w:ascii="Times New Roman" w:hAnsi="Times New Roman" w:cs="Times New Roman"/>
                <w:color w:val="auto"/>
                <w:sz w:val="26"/>
                <w:szCs w:val="26"/>
              </w:rPr>
              <w:t>一般工业固废</w:t>
            </w:r>
            <w:r>
              <w:rPr>
                <w:rFonts w:hint="eastAsia" w:ascii="Times New Roman" w:hAnsi="Times New Roman" w:cs="Times New Roman"/>
                <w:color w:val="auto"/>
                <w:sz w:val="26"/>
                <w:szCs w:val="26"/>
                <w:lang w:eastAsia="zh-CN"/>
              </w:rPr>
              <w:t>：</w:t>
            </w:r>
            <w:r>
              <w:rPr>
                <w:rFonts w:hint="eastAsia"/>
                <w:kern w:val="0"/>
                <w:sz w:val="26"/>
                <w:szCs w:val="26"/>
                <w:lang w:eastAsia="zh-CN"/>
              </w:rPr>
              <w:t>化粪池</w:t>
            </w:r>
            <w:r>
              <w:rPr>
                <w:rFonts w:hint="eastAsia"/>
                <w:kern w:val="0"/>
                <w:sz w:val="26"/>
                <w:szCs w:val="26"/>
              </w:rPr>
              <w:t>污泥定期清掏，定期交由环卫部门处置。</w:t>
            </w:r>
          </w:p>
          <w:p w14:paraId="1F9AF26E">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B</w:t>
            </w:r>
            <w:r>
              <w:rPr>
                <w:rFonts w:hint="eastAsia" w:cs="Times New Roman"/>
                <w:color w:val="auto"/>
                <w:sz w:val="26"/>
                <w:szCs w:val="26"/>
                <w:lang w:eastAsia="zh-CN"/>
              </w:rPr>
              <w:t>、</w:t>
            </w:r>
            <w:r>
              <w:rPr>
                <w:rFonts w:hint="default" w:ascii="Times New Roman" w:hAnsi="Times New Roman" w:cs="Times New Roman"/>
                <w:color w:val="auto"/>
                <w:sz w:val="26"/>
                <w:szCs w:val="26"/>
              </w:rPr>
              <w:t>危险废物</w:t>
            </w:r>
          </w:p>
          <w:p w14:paraId="590E1E59">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项目危险废物按照危险废物的相关管理规定。危险废物的收集、运输应按照《危险废物收集、贮存、运输技术规范》（HJ2025-2012），危险废物的转移执行《危险废物转移管理办法》（生态环境部、公安部、交通运输部令第23号）：</w:t>
            </w:r>
          </w:p>
          <w:p w14:paraId="12C561DB">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①</w:t>
            </w:r>
            <w:r>
              <w:rPr>
                <w:rFonts w:hint="default" w:ascii="Times New Roman" w:hAnsi="Times New Roman" w:cs="Times New Roman"/>
                <w:color w:val="auto"/>
                <w:sz w:val="26"/>
                <w:szCs w:val="26"/>
              </w:rPr>
              <w:t>应当设置专用的贮存设施或场所，贮存设施或场所应遵照《危险废物贮存污染控制标准》</w:t>
            </w:r>
            <w:r>
              <w:rPr>
                <w:rFonts w:hint="default" w:ascii="Times New Roman" w:hAnsi="Times New Roman" w:cs="Times New Roman"/>
                <w:color w:val="auto"/>
                <w:sz w:val="26"/>
                <w:szCs w:val="26"/>
                <w:lang w:eastAsia="zh-CN"/>
              </w:rPr>
              <w:t>（</w:t>
            </w:r>
            <w:r>
              <w:rPr>
                <w:rFonts w:hint="default" w:ascii="Times New Roman" w:hAnsi="Times New Roman" w:cs="Times New Roman"/>
                <w:color w:val="auto"/>
                <w:sz w:val="26"/>
                <w:szCs w:val="26"/>
              </w:rPr>
              <w:t>GB18596-20</w:t>
            </w:r>
            <w:r>
              <w:rPr>
                <w:rFonts w:hint="default" w:ascii="Times New Roman" w:hAnsi="Times New Roman" w:cs="Times New Roman"/>
                <w:color w:val="auto"/>
                <w:sz w:val="26"/>
                <w:szCs w:val="26"/>
                <w:lang w:val="en-US" w:eastAsia="zh-CN"/>
              </w:rPr>
              <w:t>23</w:t>
            </w:r>
            <w:r>
              <w:rPr>
                <w:rFonts w:hint="default" w:ascii="Times New Roman" w:hAnsi="Times New Roman" w:cs="Times New Roman"/>
                <w:color w:val="auto"/>
                <w:sz w:val="26"/>
                <w:szCs w:val="26"/>
                <w:lang w:eastAsia="zh-CN"/>
              </w:rPr>
              <w:t>）</w:t>
            </w:r>
            <w:r>
              <w:rPr>
                <w:rFonts w:hint="default" w:ascii="Times New Roman" w:hAnsi="Times New Roman" w:cs="Times New Roman"/>
                <w:color w:val="auto"/>
                <w:sz w:val="26"/>
                <w:szCs w:val="26"/>
              </w:rPr>
              <w:t>设置，并分类存放、贮存，并必须采取防风、防晒、防雨、防漏、防渗、防腐以及其他环境污染防治措施，不得随意露天堆放</w:t>
            </w:r>
            <w:r>
              <w:rPr>
                <w:rFonts w:hint="default" w:ascii="Times New Roman" w:hAnsi="Times New Roman" w:eastAsia="宋体" w:cs="Times New Roman"/>
                <w:color w:val="auto"/>
                <w:sz w:val="26"/>
                <w:szCs w:val="26"/>
              </w:rPr>
              <w:t>；</w:t>
            </w:r>
          </w:p>
          <w:p w14:paraId="7F527666">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②对危险固废储存场所应进行处理，如地坪上方需设置</w:t>
            </w:r>
            <w:r>
              <w:rPr>
                <w:rFonts w:hint="eastAsia" w:cs="Times New Roman"/>
                <w:color w:val="auto"/>
                <w:sz w:val="26"/>
                <w:szCs w:val="26"/>
                <w:lang w:val="en-US" w:eastAsia="zh-CN"/>
              </w:rPr>
              <w:t>防渗</w:t>
            </w:r>
            <w:r>
              <w:rPr>
                <w:rFonts w:hint="default" w:ascii="Times New Roman" w:hAnsi="Times New Roman" w:eastAsia="宋体" w:cs="Times New Roman"/>
                <w:color w:val="auto"/>
                <w:sz w:val="26"/>
                <w:szCs w:val="26"/>
              </w:rPr>
              <w:t>托盘等，消除危险固废外泄的可能。</w:t>
            </w:r>
          </w:p>
          <w:p w14:paraId="2D8E4A4B">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③对危险废物的容器或包装物以及收集、贮存、运输、处置危险废物的设施、场所，必须设置危险废物识别标志；</w:t>
            </w:r>
          </w:p>
          <w:p w14:paraId="0A52A5A8">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④危险废物禁止混入非危险废物中贮存，禁止与乘客在同一运输工具上载运；</w:t>
            </w:r>
          </w:p>
          <w:p w14:paraId="0A7C95A6">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⑤固体废物不得在运输过程中沿途丢弃、遗撒。如将固体废物用防静电的薄膜包装于箱内，再采用专用运输车辆进行运输；</w:t>
            </w:r>
          </w:p>
          <w:p w14:paraId="495DBA38">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⑥在包装箱外可设置醒目的危险废物标志，并用明确易懂的中文标明箱内所装为危险废物等。</w:t>
            </w:r>
          </w:p>
          <w:p w14:paraId="22CB7391">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⑦建设单位应按照《危险废物管理计划和管理台账制定技术导则》（HJ 1259—2022）的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并对内容的真实性、准确性和完整性负责。</w:t>
            </w:r>
          </w:p>
          <w:p w14:paraId="377A03B5">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rPr>
            </w:pPr>
            <w:r>
              <w:rPr>
                <w:rFonts w:hint="default" w:ascii="Times New Roman" w:hAnsi="Times New Roman" w:eastAsia="宋体" w:cs="Times New Roman"/>
                <w:color w:val="auto"/>
                <w:sz w:val="26"/>
                <w:szCs w:val="26"/>
              </w:rPr>
              <w:t>危险废物管理计划制定内容应根据产生危险废物的单位的管理类别确定。危险废物的种类、产生量、流向、贮存、利用、处置等有关资料的申报周期应根据产生危险废物的单位的管理类别确定。</w:t>
            </w:r>
          </w:p>
          <w:p w14:paraId="5A5E7F46">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cs="Times New Roman"/>
                <w:color w:val="auto"/>
                <w:sz w:val="26"/>
                <w:szCs w:val="26"/>
                <w:lang w:val="en-US" w:eastAsia="zh-CN"/>
              </w:rPr>
              <w:t>C</w:t>
            </w:r>
            <w:r>
              <w:rPr>
                <w:rFonts w:hint="eastAsia" w:cs="Times New Roman"/>
                <w:color w:val="auto"/>
                <w:sz w:val="26"/>
                <w:szCs w:val="26"/>
                <w:lang w:val="en-US" w:eastAsia="zh-CN"/>
              </w:rPr>
              <w:t>、</w:t>
            </w:r>
            <w:r>
              <w:rPr>
                <w:rFonts w:hint="default" w:ascii="Times New Roman" w:hAnsi="Times New Roman" w:cs="Times New Roman"/>
                <w:color w:val="auto"/>
                <w:sz w:val="26"/>
                <w:szCs w:val="26"/>
              </w:rPr>
              <w:t>生活垃圾：生活垃圾在厂内集中收集，妥善贮存。</w:t>
            </w:r>
          </w:p>
          <w:p w14:paraId="63F133DF">
            <w:pPr>
              <w:pStyle w:val="93"/>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cs="Times New Roman"/>
                <w:color w:val="auto"/>
                <w:sz w:val="26"/>
                <w:szCs w:val="26"/>
              </w:rPr>
            </w:pPr>
            <w:r>
              <w:rPr>
                <w:rFonts w:hint="eastAsia"/>
                <w:kern w:val="0"/>
                <w:sz w:val="26"/>
                <w:szCs w:val="26"/>
              </w:rPr>
              <w:t>综合上述，项目经过合理分类和委托处置后，各项固体废物均能得到妥善处理，对周边环境影响较小。</w:t>
            </w:r>
          </w:p>
          <w:p w14:paraId="3D8C8F1B">
            <w:pPr>
              <w:adjustRightInd w:val="0"/>
              <w:snapToGrid w:val="0"/>
              <w:spacing w:line="460" w:lineRule="exact"/>
              <w:rPr>
                <w:b/>
                <w:sz w:val="26"/>
                <w:szCs w:val="26"/>
              </w:rPr>
            </w:pPr>
            <w:r>
              <w:rPr>
                <w:b/>
                <w:sz w:val="26"/>
                <w:szCs w:val="26"/>
              </w:rPr>
              <w:t>4.2.</w:t>
            </w:r>
            <w:r>
              <w:rPr>
                <w:rFonts w:hint="eastAsia"/>
                <w:b/>
                <w:sz w:val="26"/>
                <w:szCs w:val="26"/>
              </w:rPr>
              <w:t>5地下水</w:t>
            </w:r>
            <w:r>
              <w:rPr>
                <w:rFonts w:hint="eastAsia"/>
                <w:b/>
                <w:sz w:val="26"/>
                <w:szCs w:val="26"/>
                <w:lang w:val="en-US" w:eastAsia="zh-CN"/>
              </w:rPr>
              <w:t>及土壤</w:t>
            </w:r>
            <w:r>
              <w:rPr>
                <w:rFonts w:hint="eastAsia"/>
                <w:b/>
                <w:sz w:val="26"/>
                <w:szCs w:val="26"/>
              </w:rPr>
              <w:t>影响及其防治措施</w:t>
            </w:r>
          </w:p>
          <w:p w14:paraId="545AE6E2">
            <w:pPr>
              <w:adjustRightInd w:val="0"/>
              <w:snapToGrid w:val="0"/>
              <w:spacing w:line="460" w:lineRule="exact"/>
              <w:ind w:firstLine="520" w:firstLineChars="200"/>
              <w:rPr>
                <w:bCs/>
                <w:sz w:val="26"/>
                <w:szCs w:val="26"/>
              </w:rPr>
            </w:pPr>
            <w:r>
              <w:rPr>
                <w:bCs/>
                <w:sz w:val="26"/>
                <w:szCs w:val="26"/>
              </w:rPr>
              <w:t>（1）</w:t>
            </w:r>
            <w:r>
              <w:rPr>
                <w:rFonts w:hint="eastAsia"/>
                <w:bCs/>
                <w:sz w:val="26"/>
                <w:szCs w:val="26"/>
              </w:rPr>
              <w:t>地下水</w:t>
            </w:r>
            <w:r>
              <w:rPr>
                <w:rFonts w:hint="eastAsia"/>
                <w:bCs/>
                <w:sz w:val="26"/>
                <w:szCs w:val="26"/>
                <w:lang w:eastAsia="zh-CN"/>
              </w:rPr>
              <w:t>、</w:t>
            </w:r>
            <w:r>
              <w:rPr>
                <w:rFonts w:hint="eastAsia"/>
                <w:bCs/>
                <w:sz w:val="26"/>
                <w:szCs w:val="26"/>
                <w:lang w:val="en-US" w:eastAsia="zh-CN"/>
              </w:rPr>
              <w:t>土壤</w:t>
            </w:r>
            <w:r>
              <w:rPr>
                <w:rFonts w:hint="eastAsia"/>
                <w:bCs/>
                <w:sz w:val="26"/>
                <w:szCs w:val="26"/>
              </w:rPr>
              <w:t>环境</w:t>
            </w:r>
            <w:r>
              <w:rPr>
                <w:bCs/>
                <w:sz w:val="26"/>
                <w:szCs w:val="26"/>
              </w:rPr>
              <w:t>影响分析</w:t>
            </w:r>
          </w:p>
          <w:p w14:paraId="479C0433">
            <w:pPr>
              <w:adjustRightInd w:val="0"/>
              <w:snapToGrid w:val="0"/>
              <w:spacing w:line="460" w:lineRule="exact"/>
              <w:ind w:firstLine="520" w:firstLineChars="200"/>
              <w:rPr>
                <w:rFonts w:hint="default" w:eastAsia="宋体"/>
                <w:bCs/>
                <w:sz w:val="26"/>
                <w:szCs w:val="26"/>
                <w:lang w:val="en-US" w:eastAsia="zh-CN"/>
              </w:rPr>
            </w:pPr>
            <w:r>
              <w:rPr>
                <w:rFonts w:hint="eastAsia"/>
                <w:bCs/>
                <w:sz w:val="26"/>
                <w:szCs w:val="26"/>
                <w:lang w:val="en-US" w:eastAsia="zh-CN"/>
              </w:rPr>
              <w:t>本项目改扩建后拟拆除现有化粪池和隔油池，同时改造新增设置化粪池1座和隔油沉淀池1座。将现有4座单层油罐更换为4座双层FF埋地油罐。</w:t>
            </w:r>
          </w:p>
          <w:p w14:paraId="3E585168">
            <w:pPr>
              <w:adjustRightInd w:val="0"/>
              <w:snapToGrid w:val="0"/>
              <w:spacing w:line="460" w:lineRule="exact"/>
              <w:ind w:firstLine="520" w:firstLineChars="200"/>
              <w:rPr>
                <w:bCs/>
                <w:sz w:val="26"/>
                <w:szCs w:val="26"/>
              </w:rPr>
            </w:pPr>
            <w:r>
              <w:rPr>
                <w:rFonts w:hint="eastAsia"/>
                <w:bCs/>
                <w:sz w:val="26"/>
                <w:szCs w:val="26"/>
              </w:rPr>
              <w:t>①废水对地下水</w:t>
            </w:r>
            <w:r>
              <w:rPr>
                <w:rFonts w:hint="eastAsia"/>
                <w:bCs/>
                <w:sz w:val="26"/>
                <w:szCs w:val="26"/>
                <w:lang w:eastAsia="zh-CN"/>
              </w:rPr>
              <w:t>、</w:t>
            </w:r>
            <w:r>
              <w:rPr>
                <w:rFonts w:hint="eastAsia"/>
                <w:bCs/>
                <w:sz w:val="26"/>
                <w:szCs w:val="26"/>
                <w:lang w:val="en-US" w:eastAsia="zh-CN"/>
              </w:rPr>
              <w:t>土壤</w:t>
            </w:r>
            <w:r>
              <w:rPr>
                <w:rFonts w:hint="eastAsia"/>
                <w:bCs/>
                <w:sz w:val="26"/>
                <w:szCs w:val="26"/>
              </w:rPr>
              <w:t>影响分析</w:t>
            </w:r>
          </w:p>
          <w:p w14:paraId="5D37CC6F">
            <w:pPr>
              <w:adjustRightInd w:val="0"/>
              <w:snapToGrid w:val="0"/>
              <w:spacing w:line="460" w:lineRule="exact"/>
              <w:ind w:firstLine="520" w:firstLineChars="200"/>
              <w:rPr>
                <w:bCs/>
                <w:sz w:val="26"/>
                <w:szCs w:val="26"/>
              </w:rPr>
            </w:pPr>
            <w:r>
              <w:rPr>
                <w:rFonts w:hint="eastAsia"/>
                <w:bCs/>
                <w:sz w:val="26"/>
                <w:szCs w:val="26"/>
                <w:lang w:val="en-US" w:eastAsia="zh-CN"/>
              </w:rPr>
              <w:t>根据项目设计方案，拟建项目改造后设置的</w:t>
            </w:r>
            <w:r>
              <w:rPr>
                <w:rFonts w:hint="eastAsia"/>
                <w:bCs/>
                <w:sz w:val="26"/>
                <w:szCs w:val="26"/>
              </w:rPr>
              <w:t>隔油</w:t>
            </w:r>
            <w:r>
              <w:rPr>
                <w:rFonts w:hint="eastAsia"/>
                <w:bCs/>
                <w:sz w:val="26"/>
                <w:szCs w:val="26"/>
                <w:lang w:val="en-US" w:eastAsia="zh-CN"/>
              </w:rPr>
              <w:t>沉淀</w:t>
            </w:r>
            <w:r>
              <w:rPr>
                <w:rFonts w:hint="eastAsia"/>
                <w:bCs/>
                <w:sz w:val="26"/>
                <w:szCs w:val="26"/>
              </w:rPr>
              <w:t>池</w:t>
            </w:r>
            <w:r>
              <w:rPr>
                <w:rFonts w:hint="eastAsia"/>
                <w:bCs/>
                <w:sz w:val="26"/>
                <w:szCs w:val="26"/>
                <w:lang w:val="en-US" w:eastAsia="zh-CN"/>
              </w:rPr>
              <w:t>拟</w:t>
            </w:r>
            <w:r>
              <w:rPr>
                <w:rFonts w:hint="eastAsia"/>
                <w:bCs/>
                <w:sz w:val="26"/>
                <w:szCs w:val="26"/>
              </w:rPr>
              <w:t>采取</w:t>
            </w:r>
            <w:r>
              <w:rPr>
                <w:rFonts w:hint="eastAsia"/>
                <w:bCs/>
                <w:sz w:val="26"/>
                <w:szCs w:val="26"/>
                <w:lang w:val="en-US" w:eastAsia="zh-CN"/>
              </w:rPr>
              <w:t>相关</w:t>
            </w:r>
            <w:r>
              <w:rPr>
                <w:rFonts w:hint="eastAsia"/>
                <w:bCs/>
                <w:sz w:val="26"/>
                <w:szCs w:val="26"/>
              </w:rPr>
              <w:t>防渗措施，保证废水不渗入地下，污染地下水</w:t>
            </w:r>
            <w:r>
              <w:rPr>
                <w:rFonts w:hint="eastAsia"/>
                <w:bCs/>
                <w:sz w:val="26"/>
                <w:szCs w:val="26"/>
                <w:lang w:eastAsia="zh-CN"/>
              </w:rPr>
              <w:t>。</w:t>
            </w:r>
            <w:r>
              <w:rPr>
                <w:rFonts w:hint="eastAsia"/>
                <w:bCs/>
                <w:sz w:val="26"/>
                <w:szCs w:val="26"/>
                <w:lang w:val="en-US" w:eastAsia="zh-CN"/>
              </w:rPr>
              <w:t>另外</w:t>
            </w:r>
            <w:r>
              <w:rPr>
                <w:rFonts w:hint="default" w:ascii="Times New Roman" w:hAnsi="Times New Roman" w:cs="Times New Roman"/>
                <w:color w:val="auto"/>
                <w:sz w:val="26"/>
                <w:szCs w:val="26"/>
              </w:rPr>
              <w:t>周边不存在地下水集中式饮用水源，且企业营运期产生的废水能妥善处置</w:t>
            </w:r>
            <w:r>
              <w:rPr>
                <w:rFonts w:hint="eastAsia" w:cs="Times New Roman"/>
                <w:color w:val="auto"/>
                <w:sz w:val="26"/>
                <w:szCs w:val="26"/>
                <w:lang w:val="en-US" w:eastAsia="zh-CN"/>
              </w:rPr>
              <w:t>后接入大九污水处理厂进一步处理。</w:t>
            </w:r>
            <w:r>
              <w:rPr>
                <w:rFonts w:hint="eastAsia"/>
                <w:bCs/>
                <w:sz w:val="26"/>
                <w:szCs w:val="26"/>
              </w:rPr>
              <w:t>因此，项目区内产生的</w:t>
            </w:r>
            <w:r>
              <w:rPr>
                <w:rFonts w:hint="eastAsia"/>
                <w:bCs/>
                <w:sz w:val="26"/>
                <w:szCs w:val="26"/>
                <w:lang w:val="en-US" w:eastAsia="zh-CN"/>
              </w:rPr>
              <w:t>生产</w:t>
            </w:r>
            <w:r>
              <w:rPr>
                <w:rFonts w:hint="eastAsia"/>
                <w:bCs/>
                <w:sz w:val="26"/>
                <w:szCs w:val="26"/>
              </w:rPr>
              <w:t>废水对地下水</w:t>
            </w:r>
            <w:r>
              <w:rPr>
                <w:rFonts w:hint="eastAsia"/>
                <w:bCs/>
                <w:sz w:val="26"/>
                <w:szCs w:val="26"/>
                <w:lang w:val="en-US" w:eastAsia="zh-CN"/>
              </w:rPr>
              <w:t>及土壤</w:t>
            </w:r>
            <w:r>
              <w:rPr>
                <w:rFonts w:hint="eastAsia"/>
                <w:bCs/>
                <w:sz w:val="26"/>
                <w:szCs w:val="26"/>
              </w:rPr>
              <w:t>的影响不大。</w:t>
            </w:r>
          </w:p>
          <w:p w14:paraId="40AAAD5E">
            <w:pPr>
              <w:adjustRightInd w:val="0"/>
              <w:snapToGrid w:val="0"/>
              <w:spacing w:line="460" w:lineRule="exact"/>
              <w:ind w:firstLine="520" w:firstLineChars="200"/>
              <w:rPr>
                <w:bCs/>
                <w:sz w:val="26"/>
                <w:szCs w:val="26"/>
              </w:rPr>
            </w:pPr>
            <w:r>
              <w:rPr>
                <w:rFonts w:hint="eastAsia"/>
                <w:bCs/>
                <w:sz w:val="26"/>
                <w:szCs w:val="26"/>
              </w:rPr>
              <w:t>②油品泄露对地下</w:t>
            </w:r>
            <w:r>
              <w:rPr>
                <w:rFonts w:hint="eastAsia"/>
                <w:bCs/>
                <w:sz w:val="26"/>
                <w:szCs w:val="26"/>
                <w:lang w:val="en-US" w:eastAsia="zh-CN"/>
              </w:rPr>
              <w:t>水、土壤</w:t>
            </w:r>
            <w:r>
              <w:rPr>
                <w:rFonts w:hint="eastAsia"/>
                <w:bCs/>
                <w:sz w:val="26"/>
                <w:szCs w:val="26"/>
              </w:rPr>
              <w:t>影响分析</w:t>
            </w:r>
          </w:p>
          <w:p w14:paraId="6EC9D054">
            <w:pPr>
              <w:adjustRightInd w:val="0"/>
              <w:snapToGrid w:val="0"/>
              <w:spacing w:line="460" w:lineRule="exact"/>
              <w:ind w:firstLine="520" w:firstLineChars="200"/>
              <w:rPr>
                <w:bCs/>
                <w:sz w:val="26"/>
                <w:szCs w:val="26"/>
              </w:rPr>
            </w:pPr>
            <w:r>
              <w:rPr>
                <w:rFonts w:hint="eastAsia"/>
                <w:bCs/>
                <w:sz w:val="26"/>
                <w:szCs w:val="26"/>
              </w:rPr>
              <w:t>本项目采用油罐为埋地式，储存物料为汽油和柴油，若产生泄漏事故，泄漏液体可能渗漏到地表以下，污染地下水水质。项目油罐壳体双层</w:t>
            </w:r>
            <w:r>
              <w:rPr>
                <w:rFonts w:hint="eastAsia"/>
                <w:bCs/>
                <w:sz w:val="26"/>
                <w:szCs w:val="26"/>
                <w:lang w:val="en-US" w:eastAsia="zh-CN"/>
              </w:rPr>
              <w:t>FF埋地</w:t>
            </w:r>
            <w:r>
              <w:rPr>
                <w:rFonts w:hint="eastAsia"/>
                <w:bCs/>
                <w:sz w:val="26"/>
                <w:szCs w:val="26"/>
              </w:rPr>
              <w:t>钢制</w:t>
            </w:r>
            <w:r>
              <w:rPr>
                <w:rFonts w:hint="eastAsia"/>
                <w:bCs/>
                <w:sz w:val="26"/>
                <w:szCs w:val="26"/>
                <w:lang w:val="en-US" w:eastAsia="zh-CN"/>
              </w:rPr>
              <w:t>油</w:t>
            </w:r>
            <w:r>
              <w:rPr>
                <w:rFonts w:hint="eastAsia"/>
                <w:bCs/>
                <w:sz w:val="26"/>
                <w:szCs w:val="26"/>
              </w:rPr>
              <w:t>罐，具有很好的防渗功能。当发生少量泄漏时，池体底部设置有漏油监测装置，能保证油罐一旦发生泄漏，能及时发现、及时处理，且本项目油罐区四周地面进行硬化处理，能够及时防止油料渗入地面，地面采用C30防渗混凝土，可有效防止油罐泄漏对地下水的污染。</w:t>
            </w:r>
          </w:p>
          <w:p w14:paraId="4F4A16E8">
            <w:pPr>
              <w:adjustRightInd w:val="0"/>
              <w:snapToGrid w:val="0"/>
              <w:spacing w:line="460" w:lineRule="exact"/>
              <w:ind w:firstLine="520" w:firstLineChars="200"/>
              <w:rPr>
                <w:kern w:val="44"/>
                <w:sz w:val="26"/>
                <w:szCs w:val="26"/>
                <w:lang w:bidi="ar"/>
              </w:rPr>
            </w:pPr>
            <w:r>
              <w:rPr>
                <w:kern w:val="44"/>
                <w:sz w:val="26"/>
                <w:szCs w:val="26"/>
                <w:lang w:bidi="ar"/>
              </w:rPr>
              <w:t>（2）</w:t>
            </w:r>
            <w:r>
              <w:rPr>
                <w:rFonts w:hint="eastAsia"/>
                <w:bCs/>
                <w:sz w:val="26"/>
                <w:szCs w:val="26"/>
              </w:rPr>
              <w:t>地下水</w:t>
            </w:r>
            <w:r>
              <w:rPr>
                <w:rFonts w:hint="eastAsia"/>
                <w:bCs/>
                <w:sz w:val="26"/>
                <w:szCs w:val="26"/>
                <w:lang w:eastAsia="zh-CN"/>
              </w:rPr>
              <w:t>、</w:t>
            </w:r>
            <w:r>
              <w:rPr>
                <w:rFonts w:hint="eastAsia"/>
                <w:bCs/>
                <w:sz w:val="26"/>
                <w:szCs w:val="26"/>
                <w:lang w:val="en-US" w:eastAsia="zh-CN"/>
              </w:rPr>
              <w:t>土壤</w:t>
            </w:r>
            <w:r>
              <w:rPr>
                <w:rFonts w:hint="eastAsia"/>
                <w:bCs/>
                <w:sz w:val="26"/>
                <w:szCs w:val="26"/>
              </w:rPr>
              <w:t>污染</w:t>
            </w:r>
            <w:r>
              <w:rPr>
                <w:kern w:val="44"/>
                <w:sz w:val="26"/>
                <w:szCs w:val="26"/>
                <w:lang w:bidi="ar"/>
              </w:rPr>
              <w:t>防治措施</w:t>
            </w:r>
          </w:p>
          <w:p w14:paraId="0CAE5EEF">
            <w:pPr>
              <w:pStyle w:val="64"/>
              <w:rPr>
                <w:rFonts w:hint="eastAsia"/>
              </w:rPr>
            </w:pPr>
            <w:r>
              <w:rPr>
                <w:rFonts w:hint="eastAsia"/>
              </w:rPr>
              <w:t>本项目地下水及土壤污染防治措施按照“源头控制、分区防治、污染监控、应急响应”相结合的原则，从污染物的产生、入渗、扩散、应急响应全方位进行控制。</w:t>
            </w:r>
          </w:p>
          <w:p w14:paraId="4F62BC1C">
            <w:pPr>
              <w:pStyle w:val="64"/>
              <w:rPr>
                <w:rFonts w:hint="eastAsia"/>
              </w:rPr>
            </w:pPr>
            <w:r>
              <w:rPr>
                <w:rFonts w:hint="eastAsia"/>
              </w:rPr>
              <w:t>①源头控制措施</w:t>
            </w:r>
          </w:p>
          <w:p w14:paraId="703D6FA3">
            <w:pPr>
              <w:pStyle w:val="64"/>
              <w:numPr>
                <w:ilvl w:val="0"/>
                <w:numId w:val="0"/>
              </w:numPr>
              <w:ind w:firstLine="520" w:firstLineChars="200"/>
              <w:rPr>
                <w:rFonts w:hint="eastAsia"/>
              </w:rPr>
            </w:pPr>
            <w:r>
              <w:rPr>
                <w:rFonts w:hint="eastAsia" w:ascii="Times New Roman" w:hAnsi="Times New Roman" w:eastAsia="宋体" w:cs="Times New Roman"/>
                <w:bCs/>
                <w:kern w:val="2"/>
                <w:sz w:val="26"/>
                <w:szCs w:val="20"/>
                <w:lang w:val="en-US" w:eastAsia="zh-CN" w:bidi="ar-SA"/>
              </w:rPr>
              <w:t>I、</w:t>
            </w:r>
            <w:r>
              <w:rPr>
                <w:rFonts w:hint="eastAsia"/>
              </w:rPr>
              <w:t>本项目采用双层FF埋地油罐，FF全名为玻璃纤维增强塑料双层油罐，内外两层皆为玻璃纤维增强塑料制造而成，中间具有贯通间隙空间，双层油罐如果内罐渗漏，双层间隙内带有一定压力的气体或检测液，会进入常压的内罐；双层间隙内的压力或液位会发生变化，触发防渗漏在线检测仪报警器，泄漏检测仪24小时实时监控，监测到间隙空间底部液位时发出警报。储液渗漏进双层间隙后，由于外罐完好，储液并不会漏出。如果外罐渗漏，双层间隙内带有一定压力的气体或检测液，会进入土壤。同理，双层间隙内的压力或液位会发生变化，触发防渗漏在线检测仪报警器。此时，由于内罐是完好的，储液安全；进入土壤的只有气体或检测液，由于内罐接触的储液与外罐所接触的土壤、地下水，属于不同介质，对罐体材料腐蚀速率不同，在同一时间发生渗漏的概率几乎为零。因此，可以杜绝储液漏出罐外，因此，不会对土壤和地下水产生影响。</w:t>
            </w:r>
          </w:p>
          <w:p w14:paraId="53E38816">
            <w:pPr>
              <w:pStyle w:val="64"/>
              <w:numPr>
                <w:ilvl w:val="0"/>
                <w:numId w:val="0"/>
              </w:numPr>
              <w:ind w:firstLine="520" w:firstLineChars="200"/>
              <w:rPr>
                <w:rFonts w:hint="eastAsia"/>
              </w:rPr>
            </w:pPr>
            <w:r>
              <w:rPr>
                <w:rFonts w:hint="eastAsia" w:ascii="Times New Roman" w:hAnsi="Times New Roman" w:eastAsia="宋体" w:cs="Times New Roman"/>
                <w:bCs/>
                <w:kern w:val="2"/>
                <w:sz w:val="26"/>
                <w:szCs w:val="20"/>
                <w:lang w:val="en-US" w:eastAsia="zh-CN" w:bidi="ar-SA"/>
              </w:rPr>
              <w:t>II、</w:t>
            </w:r>
            <w:r>
              <w:rPr>
                <w:rFonts w:hint="eastAsia"/>
              </w:rPr>
              <w:t>加油管采用导静电热塑性塑料双层管道，卸油管道、油气回收管道、通气管道采用输送流体用无缝钢管。储油罐、加油机底槽、加油管道设置渗漏检测装置，信号传输至值班室集中声光报警箱，加油机底槽采用成品复合材料底槽，油气发生泄漏可第一时间发现并处理。</w:t>
            </w:r>
          </w:p>
          <w:p w14:paraId="641EAE12">
            <w:pPr>
              <w:pStyle w:val="64"/>
              <w:numPr>
                <w:ilvl w:val="0"/>
                <w:numId w:val="0"/>
              </w:numPr>
              <w:ind w:firstLine="520" w:firstLineChars="200"/>
              <w:rPr>
                <w:rFonts w:hint="eastAsia"/>
              </w:rPr>
            </w:pPr>
            <w:r>
              <w:rPr>
                <w:rFonts w:hint="eastAsia"/>
              </w:rPr>
              <w:t>III、加油枪采用自封式，汽油加油枪的流量不应大于50L/min；加油软管上设安全拉断阀；加油机底部供油管道上设剪切阀，当加油机被撞时，剪切阀能自动关闭。</w:t>
            </w:r>
          </w:p>
          <w:p w14:paraId="2A4F688D">
            <w:pPr>
              <w:pStyle w:val="64"/>
              <w:numPr>
                <w:ilvl w:val="0"/>
                <w:numId w:val="0"/>
              </w:numPr>
              <w:ind w:firstLine="520" w:firstLineChars="200"/>
              <w:rPr>
                <w:rFonts w:hint="eastAsia"/>
              </w:rPr>
            </w:pPr>
            <w:r>
              <w:rPr>
                <w:rFonts w:hint="eastAsia" w:ascii="Times New Roman" w:hAnsi="Times New Roman" w:eastAsia="宋体" w:cs="Times New Roman"/>
              </w:rPr>
              <w:t xml:space="preserve"> Ⅳ、工作人员应</w:t>
            </w:r>
            <w:r>
              <w:rPr>
                <w:rFonts w:hint="eastAsia"/>
              </w:rPr>
              <w:t>加强场地的检修、加固，防止渗漏，</w:t>
            </w:r>
            <w:r>
              <w:rPr>
                <w:rFonts w:hint="eastAsia"/>
                <w:lang w:val="en-US" w:eastAsia="zh-CN"/>
              </w:rPr>
              <w:t>从而</w:t>
            </w:r>
            <w:r>
              <w:rPr>
                <w:rFonts w:hint="eastAsia"/>
              </w:rPr>
              <w:t>对地下水造成污染。</w:t>
            </w:r>
          </w:p>
          <w:p w14:paraId="701F578F">
            <w:pPr>
              <w:pStyle w:val="64"/>
              <w:numPr>
                <w:ilvl w:val="0"/>
                <w:numId w:val="0"/>
              </w:numPr>
              <w:ind w:firstLine="520" w:firstLineChars="200"/>
              <w:rPr>
                <w:rFonts w:hint="eastAsia"/>
              </w:rPr>
            </w:pPr>
            <w:r>
              <w:rPr>
                <w:rFonts w:hint="eastAsia"/>
              </w:rPr>
              <w:t>②防渗分区防治及措施</w:t>
            </w:r>
          </w:p>
          <w:p w14:paraId="0BC1B44B">
            <w:pPr>
              <w:pStyle w:val="64"/>
              <w:numPr>
                <w:ilvl w:val="0"/>
                <w:numId w:val="0"/>
              </w:numPr>
              <w:ind w:firstLine="520" w:firstLineChars="200"/>
              <w:rPr>
                <w:rFonts w:hint="eastAsia"/>
              </w:rPr>
            </w:pPr>
            <w:r>
              <w:rPr>
                <w:rFonts w:hint="eastAsia"/>
              </w:rPr>
              <w:t>根据防渗分区技术方法及本项目的工程分析，将</w:t>
            </w:r>
            <w:r>
              <w:rPr>
                <w:rFonts w:hint="eastAsia"/>
                <w:lang w:val="en-US" w:eastAsia="zh-CN"/>
              </w:rPr>
              <w:t>站内功能区</w:t>
            </w:r>
            <w:r>
              <w:rPr>
                <w:rFonts w:hint="eastAsia"/>
              </w:rPr>
              <w:t>划分为重点防渗区</w:t>
            </w:r>
            <w:r>
              <w:rPr>
                <w:rFonts w:hint="eastAsia"/>
                <w:lang w:eastAsia="zh-CN"/>
              </w:rPr>
              <w:t>、</w:t>
            </w:r>
            <w:r>
              <w:rPr>
                <w:rFonts w:hint="eastAsia"/>
              </w:rPr>
              <w:t>一般防渗区</w:t>
            </w:r>
            <w:r>
              <w:rPr>
                <w:rFonts w:hint="eastAsia"/>
                <w:lang w:val="en-US" w:eastAsia="zh-CN"/>
              </w:rPr>
              <w:t>和简单防渗区</w:t>
            </w:r>
            <w:r>
              <w:rPr>
                <w:rFonts w:hint="eastAsia"/>
              </w:rPr>
              <w:t>。</w:t>
            </w:r>
          </w:p>
          <w:p w14:paraId="44055C50">
            <w:pPr>
              <w:pStyle w:val="64"/>
              <w:numPr>
                <w:ilvl w:val="0"/>
                <w:numId w:val="0"/>
              </w:numPr>
              <w:ind w:firstLine="520" w:firstLineChars="200"/>
              <w:rPr>
                <w:rFonts w:hint="eastAsia"/>
              </w:rPr>
            </w:pPr>
            <w:r>
              <w:rPr>
                <w:rFonts w:hint="eastAsia"/>
              </w:rPr>
              <w:t>重点防渗区：</w:t>
            </w:r>
            <w:r>
              <w:rPr>
                <w:rFonts w:hint="eastAsia"/>
                <w:lang w:val="en-US" w:eastAsia="zh-CN"/>
              </w:rPr>
              <w:t>包括埋</w:t>
            </w:r>
            <w:r>
              <w:t>地油罐、加油区、</w:t>
            </w:r>
            <w:r>
              <w:rPr>
                <w:rFonts w:hint="eastAsia"/>
                <w:lang w:val="en-US" w:eastAsia="zh-CN"/>
              </w:rPr>
              <w:t>卸油区、</w:t>
            </w:r>
            <w:r>
              <w:t>危险废物</w:t>
            </w:r>
            <w:r>
              <w:rPr>
                <w:rFonts w:hint="eastAsia"/>
                <w:lang w:val="en-US" w:eastAsia="zh-CN"/>
              </w:rPr>
              <w:t>贮存点</w:t>
            </w:r>
            <w:r>
              <w:t>、隔油</w:t>
            </w:r>
            <w:r>
              <w:rPr>
                <w:rFonts w:hint="eastAsia"/>
                <w:lang w:val="en-US" w:eastAsia="zh-CN"/>
              </w:rPr>
              <w:t>沉淀</w:t>
            </w:r>
            <w:r>
              <w:t>池、卸油区以及工艺管线</w:t>
            </w:r>
            <w:r>
              <w:rPr>
                <w:rFonts w:hint="eastAsia"/>
                <w:lang w:eastAsia="zh-CN"/>
              </w:rPr>
              <w:t>。</w:t>
            </w:r>
            <w:r>
              <w:rPr>
                <w:rFonts w:hint="eastAsia"/>
              </w:rPr>
              <w:t>按照《危险废物贮存污染控制标准》的要求，地面采用坚固、防渗、耐腐蚀的钢筋混凝土材料铺设，地面按照《环境影响评价技术导则—地下水环境》（HJ610-2016）中等效黏土防渗层 Mb≥6.0m，渗透系数K≤1.0×10</w:t>
            </w:r>
            <w:r>
              <w:rPr>
                <w:rFonts w:hint="eastAsia"/>
                <w:vertAlign w:val="superscript"/>
              </w:rPr>
              <w:t>-7</w:t>
            </w:r>
            <w:r>
              <w:rPr>
                <w:rFonts w:hint="eastAsia"/>
              </w:rPr>
              <w:t>cm/s的要求。</w:t>
            </w:r>
          </w:p>
          <w:p w14:paraId="6D89C4E5">
            <w:pPr>
              <w:pStyle w:val="64"/>
              <w:numPr>
                <w:ilvl w:val="0"/>
                <w:numId w:val="0"/>
              </w:numPr>
              <w:ind w:firstLine="520" w:firstLineChars="200"/>
              <w:rPr>
                <w:szCs w:val="21"/>
              </w:rPr>
            </w:pPr>
            <w:r>
              <w:rPr>
                <w:szCs w:val="21"/>
              </w:rPr>
              <w:t>一般防渗区</w:t>
            </w:r>
            <w:r>
              <w:rPr>
                <w:rFonts w:hint="eastAsia"/>
                <w:szCs w:val="21"/>
                <w:lang w:eastAsia="zh-CN"/>
              </w:rPr>
              <w:t>：</w:t>
            </w:r>
            <w:r>
              <w:rPr>
                <w:rFonts w:hint="eastAsia"/>
                <w:szCs w:val="21"/>
                <w:lang w:val="en-US" w:eastAsia="zh-CN"/>
              </w:rPr>
              <w:t>包括</w:t>
            </w:r>
            <w:r>
              <w:rPr>
                <w:rFonts w:hint="eastAsia"/>
                <w:lang w:eastAsia="zh-CN"/>
              </w:rPr>
              <w:t>化粪池</w:t>
            </w:r>
            <w:r>
              <w:t>、应急柴油发电机房</w:t>
            </w:r>
            <w:r>
              <w:rPr>
                <w:rFonts w:hint="eastAsia"/>
                <w:lang w:eastAsia="zh-CN"/>
              </w:rPr>
              <w:t>、</w:t>
            </w:r>
            <w:r>
              <w:rPr>
                <w:rFonts w:hint="eastAsia"/>
                <w:lang w:val="en-US" w:eastAsia="zh-CN"/>
              </w:rPr>
              <w:t>自动洗车区</w:t>
            </w:r>
            <w:r>
              <w:t>等</w:t>
            </w:r>
            <w:r>
              <w:rPr>
                <w:szCs w:val="21"/>
              </w:rPr>
              <w:t>，防渗层渗透系数≤10</w:t>
            </w:r>
            <w:r>
              <w:rPr>
                <w:szCs w:val="21"/>
                <w:vertAlign w:val="superscript"/>
              </w:rPr>
              <w:t>-7</w:t>
            </w:r>
            <w:r>
              <w:rPr>
                <w:szCs w:val="21"/>
              </w:rPr>
              <w:t>cm/s 或与1.5m厚粘土层等效；</w:t>
            </w:r>
          </w:p>
          <w:p w14:paraId="6F6CB2C6">
            <w:pPr>
              <w:pStyle w:val="64"/>
              <w:numPr>
                <w:ilvl w:val="0"/>
                <w:numId w:val="0"/>
              </w:numPr>
              <w:ind w:firstLine="520" w:firstLineChars="200"/>
              <w:rPr>
                <w:rFonts w:hint="eastAsia"/>
              </w:rPr>
            </w:pPr>
            <w:r>
              <w:rPr>
                <w:szCs w:val="21"/>
              </w:rPr>
              <w:t>简单防渗区</w:t>
            </w:r>
            <w:r>
              <w:rPr>
                <w:rFonts w:hint="eastAsia"/>
                <w:szCs w:val="21"/>
                <w:lang w:eastAsia="zh-CN"/>
              </w:rPr>
              <w:t>：</w:t>
            </w:r>
            <w:r>
              <w:rPr>
                <w:rFonts w:hint="eastAsia"/>
                <w:szCs w:val="21"/>
                <w:lang w:val="en-US" w:eastAsia="zh-CN"/>
              </w:rPr>
              <w:t>包括站内</w:t>
            </w:r>
            <w:r>
              <w:t>道路、站房</w:t>
            </w:r>
            <w:r>
              <w:rPr>
                <w:szCs w:val="21"/>
              </w:rPr>
              <w:t>，地面应硬化；</w:t>
            </w:r>
          </w:p>
          <w:p w14:paraId="3B84064B">
            <w:pPr>
              <w:pStyle w:val="64"/>
            </w:pPr>
            <w:r>
              <w:rPr>
                <w:rFonts w:hint="eastAsia"/>
              </w:rPr>
              <w:t>③其他措施</w:t>
            </w:r>
          </w:p>
          <w:p w14:paraId="4AE35B02">
            <w:pPr>
              <w:pStyle w:val="64"/>
            </w:pPr>
            <w:r>
              <w:rPr>
                <w:rFonts w:hint="eastAsia"/>
              </w:rPr>
              <w:t>项目位于城市建成区，加油站内部地面均全域硬化，项目在改扩建过程中将对拆除重建的储罐区、加油区设置基础防渗，更替设备时配套设置液位仪、油气渗漏在线检测系统、防溢阀等泄露</w:t>
            </w:r>
            <w:r>
              <w:rPr>
                <w:rFonts w:hint="eastAsia"/>
                <w:lang w:val="en-US" w:eastAsia="zh-CN"/>
              </w:rPr>
              <w:t>防控</w:t>
            </w:r>
            <w:r>
              <w:rPr>
                <w:rFonts w:hint="eastAsia"/>
              </w:rPr>
              <w:t>措施，能预警以减缓泄露造成的渗漏影响。</w:t>
            </w:r>
          </w:p>
          <w:p w14:paraId="4832D8F0">
            <w:pPr>
              <w:pStyle w:val="64"/>
            </w:pPr>
            <w:r>
              <w:rPr>
                <w:rFonts w:hint="eastAsia"/>
              </w:rPr>
              <w:t>④管理措施</w:t>
            </w:r>
          </w:p>
          <w:p w14:paraId="61B94EA5">
            <w:pPr>
              <w:pStyle w:val="64"/>
              <w:rPr>
                <w:rFonts w:hint="eastAsia"/>
              </w:rPr>
            </w:pPr>
            <w:r>
              <w:rPr>
                <w:rFonts w:hint="eastAsia"/>
              </w:rPr>
              <w:t>加强运行管理，从油品储存、运输等全过程控制油品泄漏，采取行之有效的防渗措施，定期检查污染源地下水保护设施，及时消除污染隐患，杜绝跑冒滴漏现象：发现有污染物泄漏或渗漏，采取清理污染物和修补漏洞（缝）等补救措施。</w:t>
            </w:r>
          </w:p>
          <w:p w14:paraId="6851B694">
            <w:pPr>
              <w:pStyle w:val="64"/>
              <w:rPr>
                <w:rFonts w:hint="eastAsia"/>
                <w:lang w:val="en-US" w:eastAsia="zh-CN"/>
              </w:rPr>
            </w:pPr>
            <w:r>
              <w:rPr>
                <w:rFonts w:hint="eastAsia"/>
                <w:lang w:val="en-US" w:eastAsia="zh-CN"/>
              </w:rPr>
              <w:t>⑤风险事故应急响应</w:t>
            </w:r>
          </w:p>
          <w:p w14:paraId="7CADB668">
            <w:pPr>
              <w:pStyle w:val="64"/>
              <w:rPr>
                <w:rFonts w:hint="default"/>
                <w:lang w:val="en-US" w:eastAsia="zh-CN"/>
              </w:rPr>
            </w:pPr>
            <w:r>
              <w:rPr>
                <w:rFonts w:hint="default"/>
                <w:lang w:val="en-US" w:eastAsia="zh-CN"/>
              </w:rPr>
              <w:t>发现渗漏时应立即停止运营，组织人员查明渗漏源头，采取补救措施。</w:t>
            </w:r>
          </w:p>
          <w:p w14:paraId="1D0AF985">
            <w:pPr>
              <w:adjustRightInd w:val="0"/>
              <w:snapToGrid w:val="0"/>
              <w:spacing w:line="460" w:lineRule="exact"/>
              <w:ind w:firstLine="520" w:firstLineChars="200"/>
              <w:rPr>
                <w:kern w:val="44"/>
                <w:sz w:val="26"/>
                <w:szCs w:val="26"/>
                <w:lang w:bidi="ar"/>
              </w:rPr>
            </w:pPr>
            <w:r>
              <w:rPr>
                <w:rFonts w:hint="eastAsia"/>
                <w:bCs/>
                <w:sz w:val="26"/>
                <w:szCs w:val="26"/>
              </w:rPr>
              <w:t>（3）</w:t>
            </w:r>
            <w:r>
              <w:rPr>
                <w:rFonts w:hint="eastAsia"/>
                <w:kern w:val="44"/>
                <w:sz w:val="26"/>
                <w:szCs w:val="26"/>
                <w:lang w:bidi="ar"/>
              </w:rPr>
              <w:t>地下水跟踪监测计划</w:t>
            </w:r>
          </w:p>
          <w:p w14:paraId="4913142B">
            <w:pPr>
              <w:pStyle w:val="64"/>
            </w:pPr>
            <w:r>
              <w:rPr>
                <w:rFonts w:hint="eastAsia" w:cs="宋体"/>
              </w:rPr>
              <w:t>根据《加油站地下水污染防治技术指南（试行）》（环办水体函</w:t>
            </w:r>
            <w:r>
              <w:rPr>
                <w:szCs w:val="26"/>
              </w:rPr>
              <w:t>〔201</w:t>
            </w:r>
            <w:r>
              <w:rPr>
                <w:rFonts w:hint="eastAsia"/>
                <w:szCs w:val="26"/>
              </w:rPr>
              <w:t>7</w:t>
            </w:r>
            <w:r>
              <w:rPr>
                <w:szCs w:val="26"/>
              </w:rPr>
              <w:t>〕</w:t>
            </w:r>
            <w:r>
              <w:rPr>
                <w:rFonts w:hint="eastAsia" w:cs="宋体"/>
              </w:rPr>
              <w:t>323号），</w:t>
            </w:r>
            <w:r>
              <w:rPr>
                <w:rFonts w:hint="eastAsia"/>
              </w:rPr>
              <w:t>建设单位应建立地下水环境监测管理体系，制定地下水环境跟踪监测与信息公开计划，以便及时发现问题，采取措施，避免对地下水环境造成污染。一旦发现问题，本项目的工作人员应及时进行检查，判断本项目是否有液体物料渗漏且污染地</w:t>
            </w:r>
            <w:r>
              <w:rPr>
                <w:rFonts w:hint="eastAsia"/>
                <w:szCs w:val="26"/>
              </w:rPr>
              <w:t>下水的情况，根据情况及时采取补救措施。</w:t>
            </w:r>
          </w:p>
          <w:p w14:paraId="7BF99FF1">
            <w:pPr>
              <w:pStyle w:val="64"/>
            </w:pPr>
            <w:r>
              <w:rPr>
                <w:rFonts w:hint="eastAsia"/>
              </w:rPr>
              <w:t>项目在储油罐区设置地下水跟踪观察井，</w:t>
            </w:r>
            <w:r>
              <w:rPr>
                <w:rFonts w:hint="eastAsia"/>
                <w:lang w:val="en-US" w:eastAsia="zh-CN"/>
              </w:rPr>
              <w:t>同时在站区东侧绿化带内设置地下水监控井，定期</w:t>
            </w:r>
            <w:r>
              <w:rPr>
                <w:rFonts w:hint="eastAsia"/>
              </w:rPr>
              <w:t>开展地下水跟踪监测。本项目油罐为</w:t>
            </w:r>
            <w:r>
              <w:rPr>
                <w:rFonts w:hint="eastAsia"/>
                <w:bCs w:val="0"/>
                <w:szCs w:val="26"/>
              </w:rPr>
              <w:t>双层钢制罐</w:t>
            </w:r>
            <w:r>
              <w:rPr>
                <w:rFonts w:hint="eastAsia"/>
              </w:rPr>
              <w:t>，具有很好的防渗功能，符合《汽车加油加气加氢站技术标准》（GB50156-2021）的要求。</w:t>
            </w:r>
            <w:r>
              <w:rPr>
                <w:kern w:val="44"/>
                <w:szCs w:val="26"/>
                <w:lang w:bidi="ar"/>
              </w:rPr>
              <w:t>参照</w:t>
            </w:r>
            <w:r>
              <w:rPr>
                <w:rFonts w:hint="eastAsia"/>
                <w:kern w:val="44"/>
                <w:szCs w:val="26"/>
                <w:lang w:eastAsia="zh-CN" w:bidi="ar"/>
              </w:rPr>
              <w:t>《</w:t>
            </w:r>
            <w:r>
              <w:rPr>
                <w:rFonts w:hint="eastAsia"/>
                <w:kern w:val="44"/>
                <w:szCs w:val="26"/>
                <w:lang w:bidi="ar"/>
              </w:rPr>
              <w:t>排污单位自行监测技术指南 储油库、加油站</w:t>
            </w:r>
            <w:r>
              <w:rPr>
                <w:rFonts w:hint="eastAsia"/>
                <w:kern w:val="44"/>
                <w:szCs w:val="26"/>
                <w:lang w:eastAsia="zh-CN" w:bidi="ar"/>
              </w:rPr>
              <w:t>》</w:t>
            </w:r>
            <w:r>
              <w:rPr>
                <w:rFonts w:hint="eastAsia"/>
                <w:kern w:val="44"/>
                <w:szCs w:val="26"/>
                <w:lang w:bidi="ar"/>
              </w:rPr>
              <w:t>（HJ 1249—2022）</w:t>
            </w:r>
            <w:r>
              <w:rPr>
                <w:kern w:val="44"/>
                <w:szCs w:val="26"/>
                <w:lang w:bidi="ar"/>
              </w:rPr>
              <w:t>，</w:t>
            </w:r>
            <w:r>
              <w:rPr>
                <w:rFonts w:hint="eastAsia"/>
              </w:rPr>
              <w:t>本次评价提出后续按照要求定期开展地下水跟踪监测。</w:t>
            </w:r>
          </w:p>
          <w:p w14:paraId="073D4E9F">
            <w:pPr>
              <w:pStyle w:val="64"/>
            </w:pPr>
            <w:r>
              <w:rPr>
                <w:rFonts w:hint="eastAsia" w:cs="宋体"/>
                <w:szCs w:val="26"/>
                <w:lang w:val="en-US" w:eastAsia="zh-CN"/>
              </w:rPr>
              <w:t>首先进行定性监测：</w:t>
            </w:r>
            <w:r>
              <w:rPr>
                <w:rFonts w:hint="eastAsia" w:cs="宋体"/>
                <w:szCs w:val="26"/>
              </w:rPr>
              <w:t>可通过肉眼观察、使用测油膏、便携式气体监测仪等其他快速方法判定地下水监测井中是否存在油品污染，定性监测每周一次。若定性监测发现地下水存在油品污染，立即启动定量监测；若定性监测未发现问题，则每季度监测1次，</w:t>
            </w:r>
            <w:r>
              <w:rPr>
                <w:rFonts w:hint="eastAsia"/>
              </w:rPr>
              <w:t>本项目地下水跟踪监测计划见下表4</w:t>
            </w:r>
            <w:r>
              <w:t>.</w:t>
            </w:r>
            <w:r>
              <w:rPr>
                <w:rFonts w:hint="eastAsia"/>
                <w:lang w:val="en-US" w:eastAsia="zh-CN"/>
              </w:rPr>
              <w:t>2-20</w:t>
            </w:r>
            <w:r>
              <w:rPr>
                <w:rFonts w:hint="eastAsia"/>
              </w:rPr>
              <w:t>。</w:t>
            </w:r>
          </w:p>
          <w:p w14:paraId="55FDE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6"/>
                <w:szCs w:val="26"/>
              </w:rPr>
            </w:pPr>
            <w:r>
              <w:rPr>
                <w:sz w:val="22"/>
                <w:szCs w:val="22"/>
              </w:rPr>
              <w:t>表4.2</w:t>
            </w:r>
            <w:r>
              <w:rPr>
                <w:rFonts w:hint="eastAsia"/>
                <w:sz w:val="22"/>
                <w:szCs w:val="22"/>
                <w:lang w:val="en-US" w:eastAsia="zh-CN"/>
              </w:rPr>
              <w:t xml:space="preserve">-20  </w:t>
            </w:r>
            <w:r>
              <w:rPr>
                <w:rFonts w:hint="eastAsia"/>
                <w:sz w:val="22"/>
                <w:szCs w:val="22"/>
              </w:rPr>
              <w:t>本项目地下水跟踪监测计划一览表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37"/>
              <w:gridCol w:w="2617"/>
              <w:gridCol w:w="966"/>
              <w:gridCol w:w="2141"/>
            </w:tblGrid>
            <w:tr w14:paraId="53C2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center"/>
                </w:tcPr>
                <w:p w14:paraId="0850D0FF">
                  <w:pPr>
                    <w:pStyle w:val="71"/>
                    <w:rPr>
                      <w:color w:val="auto"/>
                      <w:szCs w:val="22"/>
                    </w:rPr>
                  </w:pPr>
                  <w:r>
                    <w:rPr>
                      <w:rFonts w:hint="eastAsia"/>
                      <w:color w:val="auto"/>
                      <w:szCs w:val="22"/>
                    </w:rPr>
                    <w:t>监测对象</w:t>
                  </w:r>
                </w:p>
              </w:tc>
              <w:tc>
                <w:tcPr>
                  <w:tcW w:w="1437" w:type="dxa"/>
                  <w:vAlign w:val="center"/>
                </w:tcPr>
                <w:p w14:paraId="1F6E8D12">
                  <w:pPr>
                    <w:pStyle w:val="71"/>
                    <w:rPr>
                      <w:color w:val="auto"/>
                      <w:szCs w:val="22"/>
                    </w:rPr>
                  </w:pPr>
                  <w:r>
                    <w:rPr>
                      <w:rFonts w:hint="eastAsia"/>
                      <w:color w:val="auto"/>
                      <w:szCs w:val="22"/>
                    </w:rPr>
                    <w:t>监测点位</w:t>
                  </w:r>
                </w:p>
              </w:tc>
              <w:tc>
                <w:tcPr>
                  <w:tcW w:w="2617" w:type="dxa"/>
                  <w:vAlign w:val="center"/>
                </w:tcPr>
                <w:p w14:paraId="6F26BB7C">
                  <w:pPr>
                    <w:pStyle w:val="71"/>
                    <w:rPr>
                      <w:color w:val="auto"/>
                      <w:szCs w:val="22"/>
                    </w:rPr>
                  </w:pPr>
                  <w:r>
                    <w:rPr>
                      <w:rFonts w:hint="eastAsia"/>
                      <w:color w:val="auto"/>
                      <w:szCs w:val="22"/>
                    </w:rPr>
                    <w:t>监测因子</w:t>
                  </w:r>
                </w:p>
              </w:tc>
              <w:tc>
                <w:tcPr>
                  <w:tcW w:w="966" w:type="dxa"/>
                  <w:vAlign w:val="center"/>
                </w:tcPr>
                <w:p w14:paraId="3BF37CFB">
                  <w:pPr>
                    <w:pStyle w:val="71"/>
                    <w:rPr>
                      <w:color w:val="auto"/>
                      <w:szCs w:val="22"/>
                    </w:rPr>
                  </w:pPr>
                  <w:r>
                    <w:rPr>
                      <w:rFonts w:hint="eastAsia"/>
                      <w:color w:val="auto"/>
                      <w:szCs w:val="22"/>
                    </w:rPr>
                    <w:t>监测频次</w:t>
                  </w:r>
                </w:p>
              </w:tc>
              <w:tc>
                <w:tcPr>
                  <w:tcW w:w="2141" w:type="dxa"/>
                  <w:vAlign w:val="center"/>
                </w:tcPr>
                <w:p w14:paraId="070E899F">
                  <w:pPr>
                    <w:pStyle w:val="71"/>
                    <w:rPr>
                      <w:color w:val="auto"/>
                      <w:szCs w:val="22"/>
                    </w:rPr>
                  </w:pPr>
                  <w:r>
                    <w:rPr>
                      <w:rFonts w:hint="eastAsia"/>
                      <w:color w:val="auto"/>
                      <w:szCs w:val="22"/>
                    </w:rPr>
                    <w:t>执行标准</w:t>
                  </w:r>
                </w:p>
              </w:tc>
            </w:tr>
            <w:tr w14:paraId="2EF8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5" w:type="dxa"/>
                  <w:vAlign w:val="center"/>
                </w:tcPr>
                <w:p w14:paraId="5EA340F6">
                  <w:pPr>
                    <w:pStyle w:val="71"/>
                    <w:rPr>
                      <w:color w:val="auto"/>
                      <w:szCs w:val="22"/>
                    </w:rPr>
                  </w:pPr>
                  <w:r>
                    <w:rPr>
                      <w:rFonts w:hint="eastAsia"/>
                      <w:color w:val="auto"/>
                      <w:szCs w:val="22"/>
                      <w:lang w:bidi="ar"/>
                    </w:rPr>
                    <w:t>地下水</w:t>
                  </w:r>
                </w:p>
              </w:tc>
              <w:tc>
                <w:tcPr>
                  <w:tcW w:w="1437" w:type="dxa"/>
                  <w:vAlign w:val="center"/>
                </w:tcPr>
                <w:p w14:paraId="38000C90">
                  <w:pPr>
                    <w:pStyle w:val="71"/>
                    <w:rPr>
                      <w:color w:val="auto"/>
                      <w:szCs w:val="22"/>
                    </w:rPr>
                  </w:pPr>
                  <w:r>
                    <w:rPr>
                      <w:rFonts w:hint="eastAsia"/>
                      <w:color w:val="auto"/>
                      <w:szCs w:val="22"/>
                    </w:rPr>
                    <w:t>站区东侧绿化带内</w:t>
                  </w:r>
                  <w:r>
                    <w:rPr>
                      <w:rFonts w:hint="eastAsia"/>
                      <w:color w:val="auto"/>
                      <w:szCs w:val="22"/>
                      <w:lang w:val="en-US" w:eastAsia="zh-CN"/>
                    </w:rPr>
                    <w:t>地下水监控</w:t>
                  </w:r>
                  <w:r>
                    <w:rPr>
                      <w:rFonts w:hint="eastAsia"/>
                      <w:color w:val="auto"/>
                      <w:szCs w:val="22"/>
                    </w:rPr>
                    <w:t>井</w:t>
                  </w:r>
                </w:p>
              </w:tc>
              <w:tc>
                <w:tcPr>
                  <w:tcW w:w="2617" w:type="dxa"/>
                  <w:vAlign w:val="center"/>
                </w:tcPr>
                <w:p w14:paraId="74EEB911">
                  <w:pPr>
                    <w:pStyle w:val="71"/>
                    <w:rPr>
                      <w:color w:val="auto"/>
                      <w:szCs w:val="22"/>
                    </w:rPr>
                  </w:pPr>
                  <w:r>
                    <w:rPr>
                      <w:rFonts w:hint="eastAsia"/>
                      <w:color w:val="auto"/>
                      <w:szCs w:val="22"/>
                    </w:rPr>
                    <w:t>石油类、石油烃（C6~C9）、石油烃（C10~C40）、甲基叔丁基醚</w:t>
                  </w:r>
                </w:p>
              </w:tc>
              <w:tc>
                <w:tcPr>
                  <w:tcW w:w="966" w:type="dxa"/>
                  <w:vAlign w:val="center"/>
                </w:tcPr>
                <w:p w14:paraId="053EA954">
                  <w:pPr>
                    <w:pStyle w:val="71"/>
                    <w:rPr>
                      <w:rFonts w:hint="eastAsia" w:eastAsia="宋体"/>
                      <w:color w:val="auto"/>
                      <w:szCs w:val="22"/>
                      <w:lang w:val="en-US" w:eastAsia="zh-CN"/>
                    </w:rPr>
                  </w:pPr>
                  <w:r>
                    <w:rPr>
                      <w:color w:val="auto"/>
                      <w:szCs w:val="22"/>
                    </w:rPr>
                    <w:t>1</w:t>
                  </w:r>
                  <w:r>
                    <w:rPr>
                      <w:rFonts w:hint="eastAsia"/>
                      <w:color w:val="auto"/>
                      <w:szCs w:val="22"/>
                    </w:rPr>
                    <w:t>次/</w:t>
                  </w:r>
                  <w:r>
                    <w:rPr>
                      <w:rFonts w:hint="eastAsia"/>
                      <w:color w:val="auto"/>
                      <w:szCs w:val="22"/>
                      <w:lang w:val="en-US" w:eastAsia="zh-CN"/>
                    </w:rPr>
                    <w:t>半年</w:t>
                  </w:r>
                </w:p>
              </w:tc>
              <w:tc>
                <w:tcPr>
                  <w:tcW w:w="2141" w:type="dxa"/>
                  <w:vAlign w:val="center"/>
                </w:tcPr>
                <w:p w14:paraId="4FF2C193">
                  <w:pPr>
                    <w:pStyle w:val="71"/>
                    <w:rPr>
                      <w:color w:val="auto"/>
                      <w:szCs w:val="22"/>
                    </w:rPr>
                  </w:pPr>
                  <w:r>
                    <w:rPr>
                      <w:rFonts w:hint="eastAsia"/>
                      <w:color w:val="auto"/>
                      <w:szCs w:val="22"/>
                    </w:rPr>
                    <w:t>《地下水质量标准》（GB/T14848-2017）III类水质标准要求</w:t>
                  </w:r>
                </w:p>
              </w:tc>
            </w:tr>
          </w:tbl>
          <w:p w14:paraId="204A0D31">
            <w:pPr>
              <w:adjustRightInd w:val="0"/>
              <w:snapToGrid w:val="0"/>
              <w:spacing w:line="460" w:lineRule="exact"/>
              <w:ind w:firstLine="520" w:firstLineChars="200"/>
              <w:rPr>
                <w:kern w:val="44"/>
                <w:sz w:val="26"/>
                <w:szCs w:val="26"/>
                <w:lang w:bidi="ar"/>
              </w:rPr>
            </w:pPr>
            <w:r>
              <w:rPr>
                <w:rFonts w:hint="eastAsia"/>
                <w:kern w:val="44"/>
                <w:sz w:val="26"/>
                <w:szCs w:val="26"/>
                <w:lang w:bidi="ar"/>
              </w:rPr>
              <w:t>综上，本项目对可能产生地下水及土壤影响的各项途径均进行有效预防，在确保各项防渗措施得到落实，并加强维护和厂区环境管理的前提下，可有效控制厂区内的液态污染物下渗现象，避免污染地下水及土壤，因此本项目</w:t>
            </w:r>
            <w:r>
              <w:rPr>
                <w:rFonts w:hint="eastAsia"/>
                <w:kern w:val="44"/>
                <w:sz w:val="26"/>
                <w:szCs w:val="26"/>
                <w:lang w:val="en-US" w:eastAsia="zh-CN" w:bidi="ar"/>
              </w:rPr>
              <w:t>改扩建后</w:t>
            </w:r>
            <w:r>
              <w:rPr>
                <w:rFonts w:hint="eastAsia"/>
                <w:kern w:val="44"/>
                <w:sz w:val="26"/>
                <w:szCs w:val="26"/>
                <w:lang w:bidi="ar"/>
              </w:rPr>
              <w:t>不会对地下水及土壤环境产生明显影响。</w:t>
            </w:r>
          </w:p>
          <w:p w14:paraId="7A4A25A1">
            <w:pPr>
              <w:adjustRightInd w:val="0"/>
              <w:snapToGrid w:val="0"/>
              <w:spacing w:line="460" w:lineRule="exact"/>
              <w:rPr>
                <w:b/>
                <w:sz w:val="26"/>
                <w:szCs w:val="26"/>
              </w:rPr>
            </w:pPr>
            <w:r>
              <w:rPr>
                <w:rFonts w:hint="eastAsia"/>
                <w:b/>
                <w:sz w:val="26"/>
                <w:szCs w:val="26"/>
              </w:rPr>
              <w:t>4.2.</w:t>
            </w:r>
            <w:r>
              <w:rPr>
                <w:rFonts w:hint="eastAsia"/>
                <w:b/>
                <w:sz w:val="26"/>
                <w:szCs w:val="26"/>
                <w:lang w:val="en-US" w:eastAsia="zh-CN"/>
              </w:rPr>
              <w:t>6</w:t>
            </w:r>
            <w:r>
              <w:rPr>
                <w:rFonts w:hint="eastAsia"/>
                <w:b/>
                <w:sz w:val="26"/>
                <w:szCs w:val="26"/>
              </w:rPr>
              <w:t>环境风险评价</w:t>
            </w:r>
          </w:p>
          <w:p w14:paraId="09927C31">
            <w:pPr>
              <w:adjustRightInd w:val="0"/>
              <w:snapToGrid w:val="0"/>
              <w:spacing w:line="460" w:lineRule="exact"/>
              <w:rPr>
                <w:rFonts w:hint="eastAsia" w:eastAsia="宋体"/>
                <w:b/>
                <w:sz w:val="26"/>
                <w:szCs w:val="26"/>
                <w:lang w:val="en-US" w:eastAsia="zh-CN"/>
              </w:rPr>
            </w:pPr>
            <w:r>
              <w:rPr>
                <w:b w:val="0"/>
                <w:bCs/>
                <w:sz w:val="26"/>
                <w:szCs w:val="26"/>
              </w:rPr>
              <w:t>4.2.</w:t>
            </w:r>
            <w:r>
              <w:rPr>
                <w:rFonts w:hint="eastAsia"/>
                <w:b w:val="0"/>
                <w:bCs/>
                <w:sz w:val="26"/>
                <w:szCs w:val="26"/>
                <w:lang w:val="en-US" w:eastAsia="zh-CN"/>
              </w:rPr>
              <w:t>6</w:t>
            </w:r>
            <w:r>
              <w:rPr>
                <w:b w:val="0"/>
                <w:bCs/>
                <w:sz w:val="26"/>
                <w:szCs w:val="26"/>
              </w:rPr>
              <w:t>.1</w:t>
            </w:r>
            <w:r>
              <w:rPr>
                <w:rFonts w:hint="eastAsia"/>
                <w:b w:val="0"/>
                <w:bCs/>
                <w:sz w:val="26"/>
                <w:szCs w:val="26"/>
              </w:rPr>
              <w:t>风险源</w:t>
            </w:r>
            <w:r>
              <w:rPr>
                <w:rFonts w:hint="eastAsia"/>
                <w:b w:val="0"/>
                <w:bCs/>
                <w:sz w:val="26"/>
                <w:szCs w:val="26"/>
                <w:lang w:val="en-US" w:eastAsia="zh-CN"/>
              </w:rPr>
              <w:t>调查</w:t>
            </w:r>
          </w:p>
          <w:p w14:paraId="44CDC9A5">
            <w:pPr>
              <w:pStyle w:val="64"/>
              <w:rPr>
                <w:rFonts w:hint="default" w:eastAsia="宋体"/>
                <w:lang w:val="en-US" w:eastAsia="zh-CN"/>
              </w:rPr>
            </w:pPr>
            <w:r>
              <w:rPr>
                <w:rFonts w:hint="eastAsia"/>
              </w:rPr>
              <w:t>根据《建设项目风险评价技术导则》（HJ169-2018）附录 B 可知，本项目主要环境风险物质为汽油</w:t>
            </w:r>
            <w:r>
              <w:rPr>
                <w:rFonts w:hint="eastAsia"/>
                <w:lang w:eastAsia="zh-CN"/>
              </w:rPr>
              <w:t>、</w:t>
            </w:r>
            <w:r>
              <w:rPr>
                <w:rFonts w:hint="eastAsia"/>
                <w:lang w:val="en-US" w:eastAsia="zh-CN"/>
              </w:rPr>
              <w:t>柴油以及含油危险废物。</w:t>
            </w:r>
          </w:p>
          <w:p w14:paraId="687EECB3">
            <w:pPr>
              <w:pStyle w:val="69"/>
              <w:keepNext w:val="0"/>
              <w:keepLines w:val="0"/>
              <w:pageBreakBefore w:val="0"/>
              <w:widowControl w:val="0"/>
              <w:kinsoku/>
              <w:wordWrap/>
              <w:overflowPunct/>
              <w:topLinePunct w:val="0"/>
              <w:autoSpaceDE w:val="0"/>
              <w:autoSpaceDN w:val="0"/>
              <w:bidi w:val="0"/>
              <w:adjustRightInd w:val="0"/>
              <w:snapToGrid/>
              <w:spacing w:before="0" w:beforeLines="0"/>
              <w:ind w:left="0" w:leftChars="0" w:firstLine="0" w:firstLineChars="0"/>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表4</w:t>
            </w:r>
            <w:r>
              <w:rPr>
                <w:rFonts w:hint="default" w:ascii="Times New Roman" w:hAnsi="Times New Roman" w:eastAsia="宋体" w:cs="Times New Roman"/>
                <w:b w:val="0"/>
                <w:bCs w:val="0"/>
                <w:color w:val="auto"/>
                <w:sz w:val="22"/>
                <w:szCs w:val="22"/>
                <w:lang w:val="en-US" w:eastAsia="zh-CN"/>
              </w:rPr>
              <w:t>.2-</w:t>
            </w:r>
            <w:r>
              <w:rPr>
                <w:rFonts w:hint="eastAsia" w:eastAsia="宋体" w:cs="Times New Roman"/>
                <w:b w:val="0"/>
                <w:bCs w:val="0"/>
                <w:color w:val="auto"/>
                <w:sz w:val="22"/>
                <w:szCs w:val="22"/>
                <w:lang w:val="en-US" w:eastAsia="zh-CN"/>
              </w:rPr>
              <w:t>21</w:t>
            </w:r>
            <w:r>
              <w:rPr>
                <w:rFonts w:hint="default" w:ascii="Times New Roman" w:hAnsi="Times New Roman" w:eastAsia="宋体" w:cs="Times New Roman"/>
                <w:b w:val="0"/>
                <w:bCs w:val="0"/>
                <w:color w:val="auto"/>
                <w:sz w:val="22"/>
                <w:szCs w:val="22"/>
                <w:lang w:val="en-US" w:eastAsia="zh-CN"/>
              </w:rPr>
              <w:t xml:space="preserve"> </w:t>
            </w:r>
            <w:r>
              <w:rPr>
                <w:rFonts w:hint="default" w:ascii="Times New Roman" w:hAnsi="Times New Roman" w:eastAsia="宋体" w:cs="Times New Roman"/>
                <w:b w:val="0"/>
                <w:bCs w:val="0"/>
                <w:color w:val="auto"/>
                <w:sz w:val="22"/>
                <w:szCs w:val="22"/>
              </w:rPr>
              <w:t xml:space="preserve"> 危险物质统计</w:t>
            </w:r>
            <w:r>
              <w:rPr>
                <w:rFonts w:hint="eastAsia" w:ascii="Times New Roman" w:hAnsi="Times New Roman" w:eastAsia="宋体" w:cs="Times New Roman"/>
                <w:b w:val="0"/>
                <w:bCs w:val="0"/>
                <w:color w:val="auto"/>
                <w:sz w:val="22"/>
                <w:szCs w:val="22"/>
                <w:lang w:val="en-US" w:eastAsia="zh-CN"/>
              </w:rPr>
              <w:t>一览表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
              <w:gridCol w:w="1241"/>
              <w:gridCol w:w="1376"/>
              <w:gridCol w:w="1568"/>
              <w:gridCol w:w="1695"/>
              <w:gridCol w:w="1400"/>
            </w:tblGrid>
            <w:tr w14:paraId="6D90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410" w:type="pct"/>
                  <w:noWrap w:val="0"/>
                  <w:vAlign w:val="center"/>
                </w:tcPr>
                <w:p w14:paraId="12A14CC6">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序号</w:t>
                  </w:r>
                </w:p>
              </w:tc>
              <w:tc>
                <w:tcPr>
                  <w:tcW w:w="782" w:type="pct"/>
                  <w:noWrap w:val="0"/>
                  <w:vAlign w:val="center"/>
                </w:tcPr>
                <w:p w14:paraId="536539A2">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名称</w:t>
                  </w:r>
                </w:p>
              </w:tc>
              <w:tc>
                <w:tcPr>
                  <w:tcW w:w="867" w:type="pct"/>
                  <w:noWrap w:val="0"/>
                  <w:vAlign w:val="center"/>
                </w:tcPr>
                <w:p w14:paraId="26D4310B">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储存位置</w:t>
                  </w:r>
                </w:p>
              </w:tc>
              <w:tc>
                <w:tcPr>
                  <w:tcW w:w="988" w:type="pct"/>
                  <w:noWrap w:val="0"/>
                  <w:vAlign w:val="center"/>
                </w:tcPr>
                <w:p w14:paraId="5B9CB40F">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储存方式</w:t>
                  </w:r>
                </w:p>
              </w:tc>
              <w:tc>
                <w:tcPr>
                  <w:tcW w:w="1068" w:type="pct"/>
                  <w:noWrap w:val="0"/>
                  <w:vAlign w:val="center"/>
                </w:tcPr>
                <w:p w14:paraId="6E193B34">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最大储存量（t）</w:t>
                  </w:r>
                </w:p>
              </w:tc>
              <w:tc>
                <w:tcPr>
                  <w:tcW w:w="882" w:type="pct"/>
                  <w:noWrap w:val="0"/>
                  <w:vAlign w:val="center"/>
                </w:tcPr>
                <w:p w14:paraId="3DFD120B">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储存周期</w:t>
                  </w:r>
                </w:p>
              </w:tc>
            </w:tr>
            <w:tr w14:paraId="459A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410" w:type="pct"/>
                  <w:noWrap w:val="0"/>
                  <w:vAlign w:val="center"/>
                </w:tcPr>
                <w:p w14:paraId="74E9FF06">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cs="Times New Roman"/>
                      <w:color w:val="auto"/>
                      <w:sz w:val="22"/>
                      <w:szCs w:val="22"/>
                      <w:lang w:val="en-US" w:eastAsia="zh-CN"/>
                    </w:rPr>
                    <w:t>1</w:t>
                  </w:r>
                </w:p>
              </w:tc>
              <w:tc>
                <w:tcPr>
                  <w:tcW w:w="782" w:type="pct"/>
                  <w:noWrap w:val="0"/>
                  <w:vAlign w:val="center"/>
                </w:tcPr>
                <w:p w14:paraId="1A24B4A2">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汽油</w:t>
                  </w:r>
                </w:p>
              </w:tc>
              <w:tc>
                <w:tcPr>
                  <w:tcW w:w="867" w:type="pct"/>
                  <w:noWrap w:val="0"/>
                  <w:vAlign w:val="center"/>
                </w:tcPr>
                <w:p w14:paraId="0D165DD3">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储油罐区</w:t>
                  </w:r>
                </w:p>
              </w:tc>
              <w:tc>
                <w:tcPr>
                  <w:tcW w:w="988" w:type="pct"/>
                  <w:noWrap w:val="0"/>
                  <w:vAlign w:val="center"/>
                </w:tcPr>
                <w:p w14:paraId="73A6CC84">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罐装（30m</w:t>
                  </w:r>
                  <w:r>
                    <w:rPr>
                      <w:rFonts w:hint="eastAsia" w:ascii="Times New Roman" w:hAnsi="Times New Roman" w:eastAsia="宋体" w:cs="Times New Roman"/>
                      <w:color w:val="auto"/>
                      <w:sz w:val="22"/>
                      <w:szCs w:val="22"/>
                      <w:vertAlign w:val="superscript"/>
                      <w:lang w:val="en-US" w:eastAsia="zh-CN"/>
                    </w:rPr>
                    <w:t>3</w:t>
                  </w:r>
                  <w:r>
                    <w:rPr>
                      <w:rFonts w:hint="eastAsia" w:ascii="Times New Roman" w:hAnsi="Times New Roman" w:eastAsia="宋体" w:cs="Times New Roman"/>
                      <w:color w:val="auto"/>
                      <w:sz w:val="22"/>
                      <w:szCs w:val="22"/>
                      <w:lang w:val="en-US" w:eastAsia="zh-CN"/>
                    </w:rPr>
                    <w:t>2个、20m</w:t>
                  </w:r>
                  <w:r>
                    <w:rPr>
                      <w:rFonts w:hint="eastAsia" w:ascii="Times New Roman" w:hAnsi="Times New Roman" w:eastAsia="宋体" w:cs="Times New Roman"/>
                      <w:color w:val="auto"/>
                      <w:sz w:val="22"/>
                      <w:szCs w:val="22"/>
                      <w:vertAlign w:val="superscript"/>
                      <w:lang w:val="en-US" w:eastAsia="zh-CN"/>
                    </w:rPr>
                    <w:t>3</w:t>
                  </w:r>
                  <w:r>
                    <w:rPr>
                      <w:rFonts w:hint="eastAsia" w:ascii="Times New Roman" w:hAnsi="Times New Roman" w:eastAsia="宋体" w:cs="Times New Roman"/>
                      <w:color w:val="auto"/>
                      <w:sz w:val="22"/>
                      <w:szCs w:val="22"/>
                      <w:lang w:val="en-US" w:eastAsia="zh-CN"/>
                    </w:rPr>
                    <w:t>1个）</w:t>
                  </w:r>
                </w:p>
              </w:tc>
              <w:tc>
                <w:tcPr>
                  <w:tcW w:w="1068" w:type="pct"/>
                  <w:noWrap w:val="0"/>
                  <w:vAlign w:val="center"/>
                </w:tcPr>
                <w:p w14:paraId="25536F61">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46.08</w:t>
                  </w:r>
                </w:p>
              </w:tc>
              <w:tc>
                <w:tcPr>
                  <w:tcW w:w="882" w:type="pct"/>
                  <w:noWrap w:val="0"/>
                  <w:vAlign w:val="center"/>
                </w:tcPr>
                <w:p w14:paraId="0D98CD6A">
                  <w:pPr>
                    <w:pStyle w:val="94"/>
                    <w:bidi w:val="0"/>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一年</w:t>
                  </w:r>
                </w:p>
              </w:tc>
            </w:tr>
            <w:tr w14:paraId="4673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410" w:type="pct"/>
                  <w:shd w:val="clear" w:color="auto" w:fill="auto"/>
                  <w:noWrap w:val="0"/>
                  <w:vAlign w:val="center"/>
                </w:tcPr>
                <w:p w14:paraId="4D296CA2">
                  <w:pPr>
                    <w:pStyle w:val="94"/>
                    <w:bidi w:val="0"/>
                    <w:ind w:firstLine="0" w:firstLineChars="0"/>
                    <w:rPr>
                      <w:rFonts w:hint="eastAsia" w:ascii="Times New Roman" w:hAnsi="Times New Roman" w:eastAsia="宋体" w:cs="Times New Roman"/>
                      <w:color w:val="auto"/>
                      <w:kern w:val="0"/>
                      <w:sz w:val="22"/>
                      <w:szCs w:val="22"/>
                      <w:lang w:val="en-US" w:eastAsia="zh-CN" w:bidi="ar-SA"/>
                    </w:rPr>
                  </w:pPr>
                  <w:r>
                    <w:rPr>
                      <w:rFonts w:hint="eastAsia" w:cs="Times New Roman"/>
                      <w:color w:val="auto"/>
                      <w:sz w:val="22"/>
                      <w:szCs w:val="22"/>
                      <w:lang w:val="en-US" w:eastAsia="zh-CN"/>
                    </w:rPr>
                    <w:t>2</w:t>
                  </w:r>
                </w:p>
              </w:tc>
              <w:tc>
                <w:tcPr>
                  <w:tcW w:w="782" w:type="pct"/>
                  <w:noWrap w:val="0"/>
                  <w:vAlign w:val="center"/>
                </w:tcPr>
                <w:p w14:paraId="58FDAFA9">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柴油</w:t>
                  </w:r>
                </w:p>
              </w:tc>
              <w:tc>
                <w:tcPr>
                  <w:tcW w:w="867" w:type="pct"/>
                  <w:noWrap w:val="0"/>
                  <w:vAlign w:val="center"/>
                </w:tcPr>
                <w:p w14:paraId="365BC35C">
                  <w:pPr>
                    <w:pStyle w:val="94"/>
                    <w:bidi w:val="0"/>
                    <w:rPr>
                      <w:rFonts w:hint="default" w:ascii="Times New Roman" w:hAnsi="Times New Roman" w:cs="Times New Roman"/>
                      <w:color w:val="auto"/>
                      <w:sz w:val="22"/>
                      <w:szCs w:val="22"/>
                      <w:lang w:val="en-US" w:eastAsia="zh-CN"/>
                    </w:rPr>
                  </w:pPr>
                  <w:r>
                    <w:rPr>
                      <w:rFonts w:hint="eastAsia" w:ascii="Times New Roman" w:hAnsi="Times New Roman" w:cs="Times New Roman"/>
                      <w:color w:val="auto"/>
                      <w:sz w:val="22"/>
                      <w:szCs w:val="22"/>
                      <w:lang w:val="en-US" w:eastAsia="zh-CN"/>
                    </w:rPr>
                    <w:t>储油罐区</w:t>
                  </w:r>
                </w:p>
              </w:tc>
              <w:tc>
                <w:tcPr>
                  <w:tcW w:w="988" w:type="pct"/>
                  <w:noWrap w:val="0"/>
                  <w:vAlign w:val="center"/>
                </w:tcPr>
                <w:p w14:paraId="7B8DE13A">
                  <w:pPr>
                    <w:pStyle w:val="94"/>
                    <w:bidi w:val="0"/>
                    <w:rPr>
                      <w:rFonts w:hint="default" w:ascii="Times New Roman" w:hAnsi="Times New Roman" w:cs="Times New Roman"/>
                      <w:color w:val="auto"/>
                      <w:sz w:val="22"/>
                      <w:szCs w:val="22"/>
                    </w:rPr>
                  </w:pPr>
                  <w:r>
                    <w:rPr>
                      <w:rFonts w:hint="eastAsia" w:ascii="Times New Roman" w:hAnsi="Times New Roman" w:eastAsia="宋体" w:cs="Times New Roman"/>
                      <w:color w:val="auto"/>
                      <w:sz w:val="22"/>
                      <w:szCs w:val="22"/>
                      <w:lang w:val="en-US" w:eastAsia="zh-CN"/>
                    </w:rPr>
                    <w:t>罐装（20m</w:t>
                  </w:r>
                  <w:r>
                    <w:rPr>
                      <w:rFonts w:hint="eastAsia" w:ascii="Times New Roman" w:hAnsi="Times New Roman" w:eastAsia="宋体" w:cs="Times New Roman"/>
                      <w:color w:val="auto"/>
                      <w:sz w:val="22"/>
                      <w:szCs w:val="22"/>
                      <w:vertAlign w:val="superscript"/>
                      <w:lang w:val="en-US" w:eastAsia="zh-CN"/>
                    </w:rPr>
                    <w:t>3</w:t>
                  </w:r>
                  <w:r>
                    <w:rPr>
                      <w:rFonts w:hint="eastAsia" w:ascii="Times New Roman" w:hAnsi="Times New Roman" w:eastAsia="宋体" w:cs="Times New Roman"/>
                      <w:color w:val="auto"/>
                      <w:sz w:val="22"/>
                      <w:szCs w:val="22"/>
                      <w:lang w:val="en-US" w:eastAsia="zh-CN"/>
                    </w:rPr>
                    <w:t>1个）</w:t>
                  </w:r>
                </w:p>
              </w:tc>
              <w:tc>
                <w:tcPr>
                  <w:tcW w:w="1068" w:type="pct"/>
                  <w:noWrap w:val="0"/>
                  <w:vAlign w:val="center"/>
                </w:tcPr>
                <w:p w14:paraId="53488DB1">
                  <w:pPr>
                    <w:pStyle w:val="94"/>
                    <w:bidi w:val="0"/>
                    <w:rPr>
                      <w:rFonts w:hint="default" w:cs="Times New Roman"/>
                      <w:color w:val="auto"/>
                      <w:sz w:val="22"/>
                      <w:szCs w:val="22"/>
                      <w:lang w:val="en-US" w:eastAsia="zh-CN"/>
                    </w:rPr>
                  </w:pPr>
                  <w:r>
                    <w:rPr>
                      <w:rFonts w:hint="eastAsia" w:cs="Times New Roman"/>
                      <w:color w:val="auto"/>
                      <w:sz w:val="22"/>
                      <w:szCs w:val="22"/>
                      <w:lang w:val="en-US" w:eastAsia="zh-CN"/>
                    </w:rPr>
                    <w:t>14.24</w:t>
                  </w:r>
                </w:p>
              </w:tc>
              <w:tc>
                <w:tcPr>
                  <w:tcW w:w="882" w:type="pct"/>
                  <w:noWrap w:val="0"/>
                  <w:vAlign w:val="center"/>
                </w:tcPr>
                <w:p w14:paraId="6537A9CA">
                  <w:pPr>
                    <w:pStyle w:val="94"/>
                    <w:bidi w:val="0"/>
                    <w:rPr>
                      <w:rFonts w:hint="eastAsia"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一年</w:t>
                  </w:r>
                </w:p>
              </w:tc>
            </w:tr>
            <w:tr w14:paraId="41C4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410" w:type="pct"/>
                  <w:shd w:val="clear" w:color="auto" w:fill="auto"/>
                  <w:noWrap w:val="0"/>
                  <w:vAlign w:val="center"/>
                </w:tcPr>
                <w:p w14:paraId="03624A44">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eastAsia" w:eastAsia="宋体" w:cs="Times New Roman"/>
                      <w:color w:val="auto"/>
                      <w:sz w:val="22"/>
                      <w:szCs w:val="22"/>
                      <w:lang w:val="en-US" w:eastAsia="zh-CN"/>
                    </w:rPr>
                    <w:t>3</w:t>
                  </w:r>
                </w:p>
              </w:tc>
              <w:tc>
                <w:tcPr>
                  <w:tcW w:w="782" w:type="pct"/>
                  <w:shd w:val="clear" w:color="auto" w:fill="auto"/>
                  <w:noWrap w:val="0"/>
                  <w:vAlign w:val="center"/>
                </w:tcPr>
                <w:p w14:paraId="1171FDD1">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润滑油</w:t>
                  </w:r>
                </w:p>
              </w:tc>
              <w:tc>
                <w:tcPr>
                  <w:tcW w:w="867" w:type="pct"/>
                  <w:shd w:val="clear" w:color="auto" w:fill="auto"/>
                  <w:noWrap w:val="0"/>
                  <w:vAlign w:val="center"/>
                </w:tcPr>
                <w:p w14:paraId="3947AE30">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lang w:val="en-US" w:eastAsia="zh-CN"/>
                    </w:rPr>
                    <w:t>油料库房</w:t>
                  </w:r>
                </w:p>
              </w:tc>
              <w:tc>
                <w:tcPr>
                  <w:tcW w:w="988" w:type="pct"/>
                  <w:shd w:val="clear" w:color="auto" w:fill="auto"/>
                  <w:noWrap w:val="0"/>
                  <w:vAlign w:val="center"/>
                </w:tcPr>
                <w:p w14:paraId="18B8F9DF">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桶装</w:t>
                  </w:r>
                </w:p>
              </w:tc>
              <w:tc>
                <w:tcPr>
                  <w:tcW w:w="1068" w:type="pct"/>
                  <w:shd w:val="clear" w:color="auto" w:fill="auto"/>
                  <w:noWrap w:val="0"/>
                  <w:vAlign w:val="center"/>
                </w:tcPr>
                <w:p w14:paraId="794C8D6A">
                  <w:pPr>
                    <w:pStyle w:val="94"/>
                    <w:bidi w:val="0"/>
                    <w:ind w:firstLine="0" w:firstLineChars="0"/>
                    <w:rPr>
                      <w:rFonts w:hint="eastAsia" w:ascii="Times New Roman" w:hAnsi="Times New Roman" w:eastAsia="宋体" w:cs="Times New Roman"/>
                      <w:color w:val="auto"/>
                      <w:kern w:val="0"/>
                      <w:sz w:val="22"/>
                      <w:szCs w:val="22"/>
                      <w:lang w:val="en-US" w:eastAsia="zh-CN" w:bidi="ar-SA"/>
                    </w:rPr>
                  </w:pPr>
                  <w:r>
                    <w:rPr>
                      <w:rFonts w:hint="eastAsia" w:cs="Times New Roman"/>
                      <w:color w:val="auto"/>
                      <w:sz w:val="22"/>
                      <w:szCs w:val="22"/>
                      <w:lang w:val="en-US" w:eastAsia="zh-CN"/>
                    </w:rPr>
                    <w:t>0.1</w:t>
                  </w:r>
                </w:p>
              </w:tc>
              <w:tc>
                <w:tcPr>
                  <w:tcW w:w="882" w:type="pct"/>
                  <w:shd w:val="clear" w:color="auto" w:fill="auto"/>
                  <w:noWrap w:val="0"/>
                  <w:vAlign w:val="center"/>
                </w:tcPr>
                <w:p w14:paraId="0F34D340">
                  <w:pPr>
                    <w:pStyle w:val="94"/>
                    <w:bidi w:val="0"/>
                    <w:ind w:firstLine="0" w:firstLineChars="0"/>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cs="Times New Roman"/>
                      <w:color w:val="auto"/>
                      <w:sz w:val="22"/>
                      <w:szCs w:val="22"/>
                    </w:rPr>
                    <w:t>一年</w:t>
                  </w:r>
                </w:p>
              </w:tc>
            </w:tr>
            <w:tr w14:paraId="2ED2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tblHeader/>
                <w:jc w:val="center"/>
              </w:trPr>
              <w:tc>
                <w:tcPr>
                  <w:tcW w:w="410" w:type="pct"/>
                  <w:noWrap w:val="0"/>
                  <w:vAlign w:val="center"/>
                </w:tcPr>
                <w:p w14:paraId="4EDBE37F">
                  <w:pPr>
                    <w:pStyle w:val="94"/>
                    <w:bidi w:val="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w:t>
                  </w:r>
                </w:p>
              </w:tc>
              <w:tc>
                <w:tcPr>
                  <w:tcW w:w="782" w:type="pct"/>
                  <w:noWrap w:val="0"/>
                  <w:vAlign w:val="center"/>
                </w:tcPr>
                <w:p w14:paraId="6F9A2A52">
                  <w:pPr>
                    <w:pStyle w:val="94"/>
                    <w:bidi w:val="0"/>
                    <w:rPr>
                      <w:rFonts w:hint="default" w:ascii="Times New Roman" w:hAnsi="Times New Roman" w:cs="Times New Roman"/>
                      <w:color w:val="auto"/>
                      <w:sz w:val="22"/>
                      <w:szCs w:val="22"/>
                      <w:lang w:eastAsia="zh-CN"/>
                    </w:rPr>
                  </w:pPr>
                  <w:r>
                    <w:rPr>
                      <w:rFonts w:hint="default" w:ascii="Times New Roman" w:hAnsi="Times New Roman" w:cs="Times New Roman"/>
                      <w:color w:val="auto"/>
                      <w:sz w:val="22"/>
                      <w:szCs w:val="22"/>
                      <w:lang w:val="en-US" w:eastAsia="zh-CN"/>
                    </w:rPr>
                    <w:t>危险废物</w:t>
                  </w:r>
                </w:p>
              </w:tc>
              <w:tc>
                <w:tcPr>
                  <w:tcW w:w="867" w:type="pct"/>
                  <w:noWrap w:val="0"/>
                  <w:vAlign w:val="center"/>
                </w:tcPr>
                <w:p w14:paraId="0269C8B1">
                  <w:pPr>
                    <w:pStyle w:val="94"/>
                    <w:bidi w:val="0"/>
                    <w:rPr>
                      <w:rFonts w:hint="eastAsia" w:ascii="Times New Roman" w:hAnsi="Times New Roman" w:eastAsia="宋体" w:cs="Times New Roman"/>
                      <w:color w:val="auto"/>
                      <w:sz w:val="22"/>
                      <w:szCs w:val="22"/>
                      <w:lang w:eastAsia="zh-CN"/>
                    </w:rPr>
                  </w:pPr>
                  <w:r>
                    <w:rPr>
                      <w:rFonts w:hint="default" w:ascii="Times New Roman" w:hAnsi="Times New Roman" w:cs="Times New Roman"/>
                      <w:color w:val="auto"/>
                      <w:sz w:val="22"/>
                      <w:szCs w:val="22"/>
                    </w:rPr>
                    <w:t>危废</w:t>
                  </w:r>
                  <w:r>
                    <w:rPr>
                      <w:rFonts w:hint="default" w:ascii="Times New Roman" w:hAnsi="Times New Roman" w:cs="Times New Roman"/>
                      <w:color w:val="auto"/>
                      <w:sz w:val="22"/>
                      <w:szCs w:val="22"/>
                      <w:lang w:val="en-US" w:eastAsia="zh-CN"/>
                    </w:rPr>
                    <w:t>暂存</w:t>
                  </w:r>
                  <w:r>
                    <w:rPr>
                      <w:rFonts w:hint="eastAsia" w:cs="Times New Roman"/>
                      <w:color w:val="auto"/>
                      <w:sz w:val="22"/>
                      <w:szCs w:val="22"/>
                      <w:lang w:val="en-US" w:eastAsia="zh-CN"/>
                    </w:rPr>
                    <w:t>点</w:t>
                  </w:r>
                </w:p>
              </w:tc>
              <w:tc>
                <w:tcPr>
                  <w:tcW w:w="988" w:type="pct"/>
                  <w:noWrap w:val="0"/>
                  <w:vAlign w:val="center"/>
                </w:tcPr>
                <w:p w14:paraId="7E085003">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桶装</w:t>
                  </w:r>
                </w:p>
              </w:tc>
              <w:tc>
                <w:tcPr>
                  <w:tcW w:w="1068" w:type="pct"/>
                  <w:noWrap w:val="0"/>
                  <w:vAlign w:val="center"/>
                </w:tcPr>
                <w:p w14:paraId="6BC6C77D">
                  <w:pPr>
                    <w:pStyle w:val="94"/>
                    <w:bidi w:val="0"/>
                    <w:rPr>
                      <w:rFonts w:hint="default" w:ascii="Times New Roman" w:hAnsi="Times New Roman" w:cs="Times New Roman"/>
                      <w:color w:val="auto"/>
                      <w:sz w:val="22"/>
                      <w:szCs w:val="22"/>
                      <w:lang w:val="en-US" w:eastAsia="zh-CN"/>
                    </w:rPr>
                  </w:pPr>
                  <w:r>
                    <w:rPr>
                      <w:rFonts w:hint="eastAsia" w:cs="Times New Roman"/>
                      <w:color w:val="000000"/>
                      <w:sz w:val="22"/>
                      <w:szCs w:val="22"/>
                      <w:lang w:val="en-US" w:eastAsia="zh-CN"/>
                    </w:rPr>
                    <w:t>0.4</w:t>
                  </w:r>
                </w:p>
              </w:tc>
              <w:tc>
                <w:tcPr>
                  <w:tcW w:w="882" w:type="pct"/>
                  <w:noWrap w:val="0"/>
                  <w:vAlign w:val="center"/>
                </w:tcPr>
                <w:p w14:paraId="6847FE7F">
                  <w:pPr>
                    <w:pStyle w:val="94"/>
                    <w:bidi w:val="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一年</w:t>
                  </w:r>
                </w:p>
              </w:tc>
            </w:tr>
          </w:tbl>
          <w:p w14:paraId="08F54F16">
            <w:pPr>
              <w:pStyle w:val="93"/>
              <w:bidi w:val="0"/>
              <w:spacing w:line="240" w:lineRule="auto"/>
              <w:ind w:left="0" w:leftChars="0" w:firstLine="0" w:firstLineChars="0"/>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注：汽油密度取值为0.72t/m</w:t>
            </w:r>
            <w:r>
              <w:rPr>
                <w:rFonts w:hint="eastAsia" w:ascii="Times New Roman" w:hAnsi="Times New Roman" w:cs="Times New Roman"/>
                <w:color w:val="auto"/>
                <w:sz w:val="22"/>
                <w:szCs w:val="22"/>
                <w:vertAlign w:val="superscript"/>
                <w:lang w:val="en-US" w:eastAsia="zh-CN"/>
              </w:rPr>
              <w:t>3</w:t>
            </w:r>
            <w:r>
              <w:rPr>
                <w:rFonts w:hint="eastAsia" w:ascii="Times New Roman" w:hAnsi="Times New Roman" w:cs="Times New Roman"/>
                <w:color w:val="auto"/>
                <w:sz w:val="22"/>
                <w:szCs w:val="22"/>
                <w:lang w:val="en-US" w:eastAsia="zh-CN"/>
              </w:rPr>
              <w:t>，柴油密度取值为0.89t/m</w:t>
            </w:r>
            <w:r>
              <w:rPr>
                <w:rFonts w:hint="eastAsia" w:ascii="Times New Roman" w:hAnsi="Times New Roman" w:cs="Times New Roman"/>
                <w:color w:val="auto"/>
                <w:sz w:val="22"/>
                <w:szCs w:val="22"/>
                <w:vertAlign w:val="superscript"/>
                <w:lang w:val="en-US" w:eastAsia="zh-CN"/>
              </w:rPr>
              <w:t>3</w:t>
            </w:r>
            <w:r>
              <w:rPr>
                <w:rFonts w:hint="eastAsia" w:ascii="Times New Roman" w:hAnsi="Times New Roman" w:cs="Times New Roman"/>
                <w:color w:val="auto"/>
                <w:sz w:val="22"/>
                <w:szCs w:val="22"/>
                <w:lang w:val="en-US" w:eastAsia="zh-CN"/>
              </w:rPr>
              <w:t>。储油罐有效装载率取80%。</w:t>
            </w:r>
          </w:p>
          <w:p w14:paraId="6C7C76B9">
            <w:pPr>
              <w:pStyle w:val="64"/>
              <w:ind w:firstLine="0" w:firstLineChars="0"/>
              <w:rPr>
                <w:b w:val="0"/>
                <w:bCs/>
              </w:rPr>
            </w:pPr>
            <w:r>
              <w:rPr>
                <w:b w:val="0"/>
                <w:bCs/>
              </w:rPr>
              <w:t>4.2.</w:t>
            </w:r>
            <w:r>
              <w:rPr>
                <w:rFonts w:hint="eastAsia"/>
                <w:b w:val="0"/>
                <w:bCs/>
                <w:lang w:val="en-US" w:eastAsia="zh-CN"/>
              </w:rPr>
              <w:t>6</w:t>
            </w:r>
            <w:r>
              <w:rPr>
                <w:b w:val="0"/>
                <w:bCs/>
              </w:rPr>
              <w:t>.2风险潜势初判</w:t>
            </w:r>
          </w:p>
          <w:p w14:paraId="7DE388B8">
            <w:pPr>
              <w:pStyle w:val="64"/>
              <w:rPr>
                <w:bCs w:val="0"/>
              </w:rPr>
            </w:pPr>
            <w:r>
              <w:rPr>
                <w:bCs w:val="0"/>
              </w:rPr>
              <w:t>（1）危险物质数量与临界量比值Q</w:t>
            </w:r>
          </w:p>
          <w:p w14:paraId="1D01023E">
            <w:pPr>
              <w:pStyle w:val="64"/>
              <w:rPr>
                <w:bCs w:val="0"/>
              </w:rPr>
            </w:pPr>
            <w:r>
              <w:rPr>
                <w:rFonts w:hint="eastAsia"/>
                <w:bCs w:val="0"/>
                <w:lang w:val="en-US" w:eastAsia="zh-CN"/>
              </w:rPr>
              <w:t>根据</w:t>
            </w:r>
            <w:r>
              <w:rPr>
                <w:rFonts w:hint="eastAsia"/>
                <w:bCs w:val="0"/>
              </w:rPr>
              <w:t>《建设项目环境风险评价技术导则》（HJ169-2018）附录B.1，</w:t>
            </w:r>
            <w:r>
              <w:rPr>
                <w:bCs w:val="0"/>
              </w:rPr>
              <w:t>计算所涉及的每种危险物质在厂界内的最大存在总量与其在附录 B 中对应临界量的比值Q。</w:t>
            </w:r>
          </w:p>
          <w:p w14:paraId="4ABFC0B1">
            <w:pPr>
              <w:pStyle w:val="64"/>
              <w:rPr>
                <w:bCs w:val="0"/>
              </w:rPr>
            </w:pPr>
            <w:r>
              <w:rPr>
                <w:bCs w:val="0"/>
              </w:rPr>
              <w:t>当只涉及一种危险物质时，计算该物质的总量与其临界量比值，即为 Q；</w:t>
            </w:r>
          </w:p>
          <w:p w14:paraId="39501AAC">
            <w:pPr>
              <w:pStyle w:val="64"/>
              <w:rPr>
                <w:bCs w:val="0"/>
              </w:rPr>
            </w:pPr>
            <w:r>
              <w:rPr>
                <w:bCs w:val="0"/>
              </w:rPr>
              <w:t>当存在多种危险物质时，则按式（C.1）计算物质总量与其临界量比值（Q）：</w:t>
            </w:r>
          </w:p>
          <w:p w14:paraId="511C0031">
            <w:pPr>
              <w:pStyle w:val="64"/>
              <w:ind w:firstLine="2080" w:firstLineChars="800"/>
              <w:rPr>
                <w:bCs w:val="0"/>
              </w:rPr>
            </w:pPr>
            <w:r>
              <w:rPr>
                <w:bCs w:val="0"/>
              </w:rPr>
              <w:t>Q=q</w:t>
            </w:r>
            <w:r>
              <w:rPr>
                <w:bCs w:val="0"/>
                <w:vertAlign w:val="subscript"/>
              </w:rPr>
              <w:t>1</w:t>
            </w:r>
            <w:r>
              <w:rPr>
                <w:bCs w:val="0"/>
              </w:rPr>
              <w:t>/Q</w:t>
            </w:r>
            <w:r>
              <w:rPr>
                <w:bCs w:val="0"/>
                <w:vertAlign w:val="subscript"/>
              </w:rPr>
              <w:t>1</w:t>
            </w:r>
            <w:r>
              <w:rPr>
                <w:bCs w:val="0"/>
              </w:rPr>
              <w:t>+q</w:t>
            </w:r>
            <w:r>
              <w:rPr>
                <w:bCs w:val="0"/>
                <w:vertAlign w:val="subscript"/>
              </w:rPr>
              <w:t>2</w:t>
            </w:r>
            <w:r>
              <w:rPr>
                <w:bCs w:val="0"/>
              </w:rPr>
              <w:t>/Q</w:t>
            </w:r>
            <w:r>
              <w:rPr>
                <w:bCs w:val="0"/>
                <w:vertAlign w:val="subscript"/>
              </w:rPr>
              <w:t>2</w:t>
            </w:r>
            <w:r>
              <w:rPr>
                <w:bCs w:val="0"/>
              </w:rPr>
              <w:t>……+q</w:t>
            </w:r>
            <w:r>
              <w:rPr>
                <w:bCs w:val="0"/>
                <w:vertAlign w:val="subscript"/>
              </w:rPr>
              <w:t>n</w:t>
            </w:r>
            <w:r>
              <w:rPr>
                <w:bCs w:val="0"/>
              </w:rPr>
              <w:t>/Q</w:t>
            </w:r>
            <w:r>
              <w:rPr>
                <w:bCs w:val="0"/>
                <w:vertAlign w:val="subscript"/>
              </w:rPr>
              <w:t>n</w:t>
            </w:r>
          </w:p>
          <w:p w14:paraId="3A402B1F">
            <w:pPr>
              <w:pStyle w:val="64"/>
              <w:ind w:firstLine="0" w:firstLineChars="0"/>
              <w:rPr>
                <w:bCs w:val="0"/>
              </w:rPr>
            </w:pPr>
            <w:r>
              <w:rPr>
                <w:bCs w:val="0"/>
              </w:rPr>
              <w:t>式中：q</w:t>
            </w:r>
            <w:r>
              <w:rPr>
                <w:bCs w:val="0"/>
                <w:vertAlign w:val="subscript"/>
              </w:rPr>
              <w:t>1</w:t>
            </w:r>
            <w:r>
              <w:rPr>
                <w:bCs w:val="0"/>
              </w:rPr>
              <w:t>、q</w:t>
            </w:r>
            <w:r>
              <w:rPr>
                <w:bCs w:val="0"/>
                <w:vertAlign w:val="subscript"/>
              </w:rPr>
              <w:t>2</w:t>
            </w:r>
            <w:r>
              <w:rPr>
                <w:bCs w:val="0"/>
              </w:rPr>
              <w:t>，…，q</w:t>
            </w:r>
            <w:r>
              <w:rPr>
                <w:bCs w:val="0"/>
                <w:vertAlign w:val="subscript"/>
              </w:rPr>
              <w:t>n</w:t>
            </w:r>
            <w:r>
              <w:rPr>
                <w:bCs w:val="0"/>
              </w:rPr>
              <w:t>—每种危险物质的最大存在总量，t；</w:t>
            </w:r>
          </w:p>
          <w:p w14:paraId="4AC31D80">
            <w:pPr>
              <w:pStyle w:val="64"/>
              <w:rPr>
                <w:bCs w:val="0"/>
              </w:rPr>
            </w:pPr>
            <w:r>
              <w:rPr>
                <w:bCs w:val="0"/>
              </w:rPr>
              <w:t>Q</w:t>
            </w:r>
            <w:r>
              <w:rPr>
                <w:bCs w:val="0"/>
                <w:vertAlign w:val="subscript"/>
              </w:rPr>
              <w:t>1</w:t>
            </w:r>
            <w:r>
              <w:rPr>
                <w:bCs w:val="0"/>
              </w:rPr>
              <w:t>、Q</w:t>
            </w:r>
            <w:r>
              <w:rPr>
                <w:bCs w:val="0"/>
                <w:vertAlign w:val="subscript"/>
              </w:rPr>
              <w:t>2</w:t>
            </w:r>
            <w:r>
              <w:rPr>
                <w:bCs w:val="0"/>
              </w:rPr>
              <w:t>，…，Q</w:t>
            </w:r>
            <w:r>
              <w:rPr>
                <w:bCs w:val="0"/>
                <w:vertAlign w:val="subscript"/>
              </w:rPr>
              <w:t>n</w:t>
            </w:r>
            <w:r>
              <w:rPr>
                <w:bCs w:val="0"/>
              </w:rPr>
              <w:t>—每种危险物质的临界量，t。</w:t>
            </w:r>
          </w:p>
          <w:p w14:paraId="3A4F9E27">
            <w:pPr>
              <w:pStyle w:val="64"/>
              <w:rPr>
                <w:bCs w:val="0"/>
              </w:rPr>
            </w:pPr>
            <w:r>
              <w:rPr>
                <w:bCs w:val="0"/>
              </w:rPr>
              <w:t>当Q＜1时，该项目环境风险潜势为Ⅰ。</w:t>
            </w:r>
          </w:p>
          <w:p w14:paraId="1B73122A">
            <w:pPr>
              <w:pStyle w:val="64"/>
            </w:pPr>
            <w:r>
              <w:rPr>
                <w:bCs w:val="0"/>
              </w:rPr>
              <w:t>当Q≥1时，将Q值划分为：（1）1≤</w:t>
            </w:r>
            <w:r>
              <w:t>Q＜10；（2）10≤Q＜100；（3）Q≥100。</w:t>
            </w:r>
          </w:p>
          <w:p w14:paraId="288CA07D">
            <w:pPr>
              <w:pStyle w:val="64"/>
            </w:pPr>
            <w:r>
              <w:t>临界量Q</w:t>
            </w:r>
            <w:r>
              <w:rPr>
                <w:vertAlign w:val="subscript"/>
              </w:rPr>
              <w:t>n</w:t>
            </w:r>
            <w:r>
              <w:t>根据《化学品分类和标签规范 第18部分：急性毒性》（GB 30000.18-2013）、《化学品分类和标签规范 第28部分：对水生环境的危害》（GB 30000.28-2013）、《建设项目环境风险评价技术导则》（HJ 169-2018）附录B确定。</w:t>
            </w:r>
          </w:p>
          <w:p w14:paraId="35F59CF9">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rPr>
            </w:pPr>
            <w:r>
              <w:rPr>
                <w:b w:val="0"/>
                <w:bCs/>
                <w:color w:val="auto"/>
                <w:sz w:val="22"/>
                <w:szCs w:val="21"/>
              </w:rPr>
              <w:t>表4.2</w:t>
            </w:r>
            <w:r>
              <w:rPr>
                <w:rFonts w:hint="eastAsia"/>
                <w:b w:val="0"/>
                <w:bCs/>
                <w:color w:val="auto"/>
                <w:sz w:val="22"/>
                <w:szCs w:val="21"/>
                <w:lang w:val="en-US" w:eastAsia="zh-CN"/>
              </w:rPr>
              <w:t xml:space="preserve">-21  </w:t>
            </w:r>
            <w:r>
              <w:rPr>
                <w:b w:val="0"/>
                <w:bCs/>
                <w:color w:val="auto"/>
                <w:sz w:val="22"/>
                <w:szCs w:val="21"/>
              </w:rPr>
              <w:t>项目危险物质贮存一览表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794"/>
              <w:gridCol w:w="1265"/>
              <w:gridCol w:w="927"/>
              <w:gridCol w:w="1229"/>
              <w:gridCol w:w="967"/>
              <w:gridCol w:w="1165"/>
            </w:tblGrid>
            <w:tr w14:paraId="78B9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vAlign w:val="center"/>
                </w:tcPr>
                <w:p w14:paraId="2A93D3D3">
                  <w:pPr>
                    <w:pStyle w:val="71"/>
                    <w:rPr>
                      <w:color w:val="auto"/>
                    </w:rPr>
                  </w:pPr>
                  <w:r>
                    <w:rPr>
                      <w:color w:val="auto"/>
                    </w:rPr>
                    <w:t>序号</w:t>
                  </w:r>
                </w:p>
              </w:tc>
              <w:tc>
                <w:tcPr>
                  <w:tcW w:w="1794" w:type="dxa"/>
                  <w:vAlign w:val="center"/>
                </w:tcPr>
                <w:p w14:paraId="0432178E">
                  <w:pPr>
                    <w:pStyle w:val="71"/>
                    <w:rPr>
                      <w:color w:val="auto"/>
                    </w:rPr>
                  </w:pPr>
                  <w:r>
                    <w:rPr>
                      <w:rFonts w:hint="eastAsia"/>
                      <w:color w:val="auto"/>
                    </w:rPr>
                    <w:t>危险源名称及规格</w:t>
                  </w:r>
                </w:p>
              </w:tc>
              <w:tc>
                <w:tcPr>
                  <w:tcW w:w="1265" w:type="dxa"/>
                  <w:vAlign w:val="center"/>
                </w:tcPr>
                <w:p w14:paraId="10BE4428">
                  <w:pPr>
                    <w:pStyle w:val="71"/>
                    <w:rPr>
                      <w:color w:val="auto"/>
                    </w:rPr>
                  </w:pPr>
                  <w:r>
                    <w:rPr>
                      <w:color w:val="auto"/>
                    </w:rPr>
                    <w:t>危险物质名称</w:t>
                  </w:r>
                </w:p>
              </w:tc>
              <w:tc>
                <w:tcPr>
                  <w:tcW w:w="927" w:type="dxa"/>
                  <w:vAlign w:val="center"/>
                </w:tcPr>
                <w:p w14:paraId="6E497464">
                  <w:pPr>
                    <w:pStyle w:val="71"/>
                    <w:rPr>
                      <w:color w:val="auto"/>
                    </w:rPr>
                  </w:pPr>
                  <w:r>
                    <w:rPr>
                      <w:color w:val="auto"/>
                    </w:rPr>
                    <w:t>CAS号</w:t>
                  </w:r>
                </w:p>
              </w:tc>
              <w:tc>
                <w:tcPr>
                  <w:tcW w:w="1229" w:type="dxa"/>
                  <w:vAlign w:val="center"/>
                </w:tcPr>
                <w:p w14:paraId="13031392">
                  <w:pPr>
                    <w:pStyle w:val="71"/>
                    <w:rPr>
                      <w:color w:val="auto"/>
                    </w:rPr>
                  </w:pPr>
                  <w:r>
                    <w:rPr>
                      <w:color w:val="auto"/>
                    </w:rPr>
                    <w:t>最大存在总量q</w:t>
                  </w:r>
                  <w:r>
                    <w:rPr>
                      <w:color w:val="auto"/>
                      <w:vertAlign w:val="subscript"/>
                    </w:rPr>
                    <w:t>n</w:t>
                  </w:r>
                  <w:r>
                    <w:rPr>
                      <w:color w:val="auto"/>
                    </w:rPr>
                    <w:t>/t</w:t>
                  </w:r>
                </w:p>
              </w:tc>
              <w:tc>
                <w:tcPr>
                  <w:tcW w:w="967" w:type="dxa"/>
                  <w:vAlign w:val="center"/>
                </w:tcPr>
                <w:p w14:paraId="78128999">
                  <w:pPr>
                    <w:pStyle w:val="71"/>
                    <w:rPr>
                      <w:color w:val="auto"/>
                    </w:rPr>
                  </w:pPr>
                  <w:r>
                    <w:rPr>
                      <w:color w:val="auto"/>
                    </w:rPr>
                    <w:t>临界量Q</w:t>
                  </w:r>
                  <w:r>
                    <w:rPr>
                      <w:color w:val="auto"/>
                      <w:vertAlign w:val="subscript"/>
                    </w:rPr>
                    <w:t>n</w:t>
                  </w:r>
                  <w:r>
                    <w:rPr>
                      <w:color w:val="auto"/>
                    </w:rPr>
                    <w:t>/t</w:t>
                  </w:r>
                </w:p>
              </w:tc>
              <w:tc>
                <w:tcPr>
                  <w:tcW w:w="1165" w:type="dxa"/>
                  <w:vAlign w:val="center"/>
                </w:tcPr>
                <w:p w14:paraId="7A35B04F">
                  <w:pPr>
                    <w:pStyle w:val="71"/>
                    <w:rPr>
                      <w:color w:val="auto"/>
                    </w:rPr>
                  </w:pPr>
                  <w:r>
                    <w:rPr>
                      <w:color w:val="auto"/>
                    </w:rPr>
                    <w:t>Q值</w:t>
                  </w:r>
                </w:p>
              </w:tc>
            </w:tr>
            <w:tr w14:paraId="1A69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vAlign w:val="center"/>
                </w:tcPr>
                <w:p w14:paraId="08E56B1E">
                  <w:pPr>
                    <w:pStyle w:val="71"/>
                    <w:rPr>
                      <w:color w:val="auto"/>
                    </w:rPr>
                  </w:pPr>
                  <w:r>
                    <w:rPr>
                      <w:color w:val="auto"/>
                    </w:rPr>
                    <w:t>1</w:t>
                  </w:r>
                </w:p>
              </w:tc>
              <w:tc>
                <w:tcPr>
                  <w:tcW w:w="1794" w:type="dxa"/>
                  <w:vAlign w:val="center"/>
                </w:tcPr>
                <w:p w14:paraId="644B1E8F">
                  <w:pPr>
                    <w:pStyle w:val="71"/>
                    <w:rPr>
                      <w:color w:val="auto"/>
                    </w:rPr>
                  </w:pPr>
                  <w:r>
                    <w:rPr>
                      <w:rFonts w:hint="eastAsia"/>
                      <w:color w:val="auto"/>
                    </w:rPr>
                    <w:t>9</w:t>
                  </w:r>
                  <w:r>
                    <w:rPr>
                      <w:color w:val="auto"/>
                    </w:rPr>
                    <w:t>2</w:t>
                  </w:r>
                  <w:r>
                    <w:rPr>
                      <w:rFonts w:hint="eastAsia"/>
                      <w:color w:val="auto"/>
                    </w:rPr>
                    <w:t>#汽油罐</w:t>
                  </w:r>
                  <w:r>
                    <w:rPr>
                      <w:rFonts w:hint="eastAsia"/>
                      <w:color w:val="auto"/>
                      <w:lang w:val="en-US" w:eastAsia="zh-CN"/>
                    </w:rPr>
                    <w:t>3</w:t>
                  </w:r>
                  <w:r>
                    <w:rPr>
                      <w:color w:val="auto"/>
                    </w:rPr>
                    <w:t>0m</w:t>
                  </w:r>
                  <w:r>
                    <w:rPr>
                      <w:color w:val="auto"/>
                      <w:vertAlign w:val="superscript"/>
                    </w:rPr>
                    <w:t>3</w:t>
                  </w:r>
                </w:p>
              </w:tc>
              <w:tc>
                <w:tcPr>
                  <w:tcW w:w="1265" w:type="dxa"/>
                  <w:vAlign w:val="center"/>
                </w:tcPr>
                <w:p w14:paraId="30E04AC9">
                  <w:pPr>
                    <w:pStyle w:val="71"/>
                    <w:rPr>
                      <w:color w:val="auto"/>
                    </w:rPr>
                  </w:pPr>
                  <w:r>
                    <w:rPr>
                      <w:rFonts w:hint="eastAsia"/>
                      <w:color w:val="auto"/>
                    </w:rPr>
                    <w:t>汽油</w:t>
                  </w:r>
                </w:p>
              </w:tc>
              <w:tc>
                <w:tcPr>
                  <w:tcW w:w="927" w:type="dxa"/>
                  <w:vAlign w:val="center"/>
                </w:tcPr>
                <w:p w14:paraId="27A1DE02">
                  <w:pPr>
                    <w:pStyle w:val="71"/>
                    <w:rPr>
                      <w:color w:val="auto"/>
                    </w:rPr>
                  </w:pPr>
                  <w:r>
                    <w:rPr>
                      <w:color w:val="auto"/>
                    </w:rPr>
                    <w:t>/</w:t>
                  </w:r>
                </w:p>
              </w:tc>
              <w:tc>
                <w:tcPr>
                  <w:tcW w:w="1229" w:type="dxa"/>
                  <w:vAlign w:val="center"/>
                </w:tcPr>
                <w:p w14:paraId="07CEB62A">
                  <w:pPr>
                    <w:pStyle w:val="71"/>
                    <w:rPr>
                      <w:rFonts w:hint="default" w:eastAsia="宋体"/>
                      <w:color w:val="auto"/>
                      <w:lang w:val="en-US" w:eastAsia="zh-CN"/>
                    </w:rPr>
                  </w:pPr>
                  <w:r>
                    <w:rPr>
                      <w:rFonts w:hint="eastAsia"/>
                      <w:color w:val="auto"/>
                      <w:lang w:val="en-US" w:eastAsia="zh-CN"/>
                    </w:rPr>
                    <w:t>17.28</w:t>
                  </w:r>
                </w:p>
              </w:tc>
              <w:tc>
                <w:tcPr>
                  <w:tcW w:w="967" w:type="dxa"/>
                  <w:vAlign w:val="center"/>
                </w:tcPr>
                <w:p w14:paraId="202F2F05">
                  <w:pPr>
                    <w:pStyle w:val="71"/>
                    <w:rPr>
                      <w:color w:val="auto"/>
                    </w:rPr>
                  </w:pPr>
                  <w:r>
                    <w:rPr>
                      <w:color w:val="auto"/>
                    </w:rPr>
                    <w:t>2500</w:t>
                  </w:r>
                </w:p>
              </w:tc>
              <w:tc>
                <w:tcPr>
                  <w:tcW w:w="1165" w:type="dxa"/>
                  <w:vAlign w:val="center"/>
                </w:tcPr>
                <w:p w14:paraId="4D2B8A6A">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2"/>
                      <w:szCs w:val="22"/>
                      <w:u w:val="none"/>
                      <w:lang w:val="en-US" w:eastAsia="zh-CN" w:bidi="ar"/>
                    </w:rPr>
                    <w:t>0.006912</w:t>
                  </w:r>
                </w:p>
              </w:tc>
            </w:tr>
            <w:tr w14:paraId="18CD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vAlign w:val="center"/>
                </w:tcPr>
                <w:p w14:paraId="693C1CBF">
                  <w:pPr>
                    <w:pStyle w:val="71"/>
                    <w:rPr>
                      <w:color w:val="auto"/>
                    </w:rPr>
                  </w:pPr>
                  <w:r>
                    <w:rPr>
                      <w:color w:val="auto"/>
                    </w:rPr>
                    <w:t>2</w:t>
                  </w:r>
                </w:p>
              </w:tc>
              <w:tc>
                <w:tcPr>
                  <w:tcW w:w="1794" w:type="dxa"/>
                  <w:vAlign w:val="center"/>
                </w:tcPr>
                <w:p w14:paraId="4227AE38">
                  <w:pPr>
                    <w:pStyle w:val="71"/>
                    <w:rPr>
                      <w:color w:val="auto"/>
                    </w:rPr>
                  </w:pPr>
                  <w:r>
                    <w:rPr>
                      <w:rFonts w:hint="eastAsia"/>
                      <w:color w:val="auto"/>
                    </w:rPr>
                    <w:t>9</w:t>
                  </w:r>
                  <w:r>
                    <w:rPr>
                      <w:color w:val="auto"/>
                    </w:rPr>
                    <w:t>5</w:t>
                  </w:r>
                  <w:r>
                    <w:rPr>
                      <w:rFonts w:hint="eastAsia"/>
                      <w:color w:val="auto"/>
                    </w:rPr>
                    <w:t>#汽油罐</w:t>
                  </w:r>
                  <w:r>
                    <w:rPr>
                      <w:rFonts w:hint="eastAsia"/>
                      <w:color w:val="auto"/>
                      <w:lang w:val="en-US" w:eastAsia="zh-CN"/>
                    </w:rPr>
                    <w:t>3</w:t>
                  </w:r>
                  <w:r>
                    <w:rPr>
                      <w:color w:val="auto"/>
                    </w:rPr>
                    <w:t>0m</w:t>
                  </w:r>
                  <w:r>
                    <w:rPr>
                      <w:color w:val="auto"/>
                      <w:vertAlign w:val="superscript"/>
                    </w:rPr>
                    <w:t>3</w:t>
                  </w:r>
                </w:p>
              </w:tc>
              <w:tc>
                <w:tcPr>
                  <w:tcW w:w="1265" w:type="dxa"/>
                  <w:vAlign w:val="center"/>
                </w:tcPr>
                <w:p w14:paraId="0753643A">
                  <w:pPr>
                    <w:pStyle w:val="71"/>
                    <w:rPr>
                      <w:color w:val="auto"/>
                    </w:rPr>
                  </w:pPr>
                  <w:r>
                    <w:rPr>
                      <w:rFonts w:hint="eastAsia"/>
                      <w:color w:val="auto"/>
                    </w:rPr>
                    <w:t>汽油</w:t>
                  </w:r>
                </w:p>
              </w:tc>
              <w:tc>
                <w:tcPr>
                  <w:tcW w:w="927" w:type="dxa"/>
                  <w:vAlign w:val="center"/>
                </w:tcPr>
                <w:p w14:paraId="2538BC4B">
                  <w:pPr>
                    <w:pStyle w:val="71"/>
                    <w:rPr>
                      <w:color w:val="auto"/>
                    </w:rPr>
                  </w:pPr>
                  <w:r>
                    <w:rPr>
                      <w:color w:val="auto"/>
                    </w:rPr>
                    <w:t>/</w:t>
                  </w:r>
                </w:p>
              </w:tc>
              <w:tc>
                <w:tcPr>
                  <w:tcW w:w="1229" w:type="dxa"/>
                  <w:vAlign w:val="center"/>
                </w:tcPr>
                <w:p w14:paraId="0C9C5E12">
                  <w:pPr>
                    <w:pStyle w:val="71"/>
                    <w:rPr>
                      <w:rFonts w:hint="default" w:eastAsia="宋体"/>
                      <w:color w:val="auto"/>
                      <w:lang w:val="en-US" w:eastAsia="zh-CN"/>
                    </w:rPr>
                  </w:pPr>
                  <w:r>
                    <w:rPr>
                      <w:rFonts w:hint="eastAsia"/>
                      <w:color w:val="auto"/>
                      <w:lang w:val="en-US" w:eastAsia="zh-CN"/>
                    </w:rPr>
                    <w:t>17.28</w:t>
                  </w:r>
                </w:p>
              </w:tc>
              <w:tc>
                <w:tcPr>
                  <w:tcW w:w="967" w:type="dxa"/>
                  <w:vAlign w:val="center"/>
                </w:tcPr>
                <w:p w14:paraId="65D17D54">
                  <w:pPr>
                    <w:pStyle w:val="71"/>
                    <w:rPr>
                      <w:color w:val="auto"/>
                    </w:rPr>
                  </w:pPr>
                  <w:r>
                    <w:rPr>
                      <w:color w:val="auto"/>
                    </w:rPr>
                    <w:t>2500</w:t>
                  </w:r>
                </w:p>
              </w:tc>
              <w:tc>
                <w:tcPr>
                  <w:tcW w:w="1165" w:type="dxa"/>
                  <w:vAlign w:val="center"/>
                </w:tcPr>
                <w:p w14:paraId="30C1E07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2"/>
                      <w:szCs w:val="22"/>
                      <w:u w:val="none"/>
                      <w:lang w:val="en-US" w:eastAsia="zh-CN" w:bidi="ar"/>
                    </w:rPr>
                    <w:t>0.006912</w:t>
                  </w:r>
                </w:p>
              </w:tc>
            </w:tr>
            <w:tr w14:paraId="028D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vAlign w:val="center"/>
                </w:tcPr>
                <w:p w14:paraId="1986AFF0">
                  <w:pPr>
                    <w:pStyle w:val="71"/>
                    <w:rPr>
                      <w:color w:val="auto"/>
                    </w:rPr>
                  </w:pPr>
                  <w:r>
                    <w:rPr>
                      <w:rFonts w:hint="eastAsia"/>
                      <w:color w:val="auto"/>
                    </w:rPr>
                    <w:t>3</w:t>
                  </w:r>
                </w:p>
              </w:tc>
              <w:tc>
                <w:tcPr>
                  <w:tcW w:w="1794" w:type="dxa"/>
                  <w:vAlign w:val="center"/>
                </w:tcPr>
                <w:p w14:paraId="5F1855A4">
                  <w:pPr>
                    <w:pStyle w:val="71"/>
                    <w:rPr>
                      <w:color w:val="auto"/>
                    </w:rPr>
                  </w:pPr>
                  <w:r>
                    <w:rPr>
                      <w:rFonts w:hint="eastAsia"/>
                      <w:color w:val="auto"/>
                    </w:rPr>
                    <w:t>9</w:t>
                  </w:r>
                  <w:r>
                    <w:rPr>
                      <w:color w:val="auto"/>
                    </w:rPr>
                    <w:t>8</w:t>
                  </w:r>
                  <w:r>
                    <w:rPr>
                      <w:rFonts w:hint="eastAsia"/>
                      <w:color w:val="auto"/>
                    </w:rPr>
                    <w:t>#汽油罐2</w:t>
                  </w:r>
                  <w:r>
                    <w:rPr>
                      <w:color w:val="auto"/>
                    </w:rPr>
                    <w:t>0m</w:t>
                  </w:r>
                  <w:r>
                    <w:rPr>
                      <w:color w:val="auto"/>
                      <w:vertAlign w:val="superscript"/>
                    </w:rPr>
                    <w:t>3</w:t>
                  </w:r>
                </w:p>
              </w:tc>
              <w:tc>
                <w:tcPr>
                  <w:tcW w:w="1265" w:type="dxa"/>
                  <w:vAlign w:val="center"/>
                </w:tcPr>
                <w:p w14:paraId="439A4B0C">
                  <w:pPr>
                    <w:pStyle w:val="71"/>
                    <w:rPr>
                      <w:color w:val="auto"/>
                    </w:rPr>
                  </w:pPr>
                  <w:r>
                    <w:rPr>
                      <w:rFonts w:hint="eastAsia"/>
                      <w:color w:val="auto"/>
                    </w:rPr>
                    <w:t>汽油</w:t>
                  </w:r>
                </w:p>
              </w:tc>
              <w:tc>
                <w:tcPr>
                  <w:tcW w:w="927" w:type="dxa"/>
                  <w:vAlign w:val="center"/>
                </w:tcPr>
                <w:p w14:paraId="113DD65E">
                  <w:pPr>
                    <w:pStyle w:val="71"/>
                    <w:rPr>
                      <w:color w:val="auto"/>
                    </w:rPr>
                  </w:pPr>
                </w:p>
              </w:tc>
              <w:tc>
                <w:tcPr>
                  <w:tcW w:w="1229" w:type="dxa"/>
                  <w:vAlign w:val="center"/>
                </w:tcPr>
                <w:p w14:paraId="0C5580CF">
                  <w:pPr>
                    <w:pStyle w:val="71"/>
                    <w:rPr>
                      <w:rFonts w:hint="default" w:eastAsia="宋体"/>
                      <w:color w:val="auto"/>
                      <w:lang w:val="en-US" w:eastAsia="zh-CN"/>
                    </w:rPr>
                  </w:pPr>
                  <w:r>
                    <w:rPr>
                      <w:rFonts w:hint="eastAsia"/>
                      <w:color w:val="auto"/>
                      <w:lang w:val="en-US" w:eastAsia="zh-CN"/>
                    </w:rPr>
                    <w:t>11.52</w:t>
                  </w:r>
                </w:p>
              </w:tc>
              <w:tc>
                <w:tcPr>
                  <w:tcW w:w="967" w:type="dxa"/>
                  <w:vAlign w:val="center"/>
                </w:tcPr>
                <w:p w14:paraId="473B4291">
                  <w:pPr>
                    <w:pStyle w:val="71"/>
                    <w:rPr>
                      <w:color w:val="auto"/>
                    </w:rPr>
                  </w:pPr>
                  <w:r>
                    <w:rPr>
                      <w:rFonts w:hint="eastAsia"/>
                      <w:color w:val="auto"/>
                    </w:rPr>
                    <w:t>2</w:t>
                  </w:r>
                  <w:r>
                    <w:rPr>
                      <w:color w:val="auto"/>
                    </w:rPr>
                    <w:t>500</w:t>
                  </w:r>
                </w:p>
              </w:tc>
              <w:tc>
                <w:tcPr>
                  <w:tcW w:w="1165" w:type="dxa"/>
                  <w:vAlign w:val="center"/>
                </w:tcPr>
                <w:p w14:paraId="47758573">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2"/>
                      <w:szCs w:val="22"/>
                      <w:u w:val="none"/>
                      <w:lang w:val="en-US" w:eastAsia="zh-CN" w:bidi="ar"/>
                    </w:rPr>
                    <w:t>0.004608</w:t>
                  </w:r>
                </w:p>
              </w:tc>
            </w:tr>
            <w:tr w14:paraId="5D56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vAlign w:val="center"/>
                </w:tcPr>
                <w:p w14:paraId="048CD9C0">
                  <w:pPr>
                    <w:pStyle w:val="71"/>
                    <w:rPr>
                      <w:color w:val="auto"/>
                    </w:rPr>
                  </w:pPr>
                  <w:r>
                    <w:rPr>
                      <w:rFonts w:hint="eastAsia"/>
                      <w:color w:val="auto"/>
                    </w:rPr>
                    <w:t>4</w:t>
                  </w:r>
                </w:p>
              </w:tc>
              <w:tc>
                <w:tcPr>
                  <w:tcW w:w="1794" w:type="dxa"/>
                  <w:vAlign w:val="center"/>
                </w:tcPr>
                <w:p w14:paraId="2A8A3BA6">
                  <w:pPr>
                    <w:pStyle w:val="71"/>
                    <w:rPr>
                      <w:color w:val="auto"/>
                    </w:rPr>
                  </w:pPr>
                  <w:r>
                    <w:rPr>
                      <w:color w:val="auto"/>
                    </w:rPr>
                    <w:t>0</w:t>
                  </w:r>
                  <w:r>
                    <w:rPr>
                      <w:rFonts w:hint="eastAsia"/>
                      <w:color w:val="auto"/>
                    </w:rPr>
                    <w:t>#柴油罐</w:t>
                  </w:r>
                  <w:r>
                    <w:rPr>
                      <w:color w:val="auto"/>
                    </w:rPr>
                    <w:t>20m</w:t>
                  </w:r>
                  <w:r>
                    <w:rPr>
                      <w:color w:val="auto"/>
                      <w:vertAlign w:val="superscript"/>
                    </w:rPr>
                    <w:t>3</w:t>
                  </w:r>
                </w:p>
              </w:tc>
              <w:tc>
                <w:tcPr>
                  <w:tcW w:w="1265" w:type="dxa"/>
                  <w:vAlign w:val="center"/>
                </w:tcPr>
                <w:p w14:paraId="141F0FD0">
                  <w:pPr>
                    <w:pStyle w:val="71"/>
                    <w:rPr>
                      <w:color w:val="auto"/>
                    </w:rPr>
                  </w:pPr>
                  <w:r>
                    <w:rPr>
                      <w:rFonts w:hint="eastAsia"/>
                      <w:color w:val="auto"/>
                    </w:rPr>
                    <w:t>柴油</w:t>
                  </w:r>
                </w:p>
              </w:tc>
              <w:tc>
                <w:tcPr>
                  <w:tcW w:w="927" w:type="dxa"/>
                  <w:vAlign w:val="center"/>
                </w:tcPr>
                <w:p w14:paraId="06AE51DB">
                  <w:pPr>
                    <w:pStyle w:val="71"/>
                    <w:rPr>
                      <w:color w:val="auto"/>
                    </w:rPr>
                  </w:pPr>
                  <w:r>
                    <w:rPr>
                      <w:color w:val="auto"/>
                    </w:rPr>
                    <w:t>/</w:t>
                  </w:r>
                </w:p>
              </w:tc>
              <w:tc>
                <w:tcPr>
                  <w:tcW w:w="1229" w:type="dxa"/>
                  <w:vAlign w:val="center"/>
                </w:tcPr>
                <w:p w14:paraId="6886EBA0">
                  <w:pPr>
                    <w:pStyle w:val="71"/>
                    <w:rPr>
                      <w:rFonts w:hint="default" w:eastAsia="宋体"/>
                      <w:color w:val="auto"/>
                      <w:lang w:val="en-US" w:eastAsia="zh-CN"/>
                    </w:rPr>
                  </w:pPr>
                  <w:r>
                    <w:rPr>
                      <w:rFonts w:hint="eastAsia"/>
                      <w:color w:val="auto"/>
                      <w:lang w:val="en-US" w:eastAsia="zh-CN"/>
                    </w:rPr>
                    <w:t>14.24</w:t>
                  </w:r>
                </w:p>
              </w:tc>
              <w:tc>
                <w:tcPr>
                  <w:tcW w:w="967" w:type="dxa"/>
                  <w:vAlign w:val="center"/>
                </w:tcPr>
                <w:p w14:paraId="1B0A5000">
                  <w:pPr>
                    <w:pStyle w:val="71"/>
                    <w:rPr>
                      <w:color w:val="auto"/>
                    </w:rPr>
                  </w:pPr>
                  <w:r>
                    <w:rPr>
                      <w:color w:val="auto"/>
                    </w:rPr>
                    <w:t>2500</w:t>
                  </w:r>
                </w:p>
              </w:tc>
              <w:tc>
                <w:tcPr>
                  <w:tcW w:w="1165" w:type="dxa"/>
                  <w:vAlign w:val="center"/>
                </w:tcPr>
                <w:p w14:paraId="75ABDD53">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2"/>
                      <w:szCs w:val="22"/>
                      <w:u w:val="none"/>
                      <w:lang w:val="en-US" w:eastAsia="zh-CN" w:bidi="ar"/>
                    </w:rPr>
                    <w:t>0.005696</w:t>
                  </w:r>
                </w:p>
              </w:tc>
            </w:tr>
            <w:tr w14:paraId="7972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89" w:type="dxa"/>
                  <w:vAlign w:val="center"/>
                </w:tcPr>
                <w:p w14:paraId="471F4EDA">
                  <w:pPr>
                    <w:pStyle w:val="71"/>
                    <w:rPr>
                      <w:rFonts w:hint="eastAsia" w:eastAsia="宋体"/>
                      <w:color w:val="auto"/>
                      <w:lang w:eastAsia="zh-CN"/>
                    </w:rPr>
                  </w:pPr>
                  <w:r>
                    <w:rPr>
                      <w:rFonts w:hint="eastAsia"/>
                      <w:color w:val="auto"/>
                      <w:lang w:val="en-US" w:eastAsia="zh-CN"/>
                    </w:rPr>
                    <w:t>5</w:t>
                  </w:r>
                </w:p>
              </w:tc>
              <w:tc>
                <w:tcPr>
                  <w:tcW w:w="1794" w:type="dxa"/>
                  <w:vAlign w:val="center"/>
                </w:tcPr>
                <w:p w14:paraId="1720CB01">
                  <w:pPr>
                    <w:pStyle w:val="71"/>
                    <w:rPr>
                      <w:rFonts w:hint="eastAsia" w:eastAsia="宋体"/>
                      <w:color w:val="auto"/>
                      <w:lang w:eastAsia="zh-CN"/>
                    </w:rPr>
                  </w:pPr>
                  <w:r>
                    <w:rPr>
                      <w:rFonts w:hint="eastAsia"/>
                      <w:color w:val="auto"/>
                      <w:lang w:val="en-US" w:eastAsia="zh-CN"/>
                    </w:rPr>
                    <w:t>油品库房</w:t>
                  </w:r>
                </w:p>
              </w:tc>
              <w:tc>
                <w:tcPr>
                  <w:tcW w:w="1265" w:type="dxa"/>
                  <w:vAlign w:val="center"/>
                </w:tcPr>
                <w:p w14:paraId="6018A114">
                  <w:pPr>
                    <w:pStyle w:val="71"/>
                    <w:rPr>
                      <w:color w:val="auto"/>
                    </w:rPr>
                  </w:pPr>
                  <w:r>
                    <w:rPr>
                      <w:rFonts w:hint="eastAsia"/>
                      <w:color w:val="auto"/>
                      <w:lang w:val="en-US" w:eastAsia="zh-CN"/>
                    </w:rPr>
                    <w:t>润滑</w:t>
                  </w:r>
                  <w:r>
                    <w:rPr>
                      <w:rFonts w:hint="eastAsia"/>
                      <w:color w:val="auto"/>
                    </w:rPr>
                    <w:t>油</w:t>
                  </w:r>
                </w:p>
              </w:tc>
              <w:tc>
                <w:tcPr>
                  <w:tcW w:w="927" w:type="dxa"/>
                  <w:vAlign w:val="center"/>
                </w:tcPr>
                <w:p w14:paraId="2BE8738E">
                  <w:pPr>
                    <w:pStyle w:val="71"/>
                    <w:rPr>
                      <w:color w:val="auto"/>
                    </w:rPr>
                  </w:pPr>
                  <w:r>
                    <w:rPr>
                      <w:rFonts w:hint="eastAsia"/>
                      <w:color w:val="auto"/>
                    </w:rPr>
                    <w:t>/</w:t>
                  </w:r>
                </w:p>
              </w:tc>
              <w:tc>
                <w:tcPr>
                  <w:tcW w:w="1229" w:type="dxa"/>
                  <w:vAlign w:val="center"/>
                </w:tcPr>
                <w:p w14:paraId="0FA5C8A9">
                  <w:pPr>
                    <w:pStyle w:val="71"/>
                    <w:rPr>
                      <w:rFonts w:hint="default" w:eastAsia="宋体"/>
                      <w:color w:val="auto"/>
                      <w:lang w:val="en-US" w:eastAsia="zh-CN"/>
                    </w:rPr>
                  </w:pPr>
                  <w:r>
                    <w:rPr>
                      <w:rFonts w:hint="eastAsia"/>
                      <w:color w:val="auto"/>
                      <w:lang w:val="en-US" w:eastAsia="zh-CN"/>
                    </w:rPr>
                    <w:t>0.1</w:t>
                  </w:r>
                </w:p>
              </w:tc>
              <w:tc>
                <w:tcPr>
                  <w:tcW w:w="967" w:type="dxa"/>
                  <w:vAlign w:val="center"/>
                </w:tcPr>
                <w:p w14:paraId="660FA61A">
                  <w:pPr>
                    <w:pStyle w:val="71"/>
                    <w:rPr>
                      <w:color w:val="auto"/>
                    </w:rPr>
                  </w:pPr>
                  <w:r>
                    <w:rPr>
                      <w:color w:val="auto"/>
                    </w:rPr>
                    <w:t>2500</w:t>
                  </w:r>
                </w:p>
              </w:tc>
              <w:tc>
                <w:tcPr>
                  <w:tcW w:w="1165" w:type="dxa"/>
                  <w:vAlign w:val="center"/>
                </w:tcPr>
                <w:p w14:paraId="016421D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2"/>
                      <w:szCs w:val="22"/>
                      <w:u w:val="none"/>
                      <w:lang w:val="en-US" w:eastAsia="zh-CN" w:bidi="ar"/>
                    </w:rPr>
                    <w:t>0.00004</w:t>
                  </w:r>
                </w:p>
              </w:tc>
            </w:tr>
            <w:tr w14:paraId="6911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dxa"/>
                  <w:vAlign w:val="center"/>
                </w:tcPr>
                <w:p w14:paraId="5FECCE04">
                  <w:pPr>
                    <w:pStyle w:val="71"/>
                    <w:rPr>
                      <w:rFonts w:hint="eastAsia" w:eastAsia="宋体"/>
                      <w:color w:val="auto"/>
                      <w:lang w:eastAsia="zh-CN"/>
                    </w:rPr>
                  </w:pPr>
                  <w:r>
                    <w:rPr>
                      <w:rFonts w:hint="eastAsia"/>
                      <w:color w:val="auto"/>
                      <w:lang w:val="en-US" w:eastAsia="zh-CN"/>
                    </w:rPr>
                    <w:t>6</w:t>
                  </w:r>
                </w:p>
              </w:tc>
              <w:tc>
                <w:tcPr>
                  <w:tcW w:w="1794" w:type="dxa"/>
                  <w:vAlign w:val="center"/>
                </w:tcPr>
                <w:p w14:paraId="1AA852D0">
                  <w:pPr>
                    <w:pStyle w:val="71"/>
                    <w:rPr>
                      <w:color w:val="auto"/>
                    </w:rPr>
                  </w:pPr>
                  <w:r>
                    <w:rPr>
                      <w:rFonts w:hint="eastAsia"/>
                      <w:color w:val="auto"/>
                    </w:rPr>
                    <w:t>危废贮存点</w:t>
                  </w:r>
                </w:p>
              </w:tc>
              <w:tc>
                <w:tcPr>
                  <w:tcW w:w="1265" w:type="dxa"/>
                  <w:vAlign w:val="center"/>
                </w:tcPr>
                <w:p w14:paraId="467DA37E">
                  <w:pPr>
                    <w:pStyle w:val="71"/>
                    <w:rPr>
                      <w:color w:val="auto"/>
                    </w:rPr>
                  </w:pPr>
                  <w:r>
                    <w:rPr>
                      <w:rFonts w:hint="eastAsia"/>
                      <w:color w:val="auto"/>
                    </w:rPr>
                    <w:t>废液压油桶</w:t>
                  </w:r>
                </w:p>
              </w:tc>
              <w:tc>
                <w:tcPr>
                  <w:tcW w:w="927" w:type="dxa"/>
                  <w:vAlign w:val="center"/>
                </w:tcPr>
                <w:p w14:paraId="5CF5FFE0">
                  <w:pPr>
                    <w:pStyle w:val="71"/>
                    <w:rPr>
                      <w:color w:val="auto"/>
                    </w:rPr>
                  </w:pPr>
                  <w:r>
                    <w:rPr>
                      <w:color w:val="auto"/>
                    </w:rPr>
                    <w:t>/</w:t>
                  </w:r>
                </w:p>
              </w:tc>
              <w:tc>
                <w:tcPr>
                  <w:tcW w:w="1229" w:type="dxa"/>
                  <w:vAlign w:val="center"/>
                </w:tcPr>
                <w:p w14:paraId="64660BD0">
                  <w:pPr>
                    <w:pStyle w:val="71"/>
                    <w:rPr>
                      <w:rFonts w:hint="default" w:eastAsia="宋体"/>
                      <w:color w:val="auto"/>
                      <w:szCs w:val="22"/>
                      <w:lang w:val="en-US" w:eastAsia="zh-CN"/>
                    </w:rPr>
                  </w:pPr>
                  <w:r>
                    <w:rPr>
                      <w:rFonts w:hint="eastAsia"/>
                      <w:color w:val="auto"/>
                      <w:szCs w:val="22"/>
                      <w:lang w:val="en-US" w:eastAsia="zh-CN"/>
                    </w:rPr>
                    <w:t>0.4</w:t>
                  </w:r>
                </w:p>
              </w:tc>
              <w:tc>
                <w:tcPr>
                  <w:tcW w:w="967" w:type="dxa"/>
                  <w:vAlign w:val="center"/>
                </w:tcPr>
                <w:p w14:paraId="39E029CB">
                  <w:pPr>
                    <w:pStyle w:val="71"/>
                    <w:rPr>
                      <w:color w:val="auto"/>
                    </w:rPr>
                  </w:pPr>
                  <w:r>
                    <w:rPr>
                      <w:rFonts w:hint="eastAsia"/>
                      <w:color w:val="auto"/>
                    </w:rPr>
                    <w:t>50</w:t>
                  </w:r>
                </w:p>
              </w:tc>
              <w:tc>
                <w:tcPr>
                  <w:tcW w:w="1165" w:type="dxa"/>
                  <w:vAlign w:val="center"/>
                </w:tcPr>
                <w:p w14:paraId="67B0148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000000"/>
                      <w:kern w:val="0"/>
                      <w:sz w:val="22"/>
                      <w:szCs w:val="22"/>
                      <w:u w:val="none"/>
                      <w:lang w:val="en-US" w:eastAsia="zh-CN" w:bidi="ar"/>
                    </w:rPr>
                    <w:t>0.008</w:t>
                  </w:r>
                </w:p>
              </w:tc>
            </w:tr>
            <w:tr w14:paraId="7AFF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1" w:type="dxa"/>
                  <w:gridSpan w:val="6"/>
                  <w:vAlign w:val="center"/>
                </w:tcPr>
                <w:p w14:paraId="2B99EA78">
                  <w:pPr>
                    <w:pStyle w:val="71"/>
                    <w:rPr>
                      <w:color w:val="auto"/>
                    </w:rPr>
                  </w:pPr>
                  <w:r>
                    <w:rPr>
                      <w:color w:val="auto"/>
                    </w:rPr>
                    <w:t>项目Q值Σ</w:t>
                  </w:r>
                </w:p>
              </w:tc>
              <w:tc>
                <w:tcPr>
                  <w:tcW w:w="1165" w:type="dxa"/>
                  <w:vAlign w:val="center"/>
                </w:tcPr>
                <w:p w14:paraId="4AC4CD2B">
                  <w:pPr>
                    <w:keepNext w:val="0"/>
                    <w:keepLines w:val="0"/>
                    <w:widowControl/>
                    <w:suppressLineNumbers w:val="0"/>
                    <w:jc w:val="right"/>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000000"/>
                      <w:kern w:val="0"/>
                      <w:sz w:val="22"/>
                      <w:szCs w:val="22"/>
                      <w:u w:val="none"/>
                      <w:lang w:val="en-US" w:eastAsia="zh-CN" w:bidi="ar"/>
                    </w:rPr>
                    <w:t>0.032168</w:t>
                  </w:r>
                </w:p>
              </w:tc>
            </w:tr>
          </w:tbl>
          <w:p w14:paraId="4090FB01">
            <w:pPr>
              <w:pStyle w:val="64"/>
              <w:spacing w:line="240" w:lineRule="auto"/>
              <w:ind w:left="0" w:leftChars="0" w:firstLine="0" w:firstLineChars="0"/>
            </w:pPr>
            <w:r>
              <w:rPr>
                <w:rFonts w:hint="default" w:ascii="Times New Roman" w:hAnsi="Times New Roman" w:cs="Times New Roman"/>
                <w:color w:val="auto"/>
                <w:sz w:val="22"/>
                <w:szCs w:val="22"/>
              </w:rPr>
              <w:t>注:“*”表示参照健康危险急性毒性物质</w:t>
            </w:r>
            <w:r>
              <w:rPr>
                <w:rFonts w:hint="eastAsia" w:ascii="Times New Roman" w:hAnsi="Times New Roman" w:cs="Times New Roman"/>
                <w:color w:val="auto"/>
                <w:sz w:val="22"/>
                <w:szCs w:val="22"/>
                <w:lang w:eastAsia="zh-CN"/>
              </w:rPr>
              <w:t>（</w:t>
            </w:r>
            <w:r>
              <w:rPr>
                <w:rFonts w:hint="default" w:ascii="Times New Roman" w:hAnsi="Times New Roman" w:cs="Times New Roman"/>
                <w:color w:val="auto"/>
                <w:sz w:val="22"/>
                <w:szCs w:val="22"/>
              </w:rPr>
              <w:t>类别2，类别3</w:t>
            </w:r>
            <w:r>
              <w:rPr>
                <w:rFonts w:hint="eastAsia" w:ascii="Times New Roman" w:hAnsi="Times New Roman" w:cs="Times New Roman"/>
                <w:color w:val="auto"/>
                <w:sz w:val="22"/>
                <w:szCs w:val="22"/>
                <w:lang w:eastAsia="zh-CN"/>
              </w:rPr>
              <w:t>）</w:t>
            </w:r>
            <w:r>
              <w:rPr>
                <w:rFonts w:hint="default" w:ascii="Times New Roman" w:hAnsi="Times New Roman" w:cs="Times New Roman"/>
                <w:color w:val="auto"/>
                <w:sz w:val="22"/>
                <w:szCs w:val="22"/>
              </w:rPr>
              <w:t>临界量50t。</w:t>
            </w:r>
          </w:p>
          <w:p w14:paraId="14FA3CFE">
            <w:pPr>
              <w:pStyle w:val="64"/>
            </w:pPr>
            <w:r>
              <w:t xml:space="preserve">经计算，Q= </w:t>
            </w:r>
            <w:r>
              <w:rPr>
                <w:rFonts w:hint="eastAsia"/>
              </w:rPr>
              <w:t>0.032168</w:t>
            </w:r>
            <w:r>
              <w:t>＜1，该项目环境风险潜势为Ⅰ</w:t>
            </w:r>
            <w:r>
              <w:rPr>
                <w:rFonts w:hint="default" w:ascii="Times New Roman" w:hAnsi="Times New Roman" w:cs="Times New Roman"/>
                <w:color w:val="auto"/>
                <w:sz w:val="26"/>
                <w:szCs w:val="26"/>
              </w:rPr>
              <w:t>，故不再进行所属行业及生产工艺特点（M值）、危险物质及工艺系统危险性（P）分级判定</w:t>
            </w:r>
            <w:r>
              <w:rPr>
                <w:rFonts w:hint="default" w:ascii="Times New Roman" w:hAnsi="Times New Roman" w:cs="Times New Roman"/>
                <w:color w:val="auto"/>
                <w:sz w:val="26"/>
                <w:szCs w:val="26"/>
                <w:lang w:eastAsia="zh-CN"/>
              </w:rPr>
              <w:t>，本次评价简单分析即可</w:t>
            </w:r>
            <w:r>
              <w:rPr>
                <w:rFonts w:hint="default" w:ascii="Times New Roman" w:hAnsi="Times New Roman" w:cs="Times New Roman"/>
                <w:color w:val="auto"/>
                <w:sz w:val="26"/>
                <w:szCs w:val="26"/>
              </w:rPr>
              <w:t>。</w:t>
            </w:r>
          </w:p>
          <w:p w14:paraId="5F0297C4">
            <w:pPr>
              <w:pStyle w:val="64"/>
              <w:ind w:firstLine="0" w:firstLineChars="0"/>
              <w:rPr>
                <w:b w:val="0"/>
                <w:bCs/>
              </w:rPr>
            </w:pPr>
            <w:r>
              <w:rPr>
                <w:b w:val="0"/>
                <w:bCs/>
              </w:rPr>
              <w:t>4.2.</w:t>
            </w:r>
            <w:r>
              <w:rPr>
                <w:rFonts w:hint="eastAsia"/>
                <w:b w:val="0"/>
                <w:bCs/>
                <w:lang w:val="en-US" w:eastAsia="zh-CN"/>
              </w:rPr>
              <w:t>6</w:t>
            </w:r>
            <w:r>
              <w:rPr>
                <w:b w:val="0"/>
                <w:bCs/>
              </w:rPr>
              <w:t>.3</w:t>
            </w:r>
            <w:r>
              <w:rPr>
                <w:rFonts w:hint="eastAsia"/>
                <w:b w:val="0"/>
                <w:bCs/>
              </w:rPr>
              <w:t>风险影响途径</w:t>
            </w:r>
          </w:p>
          <w:p w14:paraId="01851C97">
            <w:pPr>
              <w:pStyle w:val="64"/>
            </w:pPr>
            <w:r>
              <w:rPr>
                <w:rFonts w:hint="eastAsia"/>
              </w:rPr>
              <w:t>油品运输过程及储罐区的风险主要为溢油（跑、冒、漏）、火灾爆炸，油品</w:t>
            </w:r>
            <w:r>
              <w:rPr>
                <w:rFonts w:hint="eastAsia"/>
                <w:lang w:val="en-US" w:eastAsia="zh-CN"/>
              </w:rPr>
              <w:t>运输</w:t>
            </w:r>
            <w:r>
              <w:rPr>
                <w:rFonts w:hint="eastAsia"/>
              </w:rPr>
              <w:t>由有资质的单位实施，本次评价不分析运输过程中的环境风险。本项目主要环境风险见下表</w:t>
            </w:r>
            <w:r>
              <w:t>4.2</w:t>
            </w:r>
            <w:r>
              <w:rPr>
                <w:rFonts w:hint="eastAsia"/>
                <w:lang w:val="en-US" w:eastAsia="zh-CN"/>
              </w:rPr>
              <w:t>-22</w:t>
            </w:r>
            <w:r>
              <w:rPr>
                <w:rFonts w:hint="eastAsia"/>
              </w:rPr>
              <w:t>。</w:t>
            </w:r>
          </w:p>
          <w:p w14:paraId="0DAD900D">
            <w:pPr>
              <w:pStyle w:val="6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val="0"/>
                <w:bCs/>
                <w:color w:val="auto"/>
              </w:rPr>
            </w:pPr>
            <w:r>
              <w:rPr>
                <w:b w:val="0"/>
                <w:bCs/>
                <w:color w:val="auto"/>
                <w:sz w:val="22"/>
                <w:szCs w:val="21"/>
              </w:rPr>
              <w:t>表4.2</w:t>
            </w:r>
            <w:r>
              <w:rPr>
                <w:rFonts w:hint="eastAsia"/>
                <w:b w:val="0"/>
                <w:bCs/>
                <w:color w:val="auto"/>
                <w:sz w:val="22"/>
                <w:szCs w:val="21"/>
                <w:lang w:val="en-US" w:eastAsia="zh-CN"/>
              </w:rPr>
              <w:t xml:space="preserve">-22  </w:t>
            </w:r>
            <w:r>
              <w:rPr>
                <w:rFonts w:hint="eastAsia"/>
                <w:b w:val="0"/>
                <w:bCs/>
                <w:color w:val="auto"/>
                <w:sz w:val="22"/>
                <w:szCs w:val="21"/>
              </w:rPr>
              <w:t>本项目主要环境风险特征</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62"/>
              <w:gridCol w:w="2630"/>
              <w:gridCol w:w="3117"/>
            </w:tblGrid>
            <w:tr w14:paraId="36A8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567BFA65">
                  <w:pPr>
                    <w:pStyle w:val="71"/>
                    <w:rPr>
                      <w:color w:val="auto"/>
                    </w:rPr>
                  </w:pPr>
                  <w:r>
                    <w:rPr>
                      <w:color w:val="auto"/>
                    </w:rPr>
                    <w:t>序号</w:t>
                  </w:r>
                </w:p>
              </w:tc>
              <w:tc>
                <w:tcPr>
                  <w:tcW w:w="1418" w:type="dxa"/>
                  <w:vAlign w:val="center"/>
                </w:tcPr>
                <w:p w14:paraId="6D41CCF4">
                  <w:pPr>
                    <w:pStyle w:val="71"/>
                    <w:rPr>
                      <w:color w:val="auto"/>
                    </w:rPr>
                  </w:pPr>
                  <w:r>
                    <w:rPr>
                      <w:rFonts w:hint="eastAsia"/>
                      <w:color w:val="auto"/>
                    </w:rPr>
                    <w:t>风险类型</w:t>
                  </w:r>
                </w:p>
              </w:tc>
              <w:tc>
                <w:tcPr>
                  <w:tcW w:w="2551" w:type="dxa"/>
                  <w:vAlign w:val="center"/>
                </w:tcPr>
                <w:p w14:paraId="1060ABCC">
                  <w:pPr>
                    <w:pStyle w:val="71"/>
                    <w:rPr>
                      <w:color w:val="auto"/>
                    </w:rPr>
                  </w:pPr>
                  <w:r>
                    <w:rPr>
                      <w:rFonts w:hint="eastAsia"/>
                      <w:color w:val="auto"/>
                    </w:rPr>
                    <w:t>危害</w:t>
                  </w:r>
                </w:p>
              </w:tc>
              <w:tc>
                <w:tcPr>
                  <w:tcW w:w="3024" w:type="dxa"/>
                  <w:vAlign w:val="center"/>
                </w:tcPr>
                <w:p w14:paraId="67AB6E06">
                  <w:pPr>
                    <w:pStyle w:val="71"/>
                    <w:rPr>
                      <w:color w:val="auto"/>
                    </w:rPr>
                  </w:pPr>
                  <w:r>
                    <w:rPr>
                      <w:rFonts w:hint="eastAsia"/>
                      <w:color w:val="auto"/>
                    </w:rPr>
                    <w:t>原因分析</w:t>
                  </w:r>
                </w:p>
              </w:tc>
            </w:tr>
            <w:tr w14:paraId="70D2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053B62E0">
                  <w:pPr>
                    <w:pStyle w:val="71"/>
                    <w:rPr>
                      <w:color w:val="auto"/>
                    </w:rPr>
                  </w:pPr>
                  <w:r>
                    <w:rPr>
                      <w:color w:val="auto"/>
                    </w:rPr>
                    <w:t>1</w:t>
                  </w:r>
                </w:p>
              </w:tc>
              <w:tc>
                <w:tcPr>
                  <w:tcW w:w="1418" w:type="dxa"/>
                  <w:vAlign w:val="center"/>
                </w:tcPr>
                <w:p w14:paraId="524CDC14">
                  <w:pPr>
                    <w:pStyle w:val="71"/>
                    <w:rPr>
                      <w:color w:val="auto"/>
                    </w:rPr>
                  </w:pPr>
                  <w:r>
                    <w:rPr>
                      <w:rFonts w:hint="eastAsia"/>
                      <w:color w:val="auto"/>
                    </w:rPr>
                    <w:t>溢油（跑、冒、漏）</w:t>
                  </w:r>
                </w:p>
              </w:tc>
              <w:tc>
                <w:tcPr>
                  <w:tcW w:w="2551" w:type="dxa"/>
                  <w:vAlign w:val="center"/>
                </w:tcPr>
                <w:p w14:paraId="69A3C7A6">
                  <w:pPr>
                    <w:pStyle w:val="71"/>
                    <w:rPr>
                      <w:color w:val="auto"/>
                    </w:rPr>
                  </w:pPr>
                  <w:r>
                    <w:rPr>
                      <w:rFonts w:hint="eastAsia"/>
                      <w:color w:val="auto"/>
                    </w:rPr>
                    <w:t>污染地表水</w:t>
                  </w:r>
                </w:p>
                <w:p w14:paraId="4B2F2A15">
                  <w:pPr>
                    <w:pStyle w:val="71"/>
                    <w:rPr>
                      <w:color w:val="auto"/>
                    </w:rPr>
                  </w:pPr>
                  <w:r>
                    <w:rPr>
                      <w:rFonts w:hint="eastAsia"/>
                      <w:color w:val="auto"/>
                    </w:rPr>
                    <w:t>污染地下水</w:t>
                  </w:r>
                </w:p>
                <w:p w14:paraId="6B6E4E5A">
                  <w:pPr>
                    <w:pStyle w:val="71"/>
                    <w:rPr>
                      <w:color w:val="auto"/>
                    </w:rPr>
                  </w:pPr>
                  <w:r>
                    <w:rPr>
                      <w:rFonts w:hint="eastAsia"/>
                      <w:color w:val="auto"/>
                    </w:rPr>
                    <w:t>引起火灾爆炸</w:t>
                  </w:r>
                </w:p>
                <w:p w14:paraId="01C0D407">
                  <w:pPr>
                    <w:pStyle w:val="71"/>
                    <w:rPr>
                      <w:color w:val="auto"/>
                    </w:rPr>
                  </w:pPr>
                  <w:r>
                    <w:rPr>
                      <w:rFonts w:hint="eastAsia"/>
                      <w:color w:val="auto"/>
                    </w:rPr>
                    <w:t>污染环境空气</w:t>
                  </w:r>
                </w:p>
              </w:tc>
              <w:tc>
                <w:tcPr>
                  <w:tcW w:w="3024" w:type="dxa"/>
                  <w:vAlign w:val="center"/>
                </w:tcPr>
                <w:p w14:paraId="2D4CA7EB">
                  <w:pPr>
                    <w:pStyle w:val="71"/>
                    <w:rPr>
                      <w:color w:val="auto"/>
                    </w:rPr>
                  </w:pPr>
                  <w:r>
                    <w:rPr>
                      <w:rFonts w:hint="eastAsia"/>
                      <w:color w:val="auto"/>
                    </w:rPr>
                    <w:t>油罐及泵、管道破损阀门壳、盖孔泄露或阀杆损坏油罐及管道受腐蚀油罐液泛、突沸、渗漏、操作错误</w:t>
                  </w:r>
                </w:p>
              </w:tc>
            </w:tr>
            <w:tr w14:paraId="0792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5FC4B2B3">
                  <w:pPr>
                    <w:pStyle w:val="71"/>
                    <w:rPr>
                      <w:color w:val="auto"/>
                    </w:rPr>
                  </w:pPr>
                  <w:r>
                    <w:rPr>
                      <w:color w:val="auto"/>
                    </w:rPr>
                    <w:t>2</w:t>
                  </w:r>
                </w:p>
              </w:tc>
              <w:tc>
                <w:tcPr>
                  <w:tcW w:w="1418" w:type="dxa"/>
                  <w:vAlign w:val="center"/>
                </w:tcPr>
                <w:p w14:paraId="1808773D">
                  <w:pPr>
                    <w:pStyle w:val="71"/>
                    <w:rPr>
                      <w:color w:val="auto"/>
                    </w:rPr>
                  </w:pPr>
                  <w:r>
                    <w:rPr>
                      <w:rFonts w:hint="eastAsia"/>
                      <w:color w:val="auto"/>
                    </w:rPr>
                    <w:t>火灾爆炸</w:t>
                  </w:r>
                </w:p>
              </w:tc>
              <w:tc>
                <w:tcPr>
                  <w:tcW w:w="2551" w:type="dxa"/>
                  <w:vAlign w:val="center"/>
                </w:tcPr>
                <w:p w14:paraId="17D31C74">
                  <w:pPr>
                    <w:pStyle w:val="71"/>
                    <w:rPr>
                      <w:color w:val="auto"/>
                    </w:rPr>
                  </w:pPr>
                  <w:r>
                    <w:rPr>
                      <w:rFonts w:hint="eastAsia"/>
                      <w:color w:val="auto"/>
                    </w:rPr>
                    <w:t>财产损失</w:t>
                  </w:r>
                </w:p>
                <w:p w14:paraId="18F757F3">
                  <w:pPr>
                    <w:pStyle w:val="71"/>
                    <w:rPr>
                      <w:color w:val="auto"/>
                    </w:rPr>
                  </w:pPr>
                  <w:r>
                    <w:rPr>
                      <w:rFonts w:hint="eastAsia"/>
                      <w:color w:val="auto"/>
                    </w:rPr>
                    <w:t>人员伤亡</w:t>
                  </w:r>
                </w:p>
                <w:p w14:paraId="63F5B588">
                  <w:pPr>
                    <w:pStyle w:val="71"/>
                    <w:rPr>
                      <w:color w:val="auto"/>
                    </w:rPr>
                  </w:pPr>
                  <w:r>
                    <w:rPr>
                      <w:rFonts w:hint="eastAsia"/>
                      <w:color w:val="auto"/>
                    </w:rPr>
                    <w:t>污染大气环境及水环境</w:t>
                  </w:r>
                </w:p>
              </w:tc>
              <w:tc>
                <w:tcPr>
                  <w:tcW w:w="3024" w:type="dxa"/>
                  <w:vAlign w:val="center"/>
                </w:tcPr>
                <w:p w14:paraId="6441FB58">
                  <w:pPr>
                    <w:pStyle w:val="71"/>
                    <w:rPr>
                      <w:color w:val="auto"/>
                    </w:rPr>
                  </w:pPr>
                  <w:r>
                    <w:rPr>
                      <w:rFonts w:hint="eastAsia"/>
                      <w:color w:val="auto"/>
                    </w:rPr>
                    <w:t>油品泄露</w:t>
                  </w:r>
                </w:p>
                <w:p w14:paraId="5254501C">
                  <w:pPr>
                    <w:pStyle w:val="71"/>
                    <w:rPr>
                      <w:color w:val="auto"/>
                    </w:rPr>
                  </w:pPr>
                  <w:r>
                    <w:rPr>
                      <w:rFonts w:hint="eastAsia"/>
                      <w:color w:val="auto"/>
                    </w:rPr>
                    <w:t>存在机械、高温、电器、化学火源、静电</w:t>
                  </w:r>
                </w:p>
              </w:tc>
            </w:tr>
          </w:tbl>
          <w:p w14:paraId="46867EB4">
            <w:pPr>
              <w:pStyle w:val="64"/>
              <w:ind w:firstLine="0" w:firstLineChars="0"/>
              <w:rPr>
                <w:b w:val="0"/>
                <w:bCs/>
              </w:rPr>
            </w:pPr>
            <w:r>
              <w:rPr>
                <w:b w:val="0"/>
                <w:bCs/>
              </w:rPr>
              <w:t>4.2.</w:t>
            </w:r>
            <w:r>
              <w:rPr>
                <w:rFonts w:hint="eastAsia"/>
                <w:b w:val="0"/>
                <w:bCs/>
                <w:lang w:val="en-US" w:eastAsia="zh-CN"/>
              </w:rPr>
              <w:t>6</w:t>
            </w:r>
            <w:r>
              <w:rPr>
                <w:b w:val="0"/>
                <w:bCs/>
              </w:rPr>
              <w:t>.4环境风险防范措施</w:t>
            </w:r>
          </w:p>
          <w:p w14:paraId="2B524B9F">
            <w:pPr>
              <w:pStyle w:val="64"/>
            </w:pPr>
            <w:r>
              <w:rPr>
                <w:rFonts w:hint="eastAsia"/>
              </w:rPr>
              <w:t>根据现场踏勘，现有工程建立了风险防控及安全管理制度，定期对工作人员进行消防培训和操作培训，站内设置有高液位声光报警器、可燃气体报警系统、液位仪、油气渗漏在线检测系统、油气回收在线检测系统、液位仪、阻火呼吸阀、阻火通气帽以及避雷、静电消除系统等风险防范措施，本次改扩建也会针对已老旧设备进行及时更替。加油站现状也设置配备有消防砂池、灭火器，灭火毯等消防措施和警示标牌等。</w:t>
            </w:r>
          </w:p>
          <w:p w14:paraId="6E923B4B">
            <w:pPr>
              <w:pStyle w:val="64"/>
            </w:pPr>
            <w:r>
              <w:rPr>
                <w:rFonts w:hint="eastAsia"/>
              </w:rPr>
              <w:t>另外，本次改扩建将采取如下环境风险补充措施：</w:t>
            </w:r>
          </w:p>
          <w:p w14:paraId="30B79C74">
            <w:pPr>
              <w:pStyle w:val="64"/>
            </w:pPr>
            <w:r>
              <w:rPr>
                <w:rFonts w:hint="eastAsia"/>
              </w:rPr>
              <w:t>（1）泄露风险防范措施</w:t>
            </w:r>
          </w:p>
          <w:p w14:paraId="0EF9D88C">
            <w:pPr>
              <w:pStyle w:val="64"/>
            </w:pPr>
            <w:r>
              <w:rPr>
                <w:rFonts w:hint="eastAsia"/>
              </w:rPr>
              <w:t>①本项目汽油罐和柴油罐均采用</w:t>
            </w:r>
            <w:r>
              <w:rPr>
                <w:rFonts w:hint="eastAsia"/>
                <w:bCs w:val="0"/>
                <w:szCs w:val="26"/>
              </w:rPr>
              <w:t>双层钢制罐</w:t>
            </w:r>
            <w:r>
              <w:rPr>
                <w:rFonts w:hint="eastAsia"/>
              </w:rPr>
              <w:t>，满足防渗需求。每个油罐设置通气立管，通气管高出地面大于4m，并安装阻火器。油罐人孔操作井、卸油口井、加油机底槽等可能发生油品渗漏的部位，均采用相应的防渗措施。油罐采用取卸油时的防满溢措施，油料达到油罐容量9</w:t>
            </w:r>
            <w:r>
              <w:t>5</w:t>
            </w:r>
            <w:r>
              <w:rPr>
                <w:rFonts w:hint="eastAsia"/>
              </w:rPr>
              <w:t>%时，触动高液位报警装置，自动停止油料继续进罐。每个油罐各自设置卸油管道和卸油接口，各卸油接口及油气回收接口，有明显的标识，卸油接口装设快速接头及密封盖。</w:t>
            </w:r>
          </w:p>
          <w:p w14:paraId="21F53480">
            <w:pPr>
              <w:pStyle w:val="64"/>
            </w:pPr>
            <w:r>
              <w:rPr>
                <w:rFonts w:hint="eastAsia"/>
              </w:rPr>
              <w:t>②储油罐设带有高液位报警功能的液位计，避免卸油时计量失误使罐内液位过高造成冒油。卸油时有专人监督和监控设施，若出现泄漏事故，一般可在1m</w:t>
            </w:r>
            <w:r>
              <w:t>in</w:t>
            </w:r>
            <w:r>
              <w:rPr>
                <w:rFonts w:hint="eastAsia"/>
              </w:rPr>
              <w:t>内关闭阀门并进行控制处理。</w:t>
            </w:r>
          </w:p>
          <w:p w14:paraId="56EBCA78">
            <w:pPr>
              <w:pStyle w:val="64"/>
            </w:pPr>
            <w:r>
              <w:rPr>
                <w:rFonts w:hint="eastAsia"/>
              </w:rPr>
              <w:t>③定期对油品储存、输送、零售环节的设备、阀门、法兰盘、管道等进行检修、维护和保养，输油管道为埋地双层无缝钢管，采用防锈漆防锈、聚乙烯胶粘带加强绝缘防腐，由于采取严格防范措施，埋地管道发生泄漏事故情况极少。</w:t>
            </w:r>
          </w:p>
          <w:p w14:paraId="2EC351BC">
            <w:pPr>
              <w:pStyle w:val="64"/>
            </w:pPr>
            <w:r>
              <w:rPr>
                <w:rFonts w:hint="eastAsia"/>
              </w:rPr>
              <w:t>（2）火灾事故风险防范措施</w:t>
            </w:r>
          </w:p>
          <w:p w14:paraId="570FF264">
            <w:pPr>
              <w:pStyle w:val="64"/>
            </w:pPr>
            <w:r>
              <w:rPr>
                <w:rFonts w:hint="eastAsia"/>
              </w:rPr>
              <w:t>①本项目设有截水沟，在站内发生火灾时，消防水及场地清洗废水经排水沟收集后进入隔油池处理后排入市政污水管网，对地表水环境影响小。</w:t>
            </w:r>
          </w:p>
          <w:p w14:paraId="06A0D4C3">
            <w:pPr>
              <w:pStyle w:val="64"/>
              <w:rPr>
                <w:rFonts w:hint="eastAsia"/>
              </w:rPr>
            </w:pPr>
            <w:r>
              <w:rPr>
                <w:rFonts w:hint="eastAsia"/>
              </w:rPr>
              <w:t>②加油站严格按《汽车加油加气加氢站技术标准》（GB50156-2021）</w:t>
            </w:r>
            <w:r>
              <w:rPr>
                <w:rFonts w:hint="eastAsia"/>
                <w:lang w:val="en-US" w:eastAsia="zh-CN"/>
              </w:rPr>
              <w:t>中</w:t>
            </w:r>
            <w:r>
              <w:rPr>
                <w:rFonts w:hint="eastAsia"/>
              </w:rPr>
              <w:t>12.1.1 条款的要求在加油机、卸油口和储油罐等危险部位配备灭火器、灭火毯和消防沙等消防器材。</w:t>
            </w:r>
          </w:p>
          <w:p w14:paraId="68083F37">
            <w:pPr>
              <w:pStyle w:val="64"/>
              <w:rPr>
                <w:rFonts w:hint="eastAsia" w:eastAsia="宋体"/>
                <w:color w:val="FF0000"/>
                <w:lang w:eastAsia="zh-CN"/>
              </w:rPr>
            </w:pPr>
            <w:r>
              <w:rPr>
                <w:rFonts w:hint="eastAsia"/>
                <w:color w:val="FF0000"/>
                <w:lang w:eastAsia="zh-CN"/>
              </w:rPr>
              <w:t>（</w:t>
            </w:r>
            <w:r>
              <w:rPr>
                <w:rFonts w:hint="eastAsia"/>
                <w:color w:val="FF0000"/>
                <w:lang w:val="en-US" w:eastAsia="zh-CN"/>
              </w:rPr>
              <w:t>3</w:t>
            </w:r>
            <w:r>
              <w:rPr>
                <w:rFonts w:hint="eastAsia"/>
                <w:color w:val="FF0000"/>
                <w:lang w:eastAsia="zh-CN"/>
              </w:rPr>
              <w:t>）油罐车卸油过程中环境风险防范措施</w:t>
            </w:r>
          </w:p>
          <w:p w14:paraId="4D81A220">
            <w:pPr>
              <w:pStyle w:val="64"/>
              <w:rPr>
                <w:rFonts w:hint="eastAsia"/>
                <w:color w:val="FF0000"/>
                <w:lang w:val="en-US" w:eastAsia="zh-CN"/>
              </w:rPr>
            </w:pPr>
            <w:r>
              <w:rPr>
                <w:rFonts w:hint="eastAsia"/>
                <w:color w:val="FF0000"/>
                <w:lang w:val="en-US" w:eastAsia="zh-CN"/>
              </w:rPr>
              <w:t>①必须设置带有明显标识、与油罐车卸油软管匹配的专用快速接头卸油口，减少连接失误；</w:t>
            </w:r>
          </w:p>
          <w:p w14:paraId="30BDEDB8">
            <w:pPr>
              <w:pStyle w:val="64"/>
              <w:rPr>
                <w:rFonts w:hint="eastAsia"/>
                <w:color w:val="FF0000"/>
                <w:lang w:val="en-US" w:eastAsia="zh-CN"/>
              </w:rPr>
            </w:pPr>
            <w:r>
              <w:rPr>
                <w:rFonts w:hint="eastAsia"/>
                <w:color w:val="FF0000"/>
                <w:lang w:val="en-US" w:eastAsia="zh-CN"/>
              </w:rPr>
              <w:t>②设置防溢流措施，如防溢阀、液位监测、油气回收系统以及紧急切断阀等；</w:t>
            </w:r>
          </w:p>
          <w:p w14:paraId="7A82D588">
            <w:pPr>
              <w:pStyle w:val="64"/>
              <w:rPr>
                <w:rFonts w:hint="default"/>
                <w:color w:val="FF0000"/>
                <w:lang w:val="en-US" w:eastAsia="zh-CN"/>
              </w:rPr>
            </w:pPr>
            <w:r>
              <w:rPr>
                <w:rFonts w:hint="eastAsia"/>
                <w:color w:val="FF0000"/>
                <w:lang w:val="en-US" w:eastAsia="zh-CN"/>
              </w:rPr>
              <w:t>③对卸油区进行封闭硬化，四周设置收集沟（槽），并于隔油池相连通，坡向排水沟的坡度，确保泄漏物被限制在区域内。</w:t>
            </w:r>
          </w:p>
          <w:p w14:paraId="66B00E7E">
            <w:pPr>
              <w:pStyle w:val="64"/>
              <w:rPr>
                <w:rFonts w:hint="eastAsia"/>
                <w:color w:val="FF0000"/>
                <w:lang w:val="en-US" w:eastAsia="zh-CN"/>
              </w:rPr>
            </w:pPr>
            <w:r>
              <w:rPr>
                <w:rFonts w:hint="eastAsia"/>
                <w:color w:val="FF0000"/>
                <w:lang w:val="en-US" w:eastAsia="zh-CN"/>
              </w:rPr>
              <w:t>④卸油作业过程中应进行实时监控与阻断，如进入静电消除、过程监控双确认，并做好通讯与紧急响应准备；</w:t>
            </w:r>
          </w:p>
          <w:p w14:paraId="1DDD1F3F">
            <w:pPr>
              <w:pStyle w:val="64"/>
              <w:rPr>
                <w:rFonts w:hint="default"/>
                <w:color w:val="FF0000"/>
                <w:lang w:val="en-US" w:eastAsia="zh-CN"/>
              </w:rPr>
            </w:pPr>
            <w:r>
              <w:rPr>
                <w:rFonts w:hint="eastAsia"/>
                <w:color w:val="FF0000"/>
                <w:lang w:val="en-US" w:eastAsia="zh-CN"/>
              </w:rPr>
              <w:t>⑤卸油作业结束后应进行确认和复位，如先关后拆、处理残油以及盖紧密封，检查确认无泄漏后，收回静电接地线，引导油罐车安全离站，并如实、详细填写卸油作业记录。</w:t>
            </w:r>
          </w:p>
          <w:p w14:paraId="5978AFB6">
            <w:pPr>
              <w:pStyle w:val="64"/>
              <w:numPr>
                <w:ilvl w:val="0"/>
                <w:numId w:val="0"/>
              </w:numPr>
              <w:ind w:firstLine="520" w:firstLineChars="200"/>
              <w:rPr>
                <w:rFonts w:hint="eastAsia"/>
                <w:lang w:val="en-US" w:eastAsia="zh-CN"/>
              </w:rPr>
            </w:pPr>
            <w:r>
              <w:rPr>
                <w:rFonts w:hint="eastAsia" w:ascii="Times New Roman" w:hAnsi="Times New Roman" w:eastAsia="宋体" w:cs="Times New Roman"/>
                <w:bCs/>
                <w:kern w:val="2"/>
                <w:sz w:val="26"/>
                <w:szCs w:val="20"/>
                <w:lang w:val="en-US" w:eastAsia="zh-CN" w:bidi="ar-SA"/>
              </w:rPr>
              <w:t>（</w:t>
            </w:r>
            <w:r>
              <w:rPr>
                <w:rFonts w:hint="eastAsia" w:cs="Times New Roman"/>
                <w:bCs/>
                <w:kern w:val="2"/>
                <w:sz w:val="26"/>
                <w:szCs w:val="20"/>
                <w:lang w:val="en-US" w:eastAsia="zh-CN" w:bidi="ar-SA"/>
              </w:rPr>
              <w:t>4</w:t>
            </w:r>
            <w:r>
              <w:rPr>
                <w:rFonts w:hint="eastAsia" w:ascii="Times New Roman" w:hAnsi="Times New Roman" w:eastAsia="宋体" w:cs="Times New Roman"/>
                <w:bCs/>
                <w:kern w:val="2"/>
                <w:sz w:val="26"/>
                <w:szCs w:val="20"/>
                <w:lang w:val="en-US" w:eastAsia="zh-CN" w:bidi="ar-SA"/>
              </w:rPr>
              <w:t>）</w:t>
            </w:r>
            <w:r>
              <w:rPr>
                <w:rFonts w:hint="eastAsia"/>
                <w:lang w:val="en-US" w:eastAsia="zh-CN"/>
              </w:rPr>
              <w:t>风险应急措施</w:t>
            </w:r>
          </w:p>
          <w:p w14:paraId="54A60297">
            <w:pPr>
              <w:pStyle w:val="64"/>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20" w:firstLineChars="200"/>
              <w:textAlignment w:val="auto"/>
              <w:rPr>
                <w:rFonts w:hint="default"/>
                <w:lang w:val="en-US" w:eastAsia="zh-CN"/>
              </w:rPr>
            </w:pPr>
            <w:r>
              <w:rPr>
                <w:rFonts w:hint="default"/>
                <w:lang w:val="en-US" w:eastAsia="zh-CN"/>
              </w:rPr>
              <w:t>①事故如可能波及周围环境时，应及时通知影响区域的周围居民和工作人员撤离到安全地带或采取有效的保护措施，使事故的危害和影响降到最低限度，并设立安全警戒线，保证救援车辆进出站道路畅通。</w:t>
            </w:r>
          </w:p>
          <w:p w14:paraId="16B13990">
            <w:pPr>
              <w:pStyle w:val="64"/>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20" w:firstLineChars="200"/>
              <w:textAlignment w:val="auto"/>
              <w:rPr>
                <w:rFonts w:hint="default"/>
                <w:lang w:val="en-US" w:eastAsia="zh-CN"/>
              </w:rPr>
            </w:pPr>
            <w:r>
              <w:rPr>
                <w:rFonts w:hint="default"/>
                <w:lang w:val="en-US" w:eastAsia="zh-CN"/>
              </w:rPr>
              <w:t>②若发生火灾事故，现场操作人员应充分利用公司配备的消防设施，进行初期灭火，将火灾附近的易燃、易爆、有毒、腐蚀性的物品及单据、账本等尽快转移至安全地点，同时迅速发出报警信号，让有关部门（消防队、急救中心、环境监测站等）前来扑救、救护和监测。</w:t>
            </w:r>
          </w:p>
          <w:p w14:paraId="53BFC0D0">
            <w:pPr>
              <w:pStyle w:val="64"/>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20" w:firstLineChars="200"/>
              <w:textAlignment w:val="auto"/>
              <w:rPr>
                <w:rFonts w:hint="default"/>
                <w:lang w:val="en-US" w:eastAsia="zh-CN"/>
              </w:rPr>
            </w:pPr>
            <w:r>
              <w:rPr>
                <w:rFonts w:hint="default"/>
                <w:lang w:val="en-US" w:eastAsia="zh-CN"/>
              </w:rPr>
              <w:t>③发生溢油事故时，应紧急采取防火措施，并收集溢出的油品；隔油池立即关闭切换阀，使用吸油毡及时回收泄漏油品；在发生油罐车大量泄漏事故时，沙袋（约20袋，具体数量以能在加油站出入口处分别设置临时挡墙为准）分别在加油站入口处和出口处各设置 2 道临时挡墙且与站内路沿形成一个临时围堰，用于拦截泄漏油品并及时回收，本项目厂区内设置了雨水管网，用以收集站区内的雨水，雨水管网接至南侧市政雨水管网，在发生泄漏时，应关闭雨水排放口阀门，事故状态下做好了拦截措施后，事故废水不会泄漏至地表水。</w:t>
            </w:r>
          </w:p>
          <w:p w14:paraId="1B275366">
            <w:pPr>
              <w:pStyle w:val="64"/>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20" w:firstLineChars="200"/>
              <w:textAlignment w:val="auto"/>
              <w:rPr>
                <w:rFonts w:hint="default"/>
                <w:lang w:val="en-US" w:eastAsia="zh-CN"/>
              </w:rPr>
            </w:pPr>
            <w:r>
              <w:rPr>
                <w:rFonts w:hint="eastAsia"/>
                <w:lang w:val="en-US" w:eastAsia="zh-CN"/>
              </w:rPr>
              <w:t>（4）风险管理</w:t>
            </w:r>
          </w:p>
          <w:p w14:paraId="79FAC1AB">
            <w:pPr>
              <w:pStyle w:val="64"/>
              <w:numPr>
                <w:ilvl w:val="0"/>
                <w:numId w:val="0"/>
              </w:numPr>
              <w:ind w:firstLine="520" w:firstLineChars="200"/>
              <w:rPr>
                <w:rFonts w:hint="eastAsia"/>
              </w:rPr>
            </w:pPr>
            <w:r>
              <w:rPr>
                <w:rFonts w:hint="default" w:ascii="Times New Roman" w:hAnsi="Times New Roman" w:cs="Times New Roman"/>
                <w:color w:val="auto"/>
                <w:sz w:val="26"/>
                <w:szCs w:val="26"/>
              </w:rPr>
              <w:t>开展全面、全员、全过程的系统安全管理，把环境安全工作的重点放在消除系统的潜在危险上，并从整体和全局上促进该项目各个环节的环境安全运作，并建立监察、管理、检测、信息系统和科学决策体系，实行环境安全目标管理。</w:t>
            </w:r>
          </w:p>
          <w:p w14:paraId="4BA3C41A">
            <w:pPr>
              <w:pStyle w:val="64"/>
              <w:numPr>
                <w:ilvl w:val="0"/>
                <w:numId w:val="0"/>
              </w:numPr>
              <w:ind w:firstLine="520" w:firstLineChars="200"/>
              <w:rPr>
                <w:rFonts w:hint="eastAsia"/>
              </w:rPr>
            </w:pPr>
            <w:r>
              <w:rPr>
                <w:rFonts w:hint="eastAsia"/>
              </w:rPr>
              <w:t>按照《企业突发环境</w:t>
            </w:r>
            <w:r>
              <w:rPr>
                <w:rFonts w:hint="eastAsia"/>
                <w:lang w:val="en-US" w:eastAsia="zh-CN"/>
              </w:rPr>
              <w:t>事件</w:t>
            </w:r>
            <w:r>
              <w:rPr>
                <w:rFonts w:hint="eastAsia"/>
              </w:rPr>
              <w:t>风险评估指南（施行）》（环办</w:t>
            </w:r>
            <w:r>
              <w:rPr>
                <w:szCs w:val="26"/>
              </w:rPr>
              <w:t>〔201</w:t>
            </w:r>
            <w:r>
              <w:rPr>
                <w:rFonts w:hint="eastAsia"/>
                <w:szCs w:val="26"/>
              </w:rPr>
              <w:t>4</w:t>
            </w:r>
            <w:r>
              <w:rPr>
                <w:szCs w:val="26"/>
              </w:rPr>
              <w:t>〕</w:t>
            </w:r>
            <w:r>
              <w:t>34</w:t>
            </w:r>
            <w:r>
              <w:rPr>
                <w:rFonts w:hint="eastAsia"/>
              </w:rPr>
              <w:t>号）、《企业突发环境事件风险分级方法》（H</w:t>
            </w:r>
            <w:r>
              <w:t>J941</w:t>
            </w:r>
            <w:r>
              <w:rPr>
                <w:rFonts w:hint="eastAsia"/>
              </w:rPr>
              <w:t>-</w:t>
            </w:r>
            <w:r>
              <w:t>2018</w:t>
            </w:r>
            <w:r>
              <w:rPr>
                <w:rFonts w:hint="eastAsia"/>
              </w:rPr>
              <w:t>）的相关要求，本次改扩建后，风险物质发生变化，需按期开展本项目突发环境事件风险评估及应急预案修订工作。</w:t>
            </w:r>
          </w:p>
          <w:p w14:paraId="4D1D3B0F">
            <w:pPr>
              <w:pStyle w:val="64"/>
              <w:rPr>
                <w:rFonts w:hint="eastAsia"/>
              </w:rPr>
            </w:pPr>
            <w:r>
              <w:rPr>
                <w:rFonts w:hint="eastAsia"/>
              </w:rPr>
              <w:t>综上所述，本项目风险物质为汽油，风险潜势判定为 I，项目可能发生的环境风险主要为风险物质在使用过程中发生的泄漏、火灾及爆炸等事故。通过采取评价提出的风险防范措施，能有效预防事故的发生，将项目风险降至最低，可使项目在运营中的环境风险控制在可接受的范围内。</w:t>
            </w:r>
          </w:p>
          <w:p w14:paraId="6FB611F8">
            <w:pPr>
              <w:adjustRightInd w:val="0"/>
              <w:snapToGrid w:val="0"/>
              <w:ind w:firstLine="0" w:firstLineChars="0"/>
              <w:rPr>
                <w:rFonts w:hint="default" w:ascii="Times New Roman" w:hAnsi="Times New Roman" w:eastAsia="宋体" w:cs="Times New Roman"/>
                <w:b/>
                <w:bCs w:val="0"/>
                <w:kern w:val="2"/>
                <w:sz w:val="26"/>
                <w:szCs w:val="20"/>
                <w:lang w:val="en-US" w:eastAsia="zh-CN" w:bidi="ar-SA"/>
              </w:rPr>
            </w:pPr>
            <w:r>
              <w:rPr>
                <w:rFonts w:hint="eastAsia" w:ascii="Times New Roman" w:hAnsi="Times New Roman" w:eastAsia="宋体" w:cs="Times New Roman"/>
                <w:b/>
                <w:bCs w:val="0"/>
                <w:kern w:val="2"/>
                <w:sz w:val="26"/>
                <w:szCs w:val="20"/>
                <w:lang w:val="en-US" w:eastAsia="zh-CN" w:bidi="ar-SA"/>
              </w:rPr>
              <w:t>4.2</w:t>
            </w:r>
            <w:r>
              <w:rPr>
                <w:rFonts w:hint="eastAsia" w:cs="Times New Roman"/>
                <w:b/>
                <w:bCs w:val="0"/>
                <w:kern w:val="2"/>
                <w:sz w:val="26"/>
                <w:szCs w:val="20"/>
                <w:lang w:val="en-US" w:eastAsia="zh-CN" w:bidi="ar-SA"/>
              </w:rPr>
              <w:t>.7</w:t>
            </w:r>
            <w:r>
              <w:rPr>
                <w:rFonts w:hint="eastAsia" w:ascii="Times New Roman" w:hAnsi="Times New Roman" w:eastAsia="宋体" w:cs="Times New Roman"/>
                <w:b/>
                <w:bCs w:val="0"/>
                <w:kern w:val="2"/>
                <w:sz w:val="26"/>
                <w:szCs w:val="20"/>
                <w:lang w:val="en-US" w:eastAsia="zh-CN" w:bidi="ar-SA"/>
              </w:rPr>
              <w:t>项目以新带老措施和“三本账”核算</w:t>
            </w:r>
          </w:p>
          <w:p w14:paraId="749A0CA1">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cs="Times New Roman"/>
                <w:color w:val="auto"/>
                <w:sz w:val="26"/>
                <w:szCs w:val="26"/>
                <w:lang w:val="en-US" w:eastAsia="zh-CN"/>
              </w:rPr>
            </w:pPr>
            <w:r>
              <w:rPr>
                <w:rFonts w:hint="eastAsia" w:cs="Times New Roman"/>
                <w:color w:val="auto"/>
                <w:sz w:val="26"/>
                <w:szCs w:val="26"/>
                <w:lang w:val="en-US" w:eastAsia="zh-CN"/>
              </w:rPr>
              <w:t>本评价对项目以新带老措施进行梳理，具体情况见下表：</w:t>
            </w:r>
          </w:p>
          <w:p w14:paraId="5B3165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6"/>
                <w:szCs w:val="26"/>
                <w:lang w:val="en-US" w:eastAsia="zh-CN"/>
              </w:rPr>
            </w:pPr>
            <w:r>
              <w:rPr>
                <w:rFonts w:hint="eastAsia" w:cs="Times New Roman"/>
                <w:color w:val="auto"/>
                <w:sz w:val="22"/>
                <w:szCs w:val="22"/>
                <w:lang w:val="en-US" w:eastAsia="zh-CN"/>
              </w:rPr>
              <w:t>表4.2-23 本项目改造前后情况一览表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219"/>
              <w:gridCol w:w="3298"/>
            </w:tblGrid>
            <w:tr w14:paraId="3C44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noWrap w:val="0"/>
                  <w:vAlign w:val="center"/>
                </w:tcPr>
                <w:p w14:paraId="490D7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2"/>
                      <w:szCs w:val="22"/>
                      <w:vertAlign w:val="baseline"/>
                      <w:lang w:val="en-US" w:eastAsia="zh-CN"/>
                    </w:rPr>
                  </w:pPr>
                  <w:r>
                    <w:rPr>
                      <w:rFonts w:hint="eastAsia" w:cs="Times New Roman"/>
                      <w:color w:val="auto"/>
                      <w:sz w:val="22"/>
                      <w:szCs w:val="22"/>
                      <w:vertAlign w:val="baseline"/>
                      <w:lang w:val="en-US" w:eastAsia="zh-CN"/>
                    </w:rPr>
                    <w:t>项目</w:t>
                  </w:r>
                </w:p>
              </w:tc>
              <w:tc>
                <w:tcPr>
                  <w:tcW w:w="2029" w:type="pct"/>
                  <w:noWrap w:val="0"/>
                  <w:vAlign w:val="center"/>
                </w:tcPr>
                <w:p w14:paraId="744A0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2"/>
                      <w:szCs w:val="22"/>
                      <w:vertAlign w:val="baseline"/>
                      <w:lang w:val="en-US" w:eastAsia="zh-CN"/>
                    </w:rPr>
                  </w:pPr>
                  <w:r>
                    <w:rPr>
                      <w:rFonts w:hint="eastAsia" w:cs="Times New Roman"/>
                      <w:color w:val="auto"/>
                      <w:sz w:val="22"/>
                      <w:szCs w:val="22"/>
                      <w:vertAlign w:val="baseline"/>
                      <w:lang w:val="en-US" w:eastAsia="zh-CN"/>
                    </w:rPr>
                    <w:t>改造前情况</w:t>
                  </w:r>
                </w:p>
              </w:tc>
              <w:tc>
                <w:tcPr>
                  <w:tcW w:w="2079" w:type="pct"/>
                  <w:noWrap w:val="0"/>
                  <w:vAlign w:val="center"/>
                </w:tcPr>
                <w:p w14:paraId="513AD0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2"/>
                      <w:szCs w:val="22"/>
                      <w:vertAlign w:val="baseline"/>
                      <w:lang w:val="en-US" w:eastAsia="zh-CN"/>
                    </w:rPr>
                  </w:pPr>
                  <w:r>
                    <w:rPr>
                      <w:rFonts w:hint="eastAsia" w:cs="Times New Roman"/>
                      <w:color w:val="auto"/>
                      <w:sz w:val="22"/>
                      <w:szCs w:val="22"/>
                      <w:vertAlign w:val="baseline"/>
                      <w:lang w:val="en-US" w:eastAsia="zh-CN"/>
                    </w:rPr>
                    <w:t>本次改造提出的相关措施</w:t>
                  </w:r>
                </w:p>
              </w:tc>
            </w:tr>
            <w:tr w14:paraId="3719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vMerge w:val="restart"/>
                  <w:noWrap w:val="0"/>
                  <w:vAlign w:val="center"/>
                </w:tcPr>
                <w:p w14:paraId="69E8C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2"/>
                      <w:szCs w:val="22"/>
                      <w:vertAlign w:val="baseline"/>
                      <w:lang w:val="en-US" w:eastAsia="zh-CN"/>
                    </w:rPr>
                  </w:pPr>
                  <w:r>
                    <w:rPr>
                      <w:rFonts w:hint="eastAsia" w:cs="Times New Roman"/>
                      <w:color w:val="auto"/>
                      <w:sz w:val="22"/>
                      <w:szCs w:val="22"/>
                      <w:vertAlign w:val="baseline"/>
                      <w:lang w:val="en-US" w:eastAsia="zh-CN"/>
                    </w:rPr>
                    <w:t>以新带老措施</w:t>
                  </w:r>
                </w:p>
              </w:tc>
              <w:tc>
                <w:tcPr>
                  <w:tcW w:w="2029" w:type="pct"/>
                  <w:noWrap w:val="0"/>
                  <w:vAlign w:val="center"/>
                </w:tcPr>
                <w:p w14:paraId="57EFB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2"/>
                      <w:szCs w:val="22"/>
                      <w:lang w:val="en-US" w:eastAsia="zh-CN" w:bidi="ar-SA"/>
                    </w:rPr>
                  </w:pPr>
                  <w:r>
                    <w:rPr>
                      <w:rFonts w:hint="eastAsia"/>
                      <w:color w:val="auto"/>
                      <w:sz w:val="22"/>
                      <w:szCs w:val="22"/>
                      <w:lang w:val="en-US" w:eastAsia="zh-CN"/>
                    </w:rPr>
                    <w:t>现有工程危废贮存点部分标识牌不齐全</w:t>
                  </w:r>
                </w:p>
              </w:tc>
              <w:tc>
                <w:tcPr>
                  <w:tcW w:w="2079" w:type="pct"/>
                  <w:noWrap w:val="0"/>
                  <w:vAlign w:val="center"/>
                </w:tcPr>
                <w:p w14:paraId="672E4B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2"/>
                      <w:szCs w:val="22"/>
                      <w:lang w:val="en-US" w:eastAsia="zh-CN" w:bidi="ar-SA"/>
                    </w:rPr>
                  </w:pPr>
                  <w:r>
                    <w:rPr>
                      <w:rFonts w:hint="eastAsia"/>
                      <w:color w:val="auto"/>
                      <w:sz w:val="22"/>
                      <w:szCs w:val="22"/>
                      <w:lang w:val="en-US" w:eastAsia="zh-CN"/>
                    </w:rPr>
                    <w:t>补充完善危废贮存点标识牌</w:t>
                  </w:r>
                </w:p>
              </w:tc>
            </w:tr>
            <w:tr w14:paraId="618A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vMerge w:val="continue"/>
                  <w:noWrap w:val="0"/>
                  <w:vAlign w:val="center"/>
                </w:tcPr>
                <w:p w14:paraId="552508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2"/>
                      <w:szCs w:val="22"/>
                      <w:vertAlign w:val="baseline"/>
                      <w:lang w:val="en-US" w:eastAsia="zh-CN"/>
                    </w:rPr>
                  </w:pPr>
                </w:p>
              </w:tc>
              <w:tc>
                <w:tcPr>
                  <w:tcW w:w="2029" w:type="pct"/>
                  <w:noWrap w:val="0"/>
                  <w:vAlign w:val="center"/>
                </w:tcPr>
                <w:p w14:paraId="2BA382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w:t>
                  </w:r>
                </w:p>
              </w:tc>
              <w:tc>
                <w:tcPr>
                  <w:tcW w:w="2079" w:type="pct"/>
                  <w:noWrap w:val="0"/>
                  <w:vAlign w:val="center"/>
                </w:tcPr>
                <w:p w14:paraId="37801C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2"/>
                      <w:szCs w:val="22"/>
                      <w:lang w:val="en-US" w:eastAsia="zh-CN"/>
                    </w:rPr>
                  </w:pPr>
                  <w:r>
                    <w:rPr>
                      <w:rFonts w:hint="eastAsia"/>
                      <w:color w:val="auto"/>
                      <w:sz w:val="22"/>
                      <w:szCs w:val="22"/>
                      <w:lang w:val="en-US" w:eastAsia="zh-CN"/>
                    </w:rPr>
                    <w:t>新增三次油气回收系统</w:t>
                  </w:r>
                </w:p>
              </w:tc>
            </w:tr>
          </w:tbl>
          <w:p w14:paraId="33A7FEE1">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cs="Times New Roman"/>
                <w:color w:val="FF0000"/>
                <w:sz w:val="26"/>
                <w:szCs w:val="26"/>
                <w:lang w:val="en-US" w:eastAsia="zh-CN"/>
              </w:rPr>
            </w:pPr>
            <w:r>
              <w:rPr>
                <w:rFonts w:hint="default" w:cs="Times New Roman"/>
                <w:color w:val="FF0000"/>
                <w:sz w:val="26"/>
                <w:szCs w:val="26"/>
                <w:lang w:val="en-US" w:eastAsia="zh-CN"/>
              </w:rPr>
              <w:t>本项目</w:t>
            </w:r>
            <w:r>
              <w:rPr>
                <w:rFonts w:hint="eastAsia" w:cs="Times New Roman"/>
                <w:color w:val="FF0000"/>
                <w:sz w:val="26"/>
                <w:szCs w:val="26"/>
                <w:lang w:val="en-US" w:eastAsia="zh-CN"/>
              </w:rPr>
              <w:t>改造</w:t>
            </w:r>
            <w:r>
              <w:rPr>
                <w:rFonts w:hint="default" w:cs="Times New Roman"/>
                <w:color w:val="FF0000"/>
                <w:sz w:val="26"/>
                <w:szCs w:val="26"/>
                <w:lang w:val="en-US" w:eastAsia="zh-CN"/>
              </w:rPr>
              <w:t>前后污染物排放量的变化情况见表4</w:t>
            </w:r>
            <w:r>
              <w:rPr>
                <w:rFonts w:hint="eastAsia" w:cs="Times New Roman"/>
                <w:color w:val="FF0000"/>
                <w:sz w:val="26"/>
                <w:szCs w:val="26"/>
                <w:lang w:val="en-US" w:eastAsia="zh-CN"/>
              </w:rPr>
              <w:t>.2-24</w:t>
            </w:r>
            <w:r>
              <w:rPr>
                <w:rFonts w:hint="default" w:cs="Times New Roman"/>
                <w:color w:val="FF0000"/>
                <w:sz w:val="26"/>
                <w:szCs w:val="26"/>
                <w:lang w:val="en-US" w:eastAsia="zh-CN"/>
              </w:rPr>
              <w:t>。</w:t>
            </w:r>
          </w:p>
          <w:p w14:paraId="79C8DE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FF0000"/>
                <w:sz w:val="22"/>
                <w:szCs w:val="22"/>
                <w:lang w:val="en-US" w:eastAsia="zh-CN"/>
              </w:rPr>
            </w:pPr>
            <w:r>
              <w:rPr>
                <w:rFonts w:hint="eastAsia" w:cs="Times New Roman"/>
                <w:color w:val="FF0000"/>
                <w:sz w:val="22"/>
                <w:szCs w:val="22"/>
                <w:lang w:val="en-US" w:eastAsia="zh-CN"/>
              </w:rPr>
              <w:t>表4.2-24  本项目“三本账”一览表  t/a</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133"/>
              <w:gridCol w:w="1133"/>
              <w:gridCol w:w="1133"/>
              <w:gridCol w:w="1133"/>
              <w:gridCol w:w="1133"/>
              <w:gridCol w:w="1133"/>
            </w:tblGrid>
            <w:tr w14:paraId="4699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noWrap w:val="0"/>
                  <w:vAlign w:val="center"/>
                </w:tcPr>
                <w:p w14:paraId="2F6B0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类别</w:t>
                  </w:r>
                </w:p>
              </w:tc>
              <w:tc>
                <w:tcPr>
                  <w:tcW w:w="714" w:type="pct"/>
                  <w:noWrap w:val="0"/>
                  <w:vAlign w:val="center"/>
                </w:tcPr>
                <w:p w14:paraId="57AE1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污染物</w:t>
                  </w:r>
                </w:p>
              </w:tc>
              <w:tc>
                <w:tcPr>
                  <w:tcW w:w="714" w:type="pct"/>
                  <w:noWrap w:val="0"/>
                  <w:vAlign w:val="center"/>
                </w:tcPr>
                <w:p w14:paraId="1AED5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现有项目排放量</w:t>
                  </w:r>
                </w:p>
              </w:tc>
              <w:tc>
                <w:tcPr>
                  <w:tcW w:w="714" w:type="pct"/>
                  <w:noWrap w:val="0"/>
                  <w:vAlign w:val="center"/>
                </w:tcPr>
                <w:p w14:paraId="10462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本项目排放量</w:t>
                  </w:r>
                </w:p>
              </w:tc>
              <w:tc>
                <w:tcPr>
                  <w:tcW w:w="714" w:type="pct"/>
                  <w:noWrap w:val="0"/>
                  <w:vAlign w:val="center"/>
                </w:tcPr>
                <w:p w14:paraId="45EB7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以新带老削减量</w:t>
                  </w:r>
                </w:p>
              </w:tc>
              <w:tc>
                <w:tcPr>
                  <w:tcW w:w="714" w:type="pct"/>
                  <w:noWrap w:val="0"/>
                  <w:vAlign w:val="center"/>
                </w:tcPr>
                <w:p w14:paraId="36659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改造后全厂排放量</w:t>
                  </w:r>
                </w:p>
              </w:tc>
              <w:tc>
                <w:tcPr>
                  <w:tcW w:w="714" w:type="pct"/>
                  <w:noWrap w:val="0"/>
                  <w:vAlign w:val="center"/>
                </w:tcPr>
                <w:p w14:paraId="3FB8E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排放增减量</w:t>
                  </w:r>
                </w:p>
              </w:tc>
            </w:tr>
            <w:tr w14:paraId="7F2C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noWrap w:val="0"/>
                  <w:vAlign w:val="center"/>
                </w:tcPr>
                <w:p w14:paraId="0A55B9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废气</w:t>
                  </w:r>
                </w:p>
              </w:tc>
              <w:tc>
                <w:tcPr>
                  <w:tcW w:w="714" w:type="pct"/>
                  <w:noWrap w:val="0"/>
                  <w:vAlign w:val="center"/>
                </w:tcPr>
                <w:p w14:paraId="33D18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非甲烷总烃</w:t>
                  </w:r>
                </w:p>
              </w:tc>
              <w:tc>
                <w:tcPr>
                  <w:tcW w:w="714" w:type="pct"/>
                  <w:noWrap w:val="0"/>
                  <w:vAlign w:val="center"/>
                </w:tcPr>
                <w:p w14:paraId="41B4F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1.876</w:t>
                  </w:r>
                </w:p>
              </w:tc>
              <w:tc>
                <w:tcPr>
                  <w:tcW w:w="714" w:type="pct"/>
                  <w:noWrap w:val="0"/>
                  <w:vAlign w:val="center"/>
                </w:tcPr>
                <w:p w14:paraId="2B2A2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sz w:val="22"/>
                      <w:szCs w:val="22"/>
                      <w:vertAlign w:val="baseline"/>
                      <w:lang w:val="en-US" w:eastAsia="zh-CN" w:bidi="ar-SA"/>
                    </w:rPr>
                  </w:pPr>
                  <w:r>
                    <w:rPr>
                      <w:rFonts w:hint="eastAsia" w:ascii="Times New Roman" w:hAnsi="Times New Roman" w:eastAsia="宋体" w:cs="Times New Roman"/>
                      <w:snapToGrid w:val="0"/>
                      <w:color w:val="FF0000"/>
                      <w:sz w:val="22"/>
                      <w:szCs w:val="22"/>
                      <w:vertAlign w:val="baseline"/>
                      <w:lang w:val="en-US" w:eastAsia="zh-CN" w:bidi="ar-SA"/>
                    </w:rPr>
                    <w:t>1.582</w:t>
                  </w:r>
                </w:p>
              </w:tc>
              <w:tc>
                <w:tcPr>
                  <w:tcW w:w="714" w:type="pct"/>
                  <w:noWrap w:val="0"/>
                  <w:vAlign w:val="center"/>
                </w:tcPr>
                <w:p w14:paraId="53D6B5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sz w:val="22"/>
                      <w:szCs w:val="22"/>
                      <w:vertAlign w:val="baseline"/>
                      <w:lang w:val="en-US" w:eastAsia="zh-CN" w:bidi="ar-SA"/>
                    </w:rPr>
                  </w:pPr>
                  <w:r>
                    <w:rPr>
                      <w:rFonts w:hint="eastAsia" w:ascii="Times New Roman" w:hAnsi="Times New Roman" w:eastAsia="宋体" w:cs="Times New Roman"/>
                      <w:snapToGrid w:val="0"/>
                      <w:color w:val="FF0000"/>
                      <w:sz w:val="22"/>
                      <w:szCs w:val="22"/>
                      <w:vertAlign w:val="baseline"/>
                      <w:lang w:val="en-US" w:eastAsia="zh-CN" w:bidi="ar-SA"/>
                    </w:rPr>
                    <w:t>1.876</w:t>
                  </w:r>
                </w:p>
              </w:tc>
              <w:tc>
                <w:tcPr>
                  <w:tcW w:w="714" w:type="pct"/>
                  <w:noWrap w:val="0"/>
                  <w:vAlign w:val="center"/>
                </w:tcPr>
                <w:p w14:paraId="5716C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FF0000"/>
                      <w:sz w:val="22"/>
                      <w:szCs w:val="22"/>
                      <w:vertAlign w:val="baseline"/>
                      <w:lang w:val="en-US" w:eastAsia="zh-CN" w:bidi="ar-SA"/>
                    </w:rPr>
                  </w:pPr>
                  <w:r>
                    <w:rPr>
                      <w:rFonts w:hint="eastAsia" w:ascii="Times New Roman" w:hAnsi="Times New Roman" w:eastAsia="宋体" w:cs="Times New Roman"/>
                      <w:snapToGrid w:val="0"/>
                      <w:color w:val="FF0000"/>
                      <w:sz w:val="22"/>
                      <w:szCs w:val="22"/>
                      <w:vertAlign w:val="baseline"/>
                      <w:lang w:val="en-US" w:eastAsia="zh-CN" w:bidi="ar-SA"/>
                    </w:rPr>
                    <w:t>1.582</w:t>
                  </w:r>
                </w:p>
              </w:tc>
              <w:tc>
                <w:tcPr>
                  <w:tcW w:w="714" w:type="pct"/>
                  <w:noWrap w:val="0"/>
                  <w:vAlign w:val="center"/>
                </w:tcPr>
                <w:p w14:paraId="5CBE7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-0.294</w:t>
                  </w:r>
                </w:p>
              </w:tc>
            </w:tr>
            <w:tr w14:paraId="5E60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Merge w:val="restart"/>
                  <w:noWrap w:val="0"/>
                  <w:vAlign w:val="center"/>
                </w:tcPr>
                <w:p w14:paraId="6B656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废水</w:t>
                  </w:r>
                </w:p>
              </w:tc>
              <w:tc>
                <w:tcPr>
                  <w:tcW w:w="714" w:type="pct"/>
                  <w:noWrap w:val="0"/>
                  <w:vAlign w:val="center"/>
                </w:tcPr>
                <w:p w14:paraId="2DC36F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COD</w:t>
                  </w:r>
                </w:p>
              </w:tc>
              <w:tc>
                <w:tcPr>
                  <w:tcW w:w="714" w:type="pct"/>
                  <w:noWrap w:val="0"/>
                  <w:vAlign w:val="center"/>
                </w:tcPr>
                <w:p w14:paraId="542929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0.052</w:t>
                  </w:r>
                </w:p>
              </w:tc>
              <w:tc>
                <w:tcPr>
                  <w:tcW w:w="714" w:type="pct"/>
                  <w:noWrap w:val="0"/>
                  <w:vAlign w:val="center"/>
                </w:tcPr>
                <w:p w14:paraId="23E7FF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0.060</w:t>
                  </w:r>
                </w:p>
              </w:tc>
              <w:tc>
                <w:tcPr>
                  <w:tcW w:w="714" w:type="pct"/>
                  <w:noWrap w:val="0"/>
                  <w:vAlign w:val="center"/>
                </w:tcPr>
                <w:p w14:paraId="638582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0.052</w:t>
                  </w:r>
                </w:p>
              </w:tc>
              <w:tc>
                <w:tcPr>
                  <w:tcW w:w="714" w:type="pct"/>
                  <w:noWrap w:val="0"/>
                  <w:vAlign w:val="center"/>
                </w:tcPr>
                <w:p w14:paraId="62988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0.060</w:t>
                  </w:r>
                </w:p>
              </w:tc>
              <w:tc>
                <w:tcPr>
                  <w:tcW w:w="714" w:type="pct"/>
                  <w:noWrap w:val="0"/>
                  <w:vAlign w:val="center"/>
                </w:tcPr>
                <w:p w14:paraId="22395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+0.008</w:t>
                  </w:r>
                </w:p>
              </w:tc>
            </w:tr>
            <w:tr w14:paraId="723E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Merge w:val="continue"/>
                  <w:noWrap w:val="0"/>
                  <w:vAlign w:val="center"/>
                </w:tcPr>
                <w:p w14:paraId="37C469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p>
              </w:tc>
              <w:tc>
                <w:tcPr>
                  <w:tcW w:w="714" w:type="pct"/>
                  <w:noWrap w:val="0"/>
                  <w:vAlign w:val="center"/>
                </w:tcPr>
                <w:p w14:paraId="7B760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NH</w:t>
                  </w:r>
                  <w:r>
                    <w:rPr>
                      <w:rFonts w:hint="eastAsia" w:cs="Times New Roman"/>
                      <w:color w:val="FF0000"/>
                      <w:sz w:val="22"/>
                      <w:szCs w:val="22"/>
                      <w:vertAlign w:val="subscript"/>
                      <w:lang w:val="en-US" w:eastAsia="zh-CN"/>
                    </w:rPr>
                    <w:t>3</w:t>
                  </w:r>
                  <w:r>
                    <w:rPr>
                      <w:rFonts w:hint="eastAsia" w:cs="Times New Roman"/>
                      <w:color w:val="FF0000"/>
                      <w:sz w:val="22"/>
                      <w:szCs w:val="22"/>
                      <w:vertAlign w:val="baseline"/>
                      <w:lang w:val="en-US" w:eastAsia="zh-CN"/>
                    </w:rPr>
                    <w:t>-N</w:t>
                  </w:r>
                </w:p>
              </w:tc>
              <w:tc>
                <w:tcPr>
                  <w:tcW w:w="714" w:type="pct"/>
                  <w:noWrap w:val="0"/>
                  <w:vAlign w:val="center"/>
                </w:tcPr>
                <w:p w14:paraId="203C38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0.005</w:t>
                  </w:r>
                </w:p>
              </w:tc>
              <w:tc>
                <w:tcPr>
                  <w:tcW w:w="714" w:type="pct"/>
                  <w:noWrap w:val="0"/>
                  <w:vAlign w:val="center"/>
                </w:tcPr>
                <w:p w14:paraId="627EB4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0.006</w:t>
                  </w:r>
                </w:p>
              </w:tc>
              <w:tc>
                <w:tcPr>
                  <w:tcW w:w="714" w:type="pct"/>
                  <w:noWrap w:val="0"/>
                  <w:vAlign w:val="center"/>
                </w:tcPr>
                <w:p w14:paraId="478CF7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0.005</w:t>
                  </w:r>
                </w:p>
              </w:tc>
              <w:tc>
                <w:tcPr>
                  <w:tcW w:w="714" w:type="pct"/>
                  <w:noWrap w:val="0"/>
                  <w:vAlign w:val="center"/>
                </w:tcPr>
                <w:p w14:paraId="6FD14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0.006</w:t>
                  </w:r>
                </w:p>
              </w:tc>
              <w:tc>
                <w:tcPr>
                  <w:tcW w:w="714" w:type="pct"/>
                  <w:noWrap w:val="0"/>
                  <w:vAlign w:val="center"/>
                </w:tcPr>
                <w:p w14:paraId="4D965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FF0000"/>
                      <w:sz w:val="22"/>
                      <w:szCs w:val="22"/>
                      <w:vertAlign w:val="baseline"/>
                      <w:lang w:val="en-US" w:eastAsia="zh-CN"/>
                    </w:rPr>
                  </w:pPr>
                  <w:r>
                    <w:rPr>
                      <w:rFonts w:hint="eastAsia" w:cs="Times New Roman"/>
                      <w:color w:val="FF0000"/>
                      <w:sz w:val="22"/>
                      <w:szCs w:val="22"/>
                      <w:vertAlign w:val="baseline"/>
                      <w:lang w:val="en-US" w:eastAsia="zh-CN"/>
                    </w:rPr>
                    <w:t>+0.001</w:t>
                  </w:r>
                </w:p>
              </w:tc>
            </w:tr>
          </w:tbl>
          <w:p w14:paraId="0670AEE4">
            <w:pPr>
              <w:pStyle w:val="64"/>
              <w:rPr>
                <w:color w:val="auto"/>
              </w:rPr>
            </w:pPr>
          </w:p>
          <w:p w14:paraId="5B2394CB">
            <w:pPr>
              <w:pStyle w:val="64"/>
              <w:ind w:firstLine="0" w:firstLineChars="0"/>
            </w:pPr>
          </w:p>
          <w:p w14:paraId="7699855C">
            <w:pPr>
              <w:pStyle w:val="64"/>
              <w:ind w:firstLine="0" w:firstLineChars="0"/>
            </w:pPr>
          </w:p>
        </w:tc>
      </w:tr>
    </w:tbl>
    <w:p w14:paraId="1751F369">
      <w:pPr>
        <w:rPr>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9E106C6">
      <w:pPr>
        <w:jc w:val="center"/>
        <w:outlineLvl w:val="0"/>
        <w:rPr>
          <w:rFonts w:eastAsia="黑体"/>
          <w:snapToGrid w:val="0"/>
          <w:sz w:val="30"/>
          <w:szCs w:val="30"/>
        </w:rPr>
      </w:pPr>
      <w:r>
        <w:rPr>
          <w:rFonts w:eastAsia="黑体"/>
          <w:snapToGrid w:val="0"/>
          <w:sz w:val="30"/>
          <w:szCs w:val="30"/>
        </w:rPr>
        <w:t>五、</w:t>
      </w:r>
      <w:bookmarkStart w:id="4" w:name="_Hlk54167917"/>
      <w:r>
        <w:rPr>
          <w:rFonts w:eastAsia="黑体"/>
          <w:snapToGrid w:val="0"/>
          <w:sz w:val="30"/>
          <w:szCs w:val="30"/>
        </w:rPr>
        <w:t>环境保护措施监督检查清单</w:t>
      </w:r>
      <w:bookmarkEnd w:id="4"/>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784"/>
        <w:gridCol w:w="1450"/>
        <w:gridCol w:w="1682"/>
        <w:gridCol w:w="2443"/>
      </w:tblGrid>
      <w:tr w14:paraId="4D44D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1" w:type="dxa"/>
            <w:tcBorders>
              <w:tl2br w:val="single" w:color="auto" w:sz="4" w:space="0"/>
            </w:tcBorders>
          </w:tcPr>
          <w:p w14:paraId="25725207">
            <w:pPr>
              <w:keepNext w:val="0"/>
              <w:keepLines w:val="0"/>
              <w:pageBreakBefore w:val="0"/>
              <w:widowControl w:val="0"/>
              <w:kinsoku/>
              <w:wordWrap/>
              <w:overflowPunct/>
              <w:bidi w:val="0"/>
              <w:adjustRightInd w:val="0"/>
              <w:snapToGrid w:val="0"/>
              <w:spacing w:line="400" w:lineRule="exact"/>
              <w:jc w:val="right"/>
              <w:textAlignment w:val="auto"/>
              <w:rPr>
                <w:sz w:val="24"/>
                <w:szCs w:val="24"/>
              </w:rPr>
            </w:pPr>
            <w:r>
              <w:rPr>
                <w:sz w:val="24"/>
                <w:szCs w:val="24"/>
              </w:rPr>
              <w:t>内容</w:t>
            </w:r>
          </w:p>
          <w:p w14:paraId="2DC198DB">
            <w:pPr>
              <w:keepNext w:val="0"/>
              <w:keepLines w:val="0"/>
              <w:pageBreakBefore w:val="0"/>
              <w:widowControl w:val="0"/>
              <w:kinsoku/>
              <w:wordWrap/>
              <w:overflowPunct/>
              <w:bidi w:val="0"/>
              <w:adjustRightInd w:val="0"/>
              <w:snapToGrid w:val="0"/>
              <w:spacing w:line="400" w:lineRule="exact"/>
              <w:textAlignment w:val="auto"/>
              <w:rPr>
                <w:sz w:val="24"/>
                <w:szCs w:val="24"/>
              </w:rPr>
            </w:pPr>
            <w:r>
              <w:rPr>
                <w:sz w:val="24"/>
                <w:szCs w:val="24"/>
              </w:rPr>
              <w:t>要素</w:t>
            </w:r>
          </w:p>
        </w:tc>
        <w:tc>
          <w:tcPr>
            <w:tcW w:w="1784" w:type="dxa"/>
            <w:vAlign w:val="center"/>
          </w:tcPr>
          <w:p w14:paraId="7711D9E1">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排放口(编号、</w:t>
            </w:r>
          </w:p>
          <w:p w14:paraId="02E08228">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名称)/污染源</w:t>
            </w:r>
          </w:p>
        </w:tc>
        <w:tc>
          <w:tcPr>
            <w:tcW w:w="1450" w:type="dxa"/>
            <w:vAlign w:val="center"/>
          </w:tcPr>
          <w:p w14:paraId="79EDDDEB">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污染物项目</w:t>
            </w:r>
          </w:p>
        </w:tc>
        <w:tc>
          <w:tcPr>
            <w:tcW w:w="1682" w:type="dxa"/>
            <w:vAlign w:val="center"/>
          </w:tcPr>
          <w:p w14:paraId="356772B7">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环境保护措施</w:t>
            </w:r>
          </w:p>
        </w:tc>
        <w:tc>
          <w:tcPr>
            <w:tcW w:w="2443" w:type="dxa"/>
            <w:vAlign w:val="center"/>
          </w:tcPr>
          <w:p w14:paraId="5CA8A813">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执行标准</w:t>
            </w:r>
          </w:p>
        </w:tc>
      </w:tr>
      <w:tr w14:paraId="0C73A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441" w:type="dxa"/>
            <w:vMerge w:val="restart"/>
            <w:vAlign w:val="center"/>
          </w:tcPr>
          <w:p w14:paraId="65600748">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大气环境</w:t>
            </w:r>
          </w:p>
        </w:tc>
        <w:tc>
          <w:tcPr>
            <w:tcW w:w="1784" w:type="dxa"/>
            <w:vAlign w:val="center"/>
          </w:tcPr>
          <w:p w14:paraId="300446E6">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油气回收系统密闭点</w:t>
            </w:r>
          </w:p>
        </w:tc>
        <w:tc>
          <w:tcPr>
            <w:tcW w:w="1450" w:type="dxa"/>
            <w:vMerge w:val="restart"/>
            <w:vAlign w:val="center"/>
          </w:tcPr>
          <w:p w14:paraId="2F20B50E">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非甲烷总烃</w:t>
            </w:r>
          </w:p>
        </w:tc>
        <w:tc>
          <w:tcPr>
            <w:tcW w:w="1682" w:type="dxa"/>
            <w:vMerge w:val="restart"/>
            <w:vAlign w:val="center"/>
          </w:tcPr>
          <w:p w14:paraId="14CEA937">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采用自流卸油和密闭卸油方式、油罐埋地设置；汽油加（卸）油设置一、二次、三次油气回收系统；设置通气立管4根</w:t>
            </w:r>
            <w:r>
              <w:rPr>
                <w:sz w:val="24"/>
                <w:szCs w:val="24"/>
              </w:rPr>
              <w:t>，高度≥4m</w:t>
            </w:r>
          </w:p>
        </w:tc>
        <w:tc>
          <w:tcPr>
            <w:tcW w:w="2443" w:type="dxa"/>
            <w:vMerge w:val="restart"/>
            <w:vAlign w:val="center"/>
          </w:tcPr>
          <w:p w14:paraId="573E4F43">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罐区通气立管处监测点1h平均浓度和监控点处任意一次浓度值满足《挥发性有机物无组织排放控制标准》（GB37822-2019）中相关浓度限值</w:t>
            </w:r>
          </w:p>
        </w:tc>
      </w:tr>
      <w:tr w14:paraId="5FFDE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441" w:type="dxa"/>
            <w:vMerge w:val="continue"/>
            <w:vAlign w:val="center"/>
          </w:tcPr>
          <w:p w14:paraId="1940066F">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c>
          <w:tcPr>
            <w:tcW w:w="1784" w:type="dxa"/>
            <w:vAlign w:val="center"/>
          </w:tcPr>
          <w:p w14:paraId="53D60911">
            <w:pPr>
              <w:keepNext w:val="0"/>
              <w:keepLines w:val="0"/>
              <w:pageBreakBefore w:val="0"/>
              <w:widowControl w:val="0"/>
              <w:kinsoku/>
              <w:wordWrap/>
              <w:overflowPunct/>
              <w:bidi w:val="0"/>
              <w:adjustRightInd w:val="0"/>
              <w:snapToGrid w:val="0"/>
              <w:spacing w:line="400" w:lineRule="exact"/>
              <w:jc w:val="center"/>
              <w:textAlignment w:val="auto"/>
              <w:rPr>
                <w:rFonts w:hint="eastAsia"/>
                <w:sz w:val="24"/>
                <w:szCs w:val="24"/>
              </w:rPr>
            </w:pPr>
            <w:r>
              <w:rPr>
                <w:rFonts w:hint="eastAsia"/>
                <w:sz w:val="24"/>
                <w:szCs w:val="24"/>
              </w:rPr>
              <w:t>通气立管边界处</w:t>
            </w:r>
          </w:p>
        </w:tc>
        <w:tc>
          <w:tcPr>
            <w:tcW w:w="1450" w:type="dxa"/>
            <w:vMerge w:val="continue"/>
            <w:vAlign w:val="center"/>
          </w:tcPr>
          <w:p w14:paraId="7DDD4056">
            <w:pPr>
              <w:keepNext w:val="0"/>
              <w:keepLines w:val="0"/>
              <w:pageBreakBefore w:val="0"/>
              <w:widowControl w:val="0"/>
              <w:kinsoku/>
              <w:wordWrap/>
              <w:overflowPunct/>
              <w:bidi w:val="0"/>
              <w:adjustRightInd w:val="0"/>
              <w:snapToGrid w:val="0"/>
              <w:spacing w:line="400" w:lineRule="exact"/>
              <w:jc w:val="center"/>
              <w:textAlignment w:val="auto"/>
              <w:rPr>
                <w:rFonts w:hint="eastAsia"/>
                <w:sz w:val="24"/>
                <w:szCs w:val="24"/>
              </w:rPr>
            </w:pPr>
          </w:p>
        </w:tc>
        <w:tc>
          <w:tcPr>
            <w:tcW w:w="1682" w:type="dxa"/>
            <w:vMerge w:val="continue"/>
            <w:vAlign w:val="center"/>
          </w:tcPr>
          <w:p w14:paraId="5837A469">
            <w:pPr>
              <w:keepNext w:val="0"/>
              <w:keepLines w:val="0"/>
              <w:pageBreakBefore w:val="0"/>
              <w:widowControl w:val="0"/>
              <w:kinsoku/>
              <w:wordWrap/>
              <w:overflowPunct/>
              <w:bidi w:val="0"/>
              <w:adjustRightInd w:val="0"/>
              <w:snapToGrid w:val="0"/>
              <w:spacing w:line="400" w:lineRule="exact"/>
              <w:jc w:val="center"/>
              <w:textAlignment w:val="auto"/>
              <w:rPr>
                <w:rFonts w:hint="eastAsia"/>
                <w:sz w:val="24"/>
                <w:szCs w:val="24"/>
              </w:rPr>
            </w:pPr>
          </w:p>
        </w:tc>
        <w:tc>
          <w:tcPr>
            <w:tcW w:w="2443" w:type="dxa"/>
            <w:vMerge w:val="continue"/>
            <w:vAlign w:val="center"/>
          </w:tcPr>
          <w:p w14:paraId="2BE86F1C">
            <w:pPr>
              <w:keepNext w:val="0"/>
              <w:keepLines w:val="0"/>
              <w:pageBreakBefore w:val="0"/>
              <w:widowControl w:val="0"/>
              <w:kinsoku/>
              <w:wordWrap/>
              <w:overflowPunct/>
              <w:bidi w:val="0"/>
              <w:adjustRightInd w:val="0"/>
              <w:snapToGrid w:val="0"/>
              <w:spacing w:line="400" w:lineRule="exact"/>
              <w:jc w:val="center"/>
              <w:textAlignment w:val="auto"/>
              <w:rPr>
                <w:rFonts w:hint="eastAsia"/>
                <w:sz w:val="24"/>
                <w:szCs w:val="24"/>
              </w:rPr>
            </w:pPr>
          </w:p>
        </w:tc>
      </w:tr>
      <w:tr w14:paraId="3601F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441" w:type="dxa"/>
            <w:vMerge w:val="continue"/>
            <w:vAlign w:val="center"/>
          </w:tcPr>
          <w:p w14:paraId="41ECF7E9">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c>
          <w:tcPr>
            <w:tcW w:w="1784" w:type="dxa"/>
            <w:vAlign w:val="center"/>
          </w:tcPr>
          <w:p w14:paraId="3AEF8A80">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企业边界</w:t>
            </w:r>
          </w:p>
        </w:tc>
        <w:tc>
          <w:tcPr>
            <w:tcW w:w="1450" w:type="dxa"/>
            <w:vMerge w:val="continue"/>
            <w:vAlign w:val="center"/>
          </w:tcPr>
          <w:p w14:paraId="12A116B6">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c>
          <w:tcPr>
            <w:tcW w:w="1682" w:type="dxa"/>
            <w:vMerge w:val="continue"/>
            <w:vAlign w:val="center"/>
          </w:tcPr>
          <w:p w14:paraId="48F0FF29">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c>
          <w:tcPr>
            <w:tcW w:w="2443" w:type="dxa"/>
            <w:vAlign w:val="center"/>
          </w:tcPr>
          <w:p w14:paraId="6079A6D4">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厂界监控点1h平均浓度满足《加油站大气污染物排放标准》（GB 20952-2020）</w:t>
            </w:r>
          </w:p>
        </w:tc>
      </w:tr>
      <w:tr w14:paraId="79959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441" w:type="dxa"/>
            <w:vMerge w:val="continue"/>
            <w:vAlign w:val="center"/>
          </w:tcPr>
          <w:p w14:paraId="06AAEA1E">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c>
          <w:tcPr>
            <w:tcW w:w="1784" w:type="dxa"/>
            <w:shd w:val="clear" w:color="auto" w:fill="auto"/>
            <w:vAlign w:val="center"/>
          </w:tcPr>
          <w:p w14:paraId="291E2A39">
            <w:pPr>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kern w:val="2"/>
                <w:sz w:val="24"/>
                <w:szCs w:val="24"/>
                <w:lang w:val="en-US" w:eastAsia="zh-CN" w:bidi="ar-SA"/>
              </w:rPr>
            </w:pPr>
            <w:r>
              <w:rPr>
                <w:rFonts w:hint="eastAsia"/>
                <w:sz w:val="24"/>
                <w:szCs w:val="24"/>
                <w:lang w:eastAsia="zh-CN"/>
              </w:rPr>
              <w:t>化粪池</w:t>
            </w:r>
            <w:r>
              <w:rPr>
                <w:sz w:val="24"/>
                <w:szCs w:val="24"/>
              </w:rPr>
              <w:t>臭气</w:t>
            </w:r>
          </w:p>
        </w:tc>
        <w:tc>
          <w:tcPr>
            <w:tcW w:w="1450" w:type="dxa"/>
            <w:shd w:val="clear" w:color="auto" w:fill="auto"/>
            <w:vAlign w:val="center"/>
          </w:tcPr>
          <w:p w14:paraId="135135E0">
            <w:pPr>
              <w:keepNext w:val="0"/>
              <w:keepLines w:val="0"/>
              <w:pageBreakBefore w:val="0"/>
              <w:widowControl w:val="0"/>
              <w:kinsoku/>
              <w:wordWrap/>
              <w:overflowPunct/>
              <w:bidi w:val="0"/>
              <w:spacing w:line="400" w:lineRule="exact"/>
              <w:jc w:val="center"/>
              <w:textAlignment w:val="auto"/>
              <w:rPr>
                <w:rFonts w:ascii="Times New Roman" w:hAnsi="Times New Roman" w:eastAsia="宋体" w:cs="Times New Roman"/>
                <w:kern w:val="2"/>
                <w:sz w:val="24"/>
                <w:szCs w:val="24"/>
                <w:lang w:val="en-US" w:eastAsia="zh-CN" w:bidi="ar-SA"/>
              </w:rPr>
            </w:pPr>
            <w:r>
              <w:rPr>
                <w:sz w:val="24"/>
                <w:szCs w:val="24"/>
              </w:rPr>
              <w:t>/</w:t>
            </w:r>
          </w:p>
        </w:tc>
        <w:tc>
          <w:tcPr>
            <w:tcW w:w="1682" w:type="dxa"/>
            <w:shd w:val="clear" w:color="auto" w:fill="auto"/>
            <w:vAlign w:val="center"/>
          </w:tcPr>
          <w:p w14:paraId="265C06C0">
            <w:pPr>
              <w:keepNext w:val="0"/>
              <w:keepLines w:val="0"/>
              <w:pageBreakBefore w:val="0"/>
              <w:widowControl w:val="0"/>
              <w:kinsoku/>
              <w:wordWrap/>
              <w:overflowPunct/>
              <w:bidi w:val="0"/>
              <w:spacing w:line="400" w:lineRule="exact"/>
              <w:jc w:val="center"/>
              <w:textAlignment w:val="auto"/>
              <w:rPr>
                <w:rFonts w:ascii="Times New Roman" w:hAnsi="Times New Roman" w:eastAsia="宋体" w:cs="Times New Roman"/>
                <w:kern w:val="2"/>
                <w:sz w:val="24"/>
                <w:szCs w:val="24"/>
                <w:lang w:val="en-US" w:eastAsia="zh-CN" w:bidi="ar-SA"/>
              </w:rPr>
            </w:pPr>
            <w:r>
              <w:rPr>
                <w:rFonts w:hint="eastAsia"/>
                <w:sz w:val="24"/>
                <w:szCs w:val="24"/>
              </w:rPr>
              <w:t>在绿化带</w:t>
            </w:r>
            <w:r>
              <w:rPr>
                <w:sz w:val="24"/>
                <w:szCs w:val="24"/>
              </w:rPr>
              <w:t>设置专用管道无组织排放。</w:t>
            </w:r>
          </w:p>
        </w:tc>
        <w:tc>
          <w:tcPr>
            <w:tcW w:w="2443" w:type="dxa"/>
            <w:vAlign w:val="center"/>
          </w:tcPr>
          <w:p w14:paraId="3D5BFBEE">
            <w:pPr>
              <w:keepNext w:val="0"/>
              <w:keepLines w:val="0"/>
              <w:pageBreakBefore w:val="0"/>
              <w:widowControl w:val="0"/>
              <w:kinsoku/>
              <w:wordWrap/>
              <w:overflowPunct/>
              <w:bidi w:val="0"/>
              <w:adjustRightInd w:val="0"/>
              <w:snapToGrid w:val="0"/>
              <w:spacing w:line="400" w:lineRule="exact"/>
              <w:jc w:val="center"/>
              <w:textAlignment w:val="auto"/>
              <w:rPr>
                <w:rFonts w:hint="eastAsia" w:eastAsia="宋体"/>
                <w:sz w:val="24"/>
                <w:szCs w:val="24"/>
                <w:lang w:val="en-US" w:eastAsia="zh-CN"/>
              </w:rPr>
            </w:pPr>
            <w:r>
              <w:rPr>
                <w:rFonts w:hint="eastAsia"/>
                <w:sz w:val="24"/>
                <w:szCs w:val="24"/>
                <w:lang w:val="en-US" w:eastAsia="zh-CN"/>
              </w:rPr>
              <w:t>/</w:t>
            </w:r>
          </w:p>
        </w:tc>
      </w:tr>
      <w:tr w14:paraId="68523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1" w:type="dxa"/>
            <w:vMerge w:val="continue"/>
            <w:vAlign w:val="center"/>
          </w:tcPr>
          <w:p w14:paraId="544ADDB7">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c>
          <w:tcPr>
            <w:tcW w:w="1784" w:type="dxa"/>
            <w:vAlign w:val="center"/>
          </w:tcPr>
          <w:p w14:paraId="7AD6F691">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柴油发电机无组织排放</w:t>
            </w:r>
          </w:p>
        </w:tc>
        <w:tc>
          <w:tcPr>
            <w:tcW w:w="1450" w:type="dxa"/>
            <w:vAlign w:val="center"/>
          </w:tcPr>
          <w:p w14:paraId="23BE1DFA">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NOx、THC</w:t>
            </w:r>
          </w:p>
        </w:tc>
        <w:tc>
          <w:tcPr>
            <w:tcW w:w="1682" w:type="dxa"/>
            <w:vAlign w:val="center"/>
          </w:tcPr>
          <w:p w14:paraId="4F90B8B1">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经专用管道引至站房屋顶排放</w:t>
            </w:r>
          </w:p>
        </w:tc>
        <w:tc>
          <w:tcPr>
            <w:tcW w:w="2443" w:type="dxa"/>
            <w:vAlign w:val="center"/>
          </w:tcPr>
          <w:p w14:paraId="7E0A32F7">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w:t>
            </w:r>
          </w:p>
        </w:tc>
      </w:tr>
      <w:tr w14:paraId="1C654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1" w:type="dxa"/>
            <w:vMerge w:val="restart"/>
            <w:vAlign w:val="center"/>
          </w:tcPr>
          <w:p w14:paraId="352EAAC2">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地表水环境</w:t>
            </w:r>
          </w:p>
        </w:tc>
        <w:tc>
          <w:tcPr>
            <w:tcW w:w="1784" w:type="dxa"/>
            <w:vAlign w:val="center"/>
          </w:tcPr>
          <w:p w14:paraId="5A59B62F">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生活污水</w:t>
            </w:r>
          </w:p>
        </w:tc>
        <w:tc>
          <w:tcPr>
            <w:tcW w:w="1450" w:type="dxa"/>
            <w:vAlign w:val="center"/>
          </w:tcPr>
          <w:p w14:paraId="3EAEFD85">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COD、BOD</w:t>
            </w:r>
            <w:r>
              <w:rPr>
                <w:sz w:val="24"/>
                <w:szCs w:val="24"/>
                <w:vertAlign w:val="subscript"/>
              </w:rPr>
              <w:t>5</w:t>
            </w:r>
            <w:r>
              <w:rPr>
                <w:sz w:val="24"/>
                <w:szCs w:val="24"/>
              </w:rPr>
              <w:t>、SS、氨氮</w:t>
            </w:r>
          </w:p>
        </w:tc>
        <w:tc>
          <w:tcPr>
            <w:tcW w:w="1682" w:type="dxa"/>
            <w:vAlign w:val="center"/>
          </w:tcPr>
          <w:p w14:paraId="5A40A5FD">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通过处理规模为</w:t>
            </w:r>
            <w:r>
              <w:rPr>
                <w:rFonts w:hint="eastAsia"/>
                <w:sz w:val="24"/>
                <w:szCs w:val="24"/>
                <w:lang w:val="en-US" w:eastAsia="zh-CN"/>
              </w:rPr>
              <w:t>4</w:t>
            </w:r>
            <w:r>
              <w:rPr>
                <w:rFonts w:hint="eastAsia"/>
                <w:sz w:val="24"/>
                <w:szCs w:val="24"/>
              </w:rPr>
              <w:t>m</w:t>
            </w:r>
            <w:r>
              <w:rPr>
                <w:rFonts w:hint="eastAsia"/>
                <w:sz w:val="24"/>
                <w:szCs w:val="24"/>
                <w:vertAlign w:val="superscript"/>
              </w:rPr>
              <w:t>3</w:t>
            </w:r>
            <w:r>
              <w:rPr>
                <w:rFonts w:hint="eastAsia"/>
                <w:sz w:val="24"/>
                <w:szCs w:val="24"/>
              </w:rPr>
              <w:t>/d的</w:t>
            </w:r>
            <w:r>
              <w:rPr>
                <w:rFonts w:hint="eastAsia"/>
                <w:sz w:val="24"/>
                <w:szCs w:val="24"/>
                <w:lang w:eastAsia="zh-CN"/>
              </w:rPr>
              <w:t>化粪池</w:t>
            </w:r>
            <w:r>
              <w:rPr>
                <w:rFonts w:hint="eastAsia"/>
                <w:sz w:val="24"/>
                <w:szCs w:val="24"/>
              </w:rPr>
              <w:t>处理达《污水综合排放标准》（GB8978-1996）三级标准后通过市政污水管网进入</w:t>
            </w:r>
            <w:r>
              <w:rPr>
                <w:rFonts w:hint="eastAsia"/>
                <w:sz w:val="24"/>
                <w:szCs w:val="24"/>
                <w:lang w:val="en-US" w:eastAsia="zh-CN"/>
              </w:rPr>
              <w:t>大九</w:t>
            </w:r>
            <w:r>
              <w:rPr>
                <w:rFonts w:hint="eastAsia"/>
                <w:sz w:val="24"/>
                <w:szCs w:val="24"/>
              </w:rPr>
              <w:t>污水处理厂</w:t>
            </w:r>
          </w:p>
        </w:tc>
        <w:tc>
          <w:tcPr>
            <w:tcW w:w="2443" w:type="dxa"/>
            <w:vMerge w:val="restart"/>
            <w:vAlign w:val="center"/>
          </w:tcPr>
          <w:p w14:paraId="7D2CD078">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《污水综合排放标准》（GB8978-1996）三级标准；</w:t>
            </w:r>
          </w:p>
          <w:p w14:paraId="3B468B92">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《城镇污水处理厂污染物排放标准》（GB18918-2002）一级</w:t>
            </w:r>
            <w:r>
              <w:rPr>
                <w:sz w:val="24"/>
                <w:szCs w:val="24"/>
              </w:rPr>
              <w:t>A</w:t>
            </w:r>
            <w:r>
              <w:rPr>
                <w:rFonts w:hint="eastAsia"/>
                <w:sz w:val="24"/>
                <w:szCs w:val="24"/>
              </w:rPr>
              <w:t>标准</w:t>
            </w:r>
          </w:p>
        </w:tc>
      </w:tr>
      <w:tr w14:paraId="2FFAE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41" w:type="dxa"/>
            <w:vMerge w:val="continue"/>
            <w:vAlign w:val="center"/>
          </w:tcPr>
          <w:p w14:paraId="73CEAE5F">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c>
          <w:tcPr>
            <w:tcW w:w="1784" w:type="dxa"/>
            <w:vAlign w:val="center"/>
          </w:tcPr>
          <w:p w14:paraId="5B0465FA">
            <w:pPr>
              <w:keepNext w:val="0"/>
              <w:keepLines w:val="0"/>
              <w:pageBreakBefore w:val="0"/>
              <w:widowControl w:val="0"/>
              <w:kinsoku/>
              <w:wordWrap/>
              <w:overflowPunct/>
              <w:bidi w:val="0"/>
              <w:adjustRightInd w:val="0"/>
              <w:snapToGrid w:val="0"/>
              <w:spacing w:line="400" w:lineRule="exact"/>
              <w:jc w:val="center"/>
              <w:textAlignment w:val="auto"/>
              <w:rPr>
                <w:rFonts w:ascii="Times New Roman" w:eastAsia="宋体" w:cs="Times New Roman"/>
                <w:color w:val="auto"/>
                <w:kern w:val="2"/>
                <w:sz w:val="24"/>
                <w:szCs w:val="24"/>
              </w:rPr>
            </w:pPr>
            <w:r>
              <w:rPr>
                <w:rFonts w:hint="eastAsia"/>
                <w:sz w:val="24"/>
                <w:szCs w:val="24"/>
              </w:rPr>
              <w:t>场地冲洗废水</w:t>
            </w:r>
          </w:p>
        </w:tc>
        <w:tc>
          <w:tcPr>
            <w:tcW w:w="1450" w:type="dxa"/>
            <w:vMerge w:val="restart"/>
            <w:vAlign w:val="center"/>
          </w:tcPr>
          <w:p w14:paraId="52C8FE36">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SS、</w:t>
            </w:r>
            <w:r>
              <w:rPr>
                <w:rFonts w:hint="eastAsia"/>
                <w:sz w:val="24"/>
                <w:szCs w:val="24"/>
              </w:rPr>
              <w:t>石油类</w:t>
            </w:r>
          </w:p>
        </w:tc>
        <w:tc>
          <w:tcPr>
            <w:tcW w:w="1682" w:type="dxa"/>
            <w:vMerge w:val="restart"/>
            <w:vAlign w:val="center"/>
          </w:tcPr>
          <w:p w14:paraId="03CD4805">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通过1座处理规模为5</w:t>
            </w:r>
            <w:r>
              <w:rPr>
                <w:rFonts w:hint="eastAsia"/>
                <w:sz w:val="24"/>
                <w:szCs w:val="24"/>
                <w:lang w:val="en-US" w:eastAsia="zh-CN"/>
              </w:rPr>
              <w:t>.4</w:t>
            </w:r>
            <w:r>
              <w:rPr>
                <w:rFonts w:hint="eastAsia"/>
                <w:sz w:val="24"/>
                <w:szCs w:val="24"/>
              </w:rPr>
              <w:t>m</w:t>
            </w:r>
            <w:r>
              <w:rPr>
                <w:rFonts w:hint="eastAsia"/>
                <w:sz w:val="24"/>
                <w:szCs w:val="24"/>
                <w:vertAlign w:val="superscript"/>
              </w:rPr>
              <w:t>3</w:t>
            </w:r>
            <w:r>
              <w:rPr>
                <w:rFonts w:hint="eastAsia"/>
                <w:sz w:val="24"/>
                <w:szCs w:val="24"/>
              </w:rPr>
              <w:t>/d的隔油沉淀池预处理达《污水综合排放标准》（GB8978-1996）三级标准后同</w:t>
            </w:r>
            <w:r>
              <w:rPr>
                <w:rFonts w:hint="eastAsia"/>
                <w:sz w:val="24"/>
                <w:szCs w:val="24"/>
                <w:lang w:val="en-US" w:eastAsia="zh-CN"/>
              </w:rPr>
              <w:t>达标处理后的</w:t>
            </w:r>
            <w:r>
              <w:rPr>
                <w:rFonts w:hint="eastAsia"/>
                <w:sz w:val="24"/>
                <w:szCs w:val="24"/>
              </w:rPr>
              <w:t>生活污水一并</w:t>
            </w:r>
            <w:r>
              <w:rPr>
                <w:rFonts w:hint="eastAsia"/>
                <w:sz w:val="24"/>
                <w:szCs w:val="24"/>
                <w:lang w:val="en-US" w:eastAsia="zh-CN"/>
              </w:rPr>
              <w:t>经</w:t>
            </w:r>
            <w:r>
              <w:rPr>
                <w:rFonts w:hint="eastAsia"/>
                <w:sz w:val="24"/>
                <w:szCs w:val="24"/>
              </w:rPr>
              <w:t>市政污水管网进入</w:t>
            </w:r>
            <w:r>
              <w:rPr>
                <w:rFonts w:hint="eastAsia"/>
                <w:sz w:val="24"/>
                <w:szCs w:val="24"/>
                <w:lang w:val="en-US" w:eastAsia="zh-CN"/>
              </w:rPr>
              <w:t>大九</w:t>
            </w:r>
            <w:r>
              <w:rPr>
                <w:rFonts w:hint="eastAsia"/>
                <w:sz w:val="24"/>
                <w:szCs w:val="24"/>
              </w:rPr>
              <w:t>污水处理厂</w:t>
            </w:r>
          </w:p>
        </w:tc>
        <w:tc>
          <w:tcPr>
            <w:tcW w:w="2443" w:type="dxa"/>
            <w:vMerge w:val="continue"/>
            <w:vAlign w:val="center"/>
          </w:tcPr>
          <w:p w14:paraId="75509898">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p>
        </w:tc>
      </w:tr>
      <w:tr w14:paraId="0B4C4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41" w:type="dxa"/>
            <w:vMerge w:val="continue"/>
            <w:vAlign w:val="center"/>
          </w:tcPr>
          <w:p w14:paraId="07803A12">
            <w:pPr>
              <w:pStyle w:val="23"/>
              <w:keepNext w:val="0"/>
              <w:keepLines w:val="0"/>
              <w:pageBreakBefore w:val="0"/>
              <w:widowControl w:val="0"/>
              <w:kinsoku/>
              <w:wordWrap/>
              <w:overflowPunct/>
              <w:bidi w:val="0"/>
              <w:spacing w:line="400" w:lineRule="exact"/>
              <w:jc w:val="center"/>
              <w:textAlignment w:val="auto"/>
              <w:rPr>
                <w:sz w:val="24"/>
                <w:szCs w:val="24"/>
              </w:rPr>
            </w:pPr>
          </w:p>
        </w:tc>
        <w:tc>
          <w:tcPr>
            <w:tcW w:w="1784" w:type="dxa"/>
            <w:vAlign w:val="center"/>
          </w:tcPr>
          <w:p w14:paraId="70303E9F">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eastAsia="宋体" w:cs="Times New Roman"/>
                <w:color w:val="auto"/>
                <w:kern w:val="2"/>
                <w:sz w:val="24"/>
                <w:szCs w:val="24"/>
              </w:rPr>
              <w:t>洗车废水</w:t>
            </w:r>
          </w:p>
        </w:tc>
        <w:tc>
          <w:tcPr>
            <w:tcW w:w="1450" w:type="dxa"/>
            <w:vMerge w:val="continue"/>
            <w:vAlign w:val="center"/>
          </w:tcPr>
          <w:p w14:paraId="0DF00BA6">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p>
        </w:tc>
        <w:tc>
          <w:tcPr>
            <w:tcW w:w="1682" w:type="dxa"/>
            <w:vMerge w:val="continue"/>
            <w:vAlign w:val="center"/>
          </w:tcPr>
          <w:p w14:paraId="2F128550">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p>
        </w:tc>
        <w:tc>
          <w:tcPr>
            <w:tcW w:w="2443" w:type="dxa"/>
            <w:vMerge w:val="continue"/>
            <w:vAlign w:val="center"/>
          </w:tcPr>
          <w:p w14:paraId="5D160863">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p>
        </w:tc>
      </w:tr>
      <w:tr w14:paraId="308EA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41" w:type="dxa"/>
            <w:vMerge w:val="continue"/>
            <w:vAlign w:val="center"/>
          </w:tcPr>
          <w:p w14:paraId="7F089818">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p>
        </w:tc>
        <w:tc>
          <w:tcPr>
            <w:tcW w:w="1784" w:type="dxa"/>
            <w:vAlign w:val="center"/>
          </w:tcPr>
          <w:p w14:paraId="2CB4C9F9">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棚外初期地面雨水</w:t>
            </w:r>
          </w:p>
        </w:tc>
        <w:tc>
          <w:tcPr>
            <w:tcW w:w="1450" w:type="dxa"/>
            <w:vMerge w:val="continue"/>
            <w:vAlign w:val="center"/>
          </w:tcPr>
          <w:p w14:paraId="40F6687F">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p>
        </w:tc>
        <w:tc>
          <w:tcPr>
            <w:tcW w:w="1682" w:type="dxa"/>
            <w:vMerge w:val="continue"/>
            <w:vAlign w:val="center"/>
          </w:tcPr>
          <w:p w14:paraId="059276B8">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p>
        </w:tc>
        <w:tc>
          <w:tcPr>
            <w:tcW w:w="2443" w:type="dxa"/>
            <w:vMerge w:val="continue"/>
            <w:vAlign w:val="center"/>
          </w:tcPr>
          <w:p w14:paraId="25DDAD3C">
            <w:pPr>
              <w:pStyle w:val="23"/>
              <w:keepNext w:val="0"/>
              <w:keepLines w:val="0"/>
              <w:pageBreakBefore w:val="0"/>
              <w:widowControl w:val="0"/>
              <w:kinsoku/>
              <w:wordWrap/>
              <w:overflowPunct/>
              <w:bidi w:val="0"/>
              <w:spacing w:line="400" w:lineRule="exact"/>
              <w:jc w:val="center"/>
              <w:textAlignment w:val="auto"/>
              <w:rPr>
                <w:rFonts w:hint="eastAsia" w:ascii="Times New Roman" w:hAnsi="Times New Roman" w:eastAsia="宋体" w:cs="Times New Roman"/>
                <w:color w:val="auto"/>
                <w:kern w:val="2"/>
                <w:sz w:val="24"/>
                <w:szCs w:val="24"/>
                <w:lang w:val="en-US" w:eastAsia="zh-CN" w:bidi="ar-SA"/>
              </w:rPr>
            </w:pPr>
          </w:p>
        </w:tc>
      </w:tr>
      <w:tr w14:paraId="04914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1" w:type="dxa"/>
            <w:vAlign w:val="center"/>
          </w:tcPr>
          <w:p w14:paraId="46D2F5D9">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声环境</w:t>
            </w:r>
          </w:p>
        </w:tc>
        <w:tc>
          <w:tcPr>
            <w:tcW w:w="1784" w:type="dxa"/>
            <w:vAlign w:val="center"/>
          </w:tcPr>
          <w:p w14:paraId="262E5482">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设备、运输车辆等</w:t>
            </w:r>
          </w:p>
        </w:tc>
        <w:tc>
          <w:tcPr>
            <w:tcW w:w="1450" w:type="dxa"/>
            <w:vAlign w:val="center"/>
          </w:tcPr>
          <w:p w14:paraId="5A6CCE6D">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噪声</w:t>
            </w:r>
          </w:p>
        </w:tc>
        <w:tc>
          <w:tcPr>
            <w:tcW w:w="1682" w:type="dxa"/>
            <w:vAlign w:val="center"/>
          </w:tcPr>
          <w:p w14:paraId="1B380537">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rFonts w:hint="eastAsia"/>
                <w:sz w:val="24"/>
                <w:szCs w:val="24"/>
              </w:rPr>
              <w:t>选用先进低噪设备，加强站内管理；加油站进出口设置禁鸣及减速标志</w:t>
            </w:r>
          </w:p>
        </w:tc>
        <w:tc>
          <w:tcPr>
            <w:tcW w:w="2443" w:type="dxa"/>
            <w:vAlign w:val="center"/>
          </w:tcPr>
          <w:p w14:paraId="4F2CCBBF">
            <w:pPr>
              <w:keepNext w:val="0"/>
              <w:keepLines w:val="0"/>
              <w:pageBreakBefore w:val="0"/>
              <w:widowControl w:val="0"/>
              <w:kinsoku/>
              <w:wordWrap/>
              <w:overflowPunct/>
              <w:bidi w:val="0"/>
              <w:adjustRightInd w:val="0"/>
              <w:snapToGrid w:val="0"/>
              <w:spacing w:line="400" w:lineRule="exact"/>
              <w:jc w:val="center"/>
              <w:textAlignment w:val="auto"/>
              <w:rPr>
                <w:rFonts w:hint="default" w:eastAsia="宋体"/>
                <w:sz w:val="24"/>
                <w:szCs w:val="24"/>
                <w:lang w:val="en-US" w:eastAsia="zh-CN"/>
              </w:rPr>
            </w:pPr>
            <w:r>
              <w:rPr>
                <w:sz w:val="24"/>
                <w:szCs w:val="24"/>
              </w:rPr>
              <w:t>《工业企业厂界环境噪声排放标准》（GB12348-2008）</w:t>
            </w:r>
            <w:r>
              <w:rPr>
                <w:rFonts w:hint="eastAsia"/>
                <w:sz w:val="24"/>
                <w:szCs w:val="24"/>
                <w:lang w:val="en-US" w:eastAsia="zh-CN"/>
              </w:rPr>
              <w:t>4</w:t>
            </w:r>
            <w:r>
              <w:rPr>
                <w:sz w:val="24"/>
                <w:szCs w:val="24"/>
              </w:rPr>
              <w:t xml:space="preserve"> 类标准，昼间≤</w:t>
            </w:r>
            <w:r>
              <w:rPr>
                <w:rFonts w:hint="eastAsia"/>
                <w:sz w:val="24"/>
                <w:szCs w:val="24"/>
                <w:lang w:val="en-US" w:eastAsia="zh-CN"/>
              </w:rPr>
              <w:t>7</w:t>
            </w:r>
            <w:r>
              <w:rPr>
                <w:sz w:val="24"/>
                <w:szCs w:val="24"/>
              </w:rPr>
              <w:t>0dB，夜间≤</w:t>
            </w:r>
            <w:r>
              <w:rPr>
                <w:rFonts w:hint="eastAsia"/>
                <w:sz w:val="24"/>
                <w:szCs w:val="24"/>
                <w:lang w:val="en-US" w:eastAsia="zh-CN"/>
              </w:rPr>
              <w:t>55</w:t>
            </w:r>
            <w:r>
              <w:rPr>
                <w:sz w:val="24"/>
                <w:szCs w:val="24"/>
              </w:rPr>
              <w:t>dB</w:t>
            </w:r>
            <w:r>
              <w:rPr>
                <w:rFonts w:hint="eastAsia"/>
                <w:sz w:val="24"/>
                <w:szCs w:val="24"/>
                <w:lang w:eastAsia="zh-CN"/>
              </w:rPr>
              <w:t>；</w:t>
            </w:r>
            <w:r>
              <w:rPr>
                <w:rFonts w:hint="eastAsia"/>
                <w:sz w:val="24"/>
                <w:szCs w:val="24"/>
                <w:lang w:val="en-US" w:eastAsia="zh-CN"/>
              </w:rPr>
              <w:t>3类标准</w:t>
            </w:r>
            <w:r>
              <w:rPr>
                <w:sz w:val="24"/>
                <w:szCs w:val="24"/>
              </w:rPr>
              <w:t>，昼间≤6</w:t>
            </w:r>
            <w:r>
              <w:rPr>
                <w:rFonts w:hint="eastAsia"/>
                <w:sz w:val="24"/>
                <w:szCs w:val="24"/>
                <w:lang w:val="en-US" w:eastAsia="zh-CN"/>
              </w:rPr>
              <w:t>5</w:t>
            </w:r>
            <w:r>
              <w:rPr>
                <w:sz w:val="24"/>
                <w:szCs w:val="24"/>
              </w:rPr>
              <w:t>dB，夜间≤5</w:t>
            </w:r>
            <w:r>
              <w:rPr>
                <w:rFonts w:hint="eastAsia"/>
                <w:sz w:val="24"/>
                <w:szCs w:val="24"/>
                <w:lang w:val="en-US" w:eastAsia="zh-CN"/>
              </w:rPr>
              <w:t>5</w:t>
            </w:r>
            <w:r>
              <w:rPr>
                <w:sz w:val="24"/>
                <w:szCs w:val="24"/>
              </w:rPr>
              <w:t>dB</w:t>
            </w:r>
          </w:p>
        </w:tc>
      </w:tr>
      <w:tr w14:paraId="7BBBB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41" w:type="dxa"/>
            <w:vAlign w:val="center"/>
          </w:tcPr>
          <w:p w14:paraId="53EFE62E">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电磁辐射</w:t>
            </w:r>
          </w:p>
        </w:tc>
        <w:tc>
          <w:tcPr>
            <w:tcW w:w="1784" w:type="dxa"/>
            <w:vAlign w:val="center"/>
          </w:tcPr>
          <w:p w14:paraId="355E4908">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w:t>
            </w:r>
          </w:p>
        </w:tc>
        <w:tc>
          <w:tcPr>
            <w:tcW w:w="1450" w:type="dxa"/>
            <w:vAlign w:val="center"/>
          </w:tcPr>
          <w:p w14:paraId="7D2474F8">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w:t>
            </w:r>
          </w:p>
        </w:tc>
        <w:tc>
          <w:tcPr>
            <w:tcW w:w="1682" w:type="dxa"/>
            <w:vAlign w:val="center"/>
          </w:tcPr>
          <w:p w14:paraId="7AA84FB7">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w:t>
            </w:r>
          </w:p>
        </w:tc>
        <w:tc>
          <w:tcPr>
            <w:tcW w:w="2443" w:type="dxa"/>
            <w:vAlign w:val="center"/>
          </w:tcPr>
          <w:p w14:paraId="260728FA">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w:t>
            </w:r>
          </w:p>
        </w:tc>
      </w:tr>
      <w:tr w14:paraId="787EF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41" w:type="dxa"/>
            <w:vAlign w:val="center"/>
          </w:tcPr>
          <w:p w14:paraId="6C7FCA96">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固体废物</w:t>
            </w:r>
          </w:p>
        </w:tc>
        <w:tc>
          <w:tcPr>
            <w:tcW w:w="7359" w:type="dxa"/>
            <w:gridSpan w:val="4"/>
            <w:vAlign w:val="center"/>
          </w:tcPr>
          <w:p w14:paraId="7D8BD533">
            <w:pPr>
              <w:keepNext w:val="0"/>
              <w:keepLines w:val="0"/>
              <w:pageBreakBefore w:val="0"/>
              <w:widowControl w:val="0"/>
              <w:kinsoku/>
              <w:wordWrap/>
              <w:overflowPunct/>
              <w:bidi w:val="0"/>
              <w:adjustRightInd w:val="0"/>
              <w:snapToGrid w:val="0"/>
              <w:spacing w:line="400" w:lineRule="exact"/>
              <w:textAlignment w:val="auto"/>
              <w:rPr>
                <w:sz w:val="24"/>
                <w:szCs w:val="24"/>
              </w:rPr>
            </w:pPr>
            <w:r>
              <w:rPr>
                <w:rFonts w:hint="eastAsia"/>
                <w:sz w:val="24"/>
                <w:szCs w:val="24"/>
              </w:rPr>
              <w:t>在站区西侧设置了1间占地面积约</w:t>
            </w:r>
            <w:r>
              <w:rPr>
                <w:rFonts w:hint="eastAsia"/>
                <w:sz w:val="24"/>
                <w:szCs w:val="24"/>
                <w:lang w:val="en-US" w:eastAsia="zh-CN"/>
              </w:rPr>
              <w:t>2</w:t>
            </w:r>
            <w:r>
              <w:rPr>
                <w:rFonts w:hint="eastAsia"/>
                <w:sz w:val="24"/>
                <w:szCs w:val="24"/>
              </w:rPr>
              <w:t>m</w:t>
            </w:r>
            <w:r>
              <w:rPr>
                <w:rFonts w:hint="eastAsia"/>
                <w:sz w:val="24"/>
                <w:szCs w:val="24"/>
                <w:vertAlign w:val="superscript"/>
              </w:rPr>
              <w:t>2</w:t>
            </w:r>
            <w:r>
              <w:rPr>
                <w:rFonts w:hint="eastAsia"/>
                <w:sz w:val="24"/>
                <w:szCs w:val="24"/>
              </w:rPr>
              <w:t>的危废贮存点，做好防风、防晒、防雨、防漏、防渗、防腐等措施，进行分区贮存，满足《危险废物贮存污染控制标准》（GB18597-2023），用于暂存项目产生的危险废物，危险废物定期交有资质单位清运进行处置</w:t>
            </w:r>
            <w:r>
              <w:rPr>
                <w:rFonts w:hint="eastAsia"/>
                <w:sz w:val="24"/>
                <w:szCs w:val="24"/>
                <w:lang w:eastAsia="zh-CN"/>
              </w:rPr>
              <w:t>；</w:t>
            </w:r>
            <w:r>
              <w:rPr>
                <w:rFonts w:hint="eastAsia"/>
                <w:sz w:val="24"/>
                <w:szCs w:val="24"/>
                <w:lang w:val="en-US" w:eastAsia="zh-CN"/>
              </w:rPr>
              <w:t>油罐清洗交由有资质单位进行，清罐后产生的清罐废物即时转运出厂有效处置，不在站内暂存；隔油池含油污泥定期委托有资质单位进行清掏，即时转运出厂有效处置，不在站内暂存</w:t>
            </w:r>
            <w:r>
              <w:rPr>
                <w:rFonts w:hint="eastAsia"/>
                <w:sz w:val="24"/>
                <w:szCs w:val="24"/>
              </w:rPr>
              <w:t>；</w:t>
            </w:r>
            <w:r>
              <w:rPr>
                <w:rFonts w:hint="eastAsia"/>
                <w:sz w:val="24"/>
                <w:szCs w:val="24"/>
                <w:lang w:eastAsia="zh-CN"/>
              </w:rPr>
              <w:t>化粪池</w:t>
            </w:r>
            <w:r>
              <w:rPr>
                <w:rFonts w:hint="eastAsia"/>
                <w:sz w:val="24"/>
                <w:szCs w:val="24"/>
              </w:rPr>
              <w:t>的污泥需定期清掏，定期交由环卫部门处置；员工及乘驾人员的生活垃圾经厂区生活垃圾桶袋装收集后，由环卫部门统一清运处置</w:t>
            </w:r>
          </w:p>
        </w:tc>
      </w:tr>
      <w:tr w14:paraId="3DF24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41" w:type="dxa"/>
            <w:vAlign w:val="center"/>
          </w:tcPr>
          <w:p w14:paraId="718390A2">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土壤及地下水污染防治措施</w:t>
            </w:r>
          </w:p>
        </w:tc>
        <w:tc>
          <w:tcPr>
            <w:tcW w:w="7359" w:type="dxa"/>
            <w:gridSpan w:val="4"/>
            <w:vAlign w:val="center"/>
          </w:tcPr>
          <w:p w14:paraId="0E628198">
            <w:pPr>
              <w:pStyle w:val="100"/>
              <w:keepNext w:val="0"/>
              <w:keepLines w:val="0"/>
              <w:pageBreakBefore w:val="0"/>
              <w:widowControl w:val="0"/>
              <w:kinsoku/>
              <w:wordWrap/>
              <w:overflowPunct/>
              <w:bidi w:val="0"/>
              <w:spacing w:line="400" w:lineRule="exact"/>
              <w:ind w:firstLine="0" w:firstLineChars="0"/>
              <w:textAlignment w:val="auto"/>
              <w:rPr>
                <w:sz w:val="24"/>
                <w:szCs w:val="24"/>
              </w:rPr>
            </w:pPr>
            <w:r>
              <w:rPr>
                <w:rFonts w:hint="eastAsia" w:ascii="宋体" w:hAnsi="宋体" w:cs="宋体"/>
                <w:sz w:val="24"/>
                <w:szCs w:val="24"/>
              </w:rPr>
              <w:t>①</w:t>
            </w:r>
            <w:r>
              <w:rPr>
                <w:sz w:val="24"/>
                <w:szCs w:val="24"/>
              </w:rPr>
              <w:t>源头控制</w:t>
            </w:r>
            <w:r>
              <w:rPr>
                <w:rFonts w:hint="eastAsia"/>
                <w:sz w:val="24"/>
                <w:szCs w:val="24"/>
                <w:lang w:eastAsia="zh-CN"/>
              </w:rPr>
              <w:t>：</w:t>
            </w:r>
            <w:r>
              <w:rPr>
                <w:sz w:val="24"/>
                <w:szCs w:val="24"/>
              </w:rPr>
              <w:t>严格按照《加油站地下水污染防治技术指南（试行）》（环办水体函〔2017〕323号）、</w:t>
            </w:r>
            <w:r>
              <w:rPr>
                <w:kern w:val="0"/>
                <w:sz w:val="24"/>
                <w:szCs w:val="24"/>
              </w:rPr>
              <w:t>《石油化工防渗工程技术规范》（GB/T 50934-2013）、《汽车加油加气加氢站技术标准》（GB50156-2021）等</w:t>
            </w:r>
            <w:r>
              <w:rPr>
                <w:sz w:val="24"/>
                <w:szCs w:val="24"/>
              </w:rPr>
              <w:t>相关规范要求，对储油罐、油品工艺管线、设备、污水储存及处理构筑物采取相应的措施，以防止和降低污染物的跑、冒、滴、漏，降低风险事故。FF双层储油罐配备液位显示仪、高液位报警仪，储油罐、油品工艺管线配备油品、油气渗漏监测报警仪。</w:t>
            </w:r>
          </w:p>
          <w:p w14:paraId="2079C978">
            <w:pPr>
              <w:pStyle w:val="100"/>
              <w:keepNext w:val="0"/>
              <w:keepLines w:val="0"/>
              <w:pageBreakBefore w:val="0"/>
              <w:widowControl w:val="0"/>
              <w:kinsoku/>
              <w:wordWrap/>
              <w:overflowPunct/>
              <w:bidi w:val="0"/>
              <w:spacing w:line="400" w:lineRule="exact"/>
              <w:ind w:firstLine="0" w:firstLineChars="0"/>
              <w:textAlignment w:val="auto"/>
              <w:rPr>
                <w:sz w:val="24"/>
                <w:szCs w:val="24"/>
              </w:rPr>
            </w:pPr>
            <w:r>
              <w:rPr>
                <w:rFonts w:hint="eastAsia" w:ascii="宋体" w:hAnsi="宋体" w:cs="宋体"/>
                <w:sz w:val="24"/>
                <w:szCs w:val="24"/>
              </w:rPr>
              <w:t>②</w:t>
            </w:r>
            <w:r>
              <w:rPr>
                <w:sz w:val="24"/>
                <w:szCs w:val="24"/>
              </w:rPr>
              <w:t>分区控制</w:t>
            </w:r>
            <w:r>
              <w:rPr>
                <w:rFonts w:hint="eastAsia"/>
                <w:sz w:val="24"/>
                <w:szCs w:val="24"/>
                <w:lang w:eastAsia="zh-CN"/>
              </w:rPr>
              <w:t>：</w:t>
            </w:r>
            <w:r>
              <w:rPr>
                <w:sz w:val="24"/>
                <w:szCs w:val="24"/>
              </w:rPr>
              <w:t>根据《环境影响评价技术导则 地下水环境》（HJ610-2016）、</w:t>
            </w:r>
            <w:r>
              <w:rPr>
                <w:kern w:val="0"/>
                <w:sz w:val="24"/>
                <w:szCs w:val="24"/>
              </w:rPr>
              <w:t>《石油化工防渗工程技术规范》（GB/T 50934-2013）及</w:t>
            </w:r>
            <w:r>
              <w:rPr>
                <w:sz w:val="24"/>
                <w:szCs w:val="24"/>
              </w:rPr>
              <w:t>各建构筑物功能，将站区划分为重点防渗区、一般防渗区和简单防渗区。重点防渗区（包括埋地油罐、加油区、危险废物</w:t>
            </w:r>
            <w:r>
              <w:rPr>
                <w:rFonts w:hint="eastAsia"/>
                <w:sz w:val="24"/>
                <w:szCs w:val="24"/>
                <w:lang w:val="en-US" w:eastAsia="zh-CN"/>
              </w:rPr>
              <w:t>贮存点</w:t>
            </w:r>
            <w:r>
              <w:rPr>
                <w:sz w:val="24"/>
                <w:szCs w:val="24"/>
              </w:rPr>
              <w:t>、隔油</w:t>
            </w:r>
            <w:r>
              <w:rPr>
                <w:rFonts w:hint="eastAsia"/>
                <w:sz w:val="24"/>
                <w:szCs w:val="24"/>
                <w:lang w:val="en-US" w:eastAsia="zh-CN"/>
              </w:rPr>
              <w:t>沉淀</w:t>
            </w:r>
            <w:r>
              <w:rPr>
                <w:sz w:val="24"/>
                <w:szCs w:val="24"/>
              </w:rPr>
              <w:t>池、卸油区以及工艺管线）。</w:t>
            </w:r>
            <w:r>
              <w:rPr>
                <w:kern w:val="0"/>
                <w:sz w:val="24"/>
                <w:szCs w:val="24"/>
              </w:rPr>
              <w:t>埋地油罐采用FF双层卧式罐（玻璃纤维增强塑料双层油罐），同时配备渗漏检测装置，24小时全程监控。符合《汽车加油加气加氢站技术标准》（GB50156-2021）、</w:t>
            </w:r>
            <w:r>
              <w:rPr>
                <w:sz w:val="24"/>
                <w:szCs w:val="24"/>
              </w:rPr>
              <w:t>《加油站地下水污染防治技术指南（试行）》（环办水体函〔2017〕323号）地下水防控要求。</w:t>
            </w:r>
            <w:r>
              <w:rPr>
                <w:kern w:val="0"/>
                <w:sz w:val="24"/>
                <w:szCs w:val="24"/>
              </w:rPr>
              <w:t>危废</w:t>
            </w:r>
            <w:r>
              <w:rPr>
                <w:rFonts w:hint="eastAsia"/>
                <w:kern w:val="0"/>
                <w:sz w:val="24"/>
                <w:szCs w:val="24"/>
                <w:lang w:val="en-US" w:eastAsia="zh-CN"/>
              </w:rPr>
              <w:t>贮存点依托现有工程已建</w:t>
            </w:r>
            <w:r>
              <w:rPr>
                <w:kern w:val="0"/>
                <w:sz w:val="24"/>
                <w:szCs w:val="24"/>
              </w:rPr>
              <w:t>，所在场地面采用15~20cm厚C30防渗混凝土，</w:t>
            </w:r>
            <w:r>
              <w:rPr>
                <w:rFonts w:hint="eastAsia"/>
                <w:kern w:val="0"/>
                <w:sz w:val="24"/>
                <w:szCs w:val="24"/>
                <w:lang w:val="en-US" w:eastAsia="zh-CN"/>
              </w:rPr>
              <w:t>贮存点</w:t>
            </w:r>
            <w:r>
              <w:rPr>
                <w:kern w:val="0"/>
                <w:sz w:val="24"/>
                <w:szCs w:val="24"/>
              </w:rPr>
              <w:t>内建有3~5mm钢制托盘。隔油</w:t>
            </w:r>
            <w:r>
              <w:rPr>
                <w:rFonts w:hint="eastAsia"/>
                <w:kern w:val="0"/>
                <w:sz w:val="24"/>
                <w:szCs w:val="24"/>
                <w:lang w:val="en-US" w:eastAsia="zh-CN"/>
              </w:rPr>
              <w:t>沉淀</w:t>
            </w:r>
            <w:r>
              <w:rPr>
                <w:kern w:val="0"/>
                <w:sz w:val="24"/>
                <w:szCs w:val="24"/>
              </w:rPr>
              <w:t>池由本项目</w:t>
            </w:r>
            <w:r>
              <w:rPr>
                <w:rFonts w:hint="eastAsia"/>
                <w:kern w:val="0"/>
                <w:sz w:val="24"/>
                <w:szCs w:val="24"/>
                <w:lang w:val="en-US" w:eastAsia="zh-CN"/>
              </w:rPr>
              <w:t>改造改建</w:t>
            </w:r>
            <w:r>
              <w:rPr>
                <w:kern w:val="0"/>
                <w:sz w:val="24"/>
                <w:szCs w:val="24"/>
              </w:rPr>
              <w:t>，采用20cm厚C30防渗混凝土+5mm</w:t>
            </w:r>
            <w:r>
              <w:rPr>
                <w:sz w:val="24"/>
                <w:szCs w:val="24"/>
              </w:rPr>
              <w:t>水泥基防渗砂浆。油品工艺管线，从新构建油品工艺管线， 根据《石油化工防渗工程技术规范》（GB/T 50934-2013）和《汽车加油加气加氢站技术标准》GB50156-2021）要求，其埋地加油管道应采用双层管道，并配套建设油品工艺管线渗漏监测装置。一般防渗区（</w:t>
            </w:r>
            <w:r>
              <w:rPr>
                <w:rFonts w:hint="eastAsia"/>
                <w:sz w:val="24"/>
                <w:szCs w:val="24"/>
                <w:lang w:eastAsia="zh-CN"/>
              </w:rPr>
              <w:t>化粪池</w:t>
            </w:r>
            <w:r>
              <w:rPr>
                <w:sz w:val="24"/>
                <w:szCs w:val="24"/>
              </w:rPr>
              <w:t>、应急柴油发电机房、自动洗车区等）。</w:t>
            </w:r>
            <w:r>
              <w:rPr>
                <w:rFonts w:hint="eastAsia"/>
                <w:sz w:val="24"/>
                <w:szCs w:val="24"/>
                <w:lang w:eastAsia="zh-CN"/>
              </w:rPr>
              <w:t>化粪池</w:t>
            </w:r>
            <w:r>
              <w:rPr>
                <w:sz w:val="24"/>
                <w:szCs w:val="24"/>
              </w:rPr>
              <w:t>、应急柴油发电机</w:t>
            </w:r>
            <w:r>
              <w:rPr>
                <w:rFonts w:hint="eastAsia"/>
                <w:sz w:val="24"/>
                <w:szCs w:val="24"/>
                <w:lang w:eastAsia="zh-CN"/>
              </w:rPr>
              <w:t>、</w:t>
            </w:r>
            <w:r>
              <w:rPr>
                <w:rFonts w:hint="eastAsia"/>
                <w:sz w:val="24"/>
                <w:szCs w:val="24"/>
                <w:lang w:val="en-US" w:eastAsia="zh-CN"/>
              </w:rPr>
              <w:t>自动洗车区</w:t>
            </w:r>
            <w:r>
              <w:rPr>
                <w:sz w:val="24"/>
                <w:szCs w:val="24"/>
              </w:rPr>
              <w:t>采用采用混凝土防渗结构，混凝土防渗层等级不宜小于P</w:t>
            </w:r>
            <w:r>
              <w:rPr>
                <w:sz w:val="24"/>
                <w:szCs w:val="24"/>
                <w:vertAlign w:val="subscript"/>
              </w:rPr>
              <w:t>10</w:t>
            </w:r>
            <w:r>
              <w:rPr>
                <w:sz w:val="24"/>
                <w:szCs w:val="24"/>
              </w:rPr>
              <w:t>，防渗层渗透系数≤10</w:t>
            </w:r>
            <w:r>
              <w:rPr>
                <w:sz w:val="24"/>
                <w:szCs w:val="24"/>
                <w:vertAlign w:val="superscript"/>
              </w:rPr>
              <w:t>-7</w:t>
            </w:r>
            <w:r>
              <w:rPr>
                <w:sz w:val="24"/>
                <w:szCs w:val="24"/>
              </w:rPr>
              <w:t>cm/s 或与1.5m 厚粘土层等效；</w:t>
            </w:r>
            <w:r>
              <w:rPr>
                <w:rFonts w:hint="eastAsia"/>
                <w:sz w:val="24"/>
                <w:szCs w:val="24"/>
                <w:lang w:eastAsia="zh-CN"/>
              </w:rPr>
              <w:t>化粪池</w:t>
            </w:r>
            <w:r>
              <w:rPr>
                <w:rFonts w:hint="eastAsia"/>
                <w:sz w:val="24"/>
                <w:szCs w:val="24"/>
                <w:lang w:val="en-US" w:eastAsia="zh-CN"/>
              </w:rPr>
              <w:t>由本项目改造新建</w:t>
            </w:r>
            <w:r>
              <w:rPr>
                <w:sz w:val="24"/>
                <w:szCs w:val="24"/>
              </w:rPr>
              <w:t>，采用</w:t>
            </w:r>
            <w:r>
              <w:rPr>
                <w:kern w:val="0"/>
                <w:sz w:val="24"/>
                <w:szCs w:val="24"/>
              </w:rPr>
              <w:t>20cm厚C30防渗混凝土+5mm</w:t>
            </w:r>
            <w:r>
              <w:rPr>
                <w:sz w:val="24"/>
                <w:szCs w:val="24"/>
              </w:rPr>
              <w:t>水泥基防渗砂浆进行防渗；简单防渗区（</w:t>
            </w:r>
            <w:r>
              <w:rPr>
                <w:rFonts w:hint="eastAsia"/>
                <w:sz w:val="24"/>
                <w:szCs w:val="24"/>
                <w:lang w:val="en-US" w:eastAsia="zh-CN"/>
              </w:rPr>
              <w:t>站内</w:t>
            </w:r>
            <w:r>
              <w:rPr>
                <w:sz w:val="24"/>
                <w:szCs w:val="24"/>
              </w:rPr>
              <w:t>道路、站房），采取地面硬化措施。</w:t>
            </w:r>
          </w:p>
          <w:p w14:paraId="4D9A4A9D">
            <w:pPr>
              <w:keepNext w:val="0"/>
              <w:keepLines w:val="0"/>
              <w:pageBreakBefore w:val="0"/>
              <w:widowControl w:val="0"/>
              <w:kinsoku/>
              <w:wordWrap/>
              <w:overflowPunct/>
              <w:bidi w:val="0"/>
              <w:spacing w:line="400" w:lineRule="exact"/>
              <w:textAlignment w:val="auto"/>
              <w:rPr>
                <w:sz w:val="24"/>
                <w:szCs w:val="24"/>
              </w:rPr>
            </w:pPr>
            <w:r>
              <w:rPr>
                <w:rFonts w:hint="eastAsia" w:ascii="宋体" w:hAnsi="宋体" w:cs="宋体"/>
                <w:sz w:val="24"/>
                <w:szCs w:val="24"/>
              </w:rPr>
              <w:t>③</w:t>
            </w:r>
            <w:r>
              <w:rPr>
                <w:sz w:val="24"/>
                <w:szCs w:val="24"/>
              </w:rPr>
              <w:t>建立地下水环境影响跟踪监测制度，设1个地下水跟踪监控井。</w:t>
            </w:r>
          </w:p>
          <w:p w14:paraId="5334A129">
            <w:pPr>
              <w:keepNext w:val="0"/>
              <w:keepLines w:val="0"/>
              <w:pageBreakBefore w:val="0"/>
              <w:widowControl w:val="0"/>
              <w:kinsoku/>
              <w:wordWrap/>
              <w:overflowPunct/>
              <w:bidi w:val="0"/>
              <w:adjustRightInd w:val="0"/>
              <w:snapToGrid w:val="0"/>
              <w:spacing w:line="400" w:lineRule="exact"/>
              <w:textAlignment w:val="auto"/>
              <w:rPr>
                <w:sz w:val="24"/>
                <w:szCs w:val="24"/>
              </w:rPr>
            </w:pPr>
            <w:r>
              <w:rPr>
                <w:rFonts w:hint="eastAsia" w:ascii="宋体" w:hAnsi="宋体" w:cs="宋体"/>
                <w:sz w:val="24"/>
                <w:szCs w:val="24"/>
              </w:rPr>
              <w:t>④</w:t>
            </w:r>
            <w:r>
              <w:rPr>
                <w:sz w:val="24"/>
                <w:szCs w:val="24"/>
              </w:rPr>
              <w:t>制定地下水污染响应应急预案；</w:t>
            </w:r>
          </w:p>
        </w:tc>
      </w:tr>
      <w:tr w14:paraId="3B149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41" w:type="dxa"/>
            <w:vAlign w:val="center"/>
          </w:tcPr>
          <w:p w14:paraId="137FE9AA">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生态保护措施</w:t>
            </w:r>
          </w:p>
        </w:tc>
        <w:tc>
          <w:tcPr>
            <w:tcW w:w="7359" w:type="dxa"/>
            <w:gridSpan w:val="4"/>
            <w:vAlign w:val="center"/>
          </w:tcPr>
          <w:p w14:paraId="2D33E63E">
            <w:pPr>
              <w:keepNext w:val="0"/>
              <w:keepLines w:val="0"/>
              <w:pageBreakBefore w:val="0"/>
              <w:widowControl w:val="0"/>
              <w:kinsoku/>
              <w:wordWrap/>
              <w:overflowPunct/>
              <w:bidi w:val="0"/>
              <w:adjustRightInd w:val="0"/>
              <w:snapToGrid w:val="0"/>
              <w:spacing w:line="400" w:lineRule="exact"/>
              <w:jc w:val="center"/>
              <w:textAlignment w:val="auto"/>
              <w:rPr>
                <w:sz w:val="24"/>
                <w:szCs w:val="24"/>
              </w:rPr>
            </w:pPr>
            <w:r>
              <w:rPr>
                <w:sz w:val="24"/>
                <w:szCs w:val="24"/>
              </w:rPr>
              <w:t>/</w:t>
            </w:r>
          </w:p>
        </w:tc>
      </w:tr>
      <w:tr w14:paraId="68296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41" w:type="dxa"/>
            <w:vAlign w:val="center"/>
          </w:tcPr>
          <w:p w14:paraId="1FEF5ACB">
            <w:pPr>
              <w:keepNext w:val="0"/>
              <w:keepLines w:val="0"/>
              <w:pageBreakBefore w:val="0"/>
              <w:widowControl w:val="0"/>
              <w:kinsoku/>
              <w:wordWrap/>
              <w:overflowPunct/>
              <w:bidi w:val="0"/>
              <w:adjustRightInd w:val="0"/>
              <w:snapToGrid w:val="0"/>
              <w:spacing w:line="400" w:lineRule="exact"/>
              <w:jc w:val="center"/>
              <w:textAlignment w:val="auto"/>
              <w:rPr>
                <w:spacing w:val="-8"/>
                <w:sz w:val="24"/>
                <w:szCs w:val="24"/>
              </w:rPr>
            </w:pPr>
            <w:r>
              <w:rPr>
                <w:spacing w:val="-8"/>
                <w:sz w:val="24"/>
                <w:szCs w:val="24"/>
              </w:rPr>
              <w:t>环境风险</w:t>
            </w:r>
          </w:p>
          <w:p w14:paraId="3C7ADCE9">
            <w:pPr>
              <w:keepNext w:val="0"/>
              <w:keepLines w:val="0"/>
              <w:pageBreakBefore w:val="0"/>
              <w:widowControl w:val="0"/>
              <w:kinsoku/>
              <w:wordWrap/>
              <w:overflowPunct/>
              <w:bidi w:val="0"/>
              <w:adjustRightInd w:val="0"/>
              <w:snapToGrid w:val="0"/>
              <w:spacing w:line="400" w:lineRule="exact"/>
              <w:jc w:val="center"/>
              <w:textAlignment w:val="auto"/>
              <w:rPr>
                <w:spacing w:val="-8"/>
                <w:sz w:val="24"/>
                <w:szCs w:val="24"/>
              </w:rPr>
            </w:pPr>
            <w:r>
              <w:rPr>
                <w:spacing w:val="-8"/>
                <w:sz w:val="24"/>
                <w:szCs w:val="24"/>
              </w:rPr>
              <w:t>防范措施</w:t>
            </w:r>
          </w:p>
        </w:tc>
        <w:tc>
          <w:tcPr>
            <w:tcW w:w="7359" w:type="dxa"/>
            <w:gridSpan w:val="4"/>
            <w:vAlign w:val="center"/>
          </w:tcPr>
          <w:p w14:paraId="5DD4DC50">
            <w:pPr>
              <w:keepNext w:val="0"/>
              <w:keepLines w:val="0"/>
              <w:pageBreakBefore w:val="0"/>
              <w:widowControl w:val="0"/>
              <w:kinsoku/>
              <w:wordWrap/>
              <w:overflowPunct/>
              <w:bidi w:val="0"/>
              <w:spacing w:line="400" w:lineRule="exact"/>
              <w:textAlignment w:val="auto"/>
              <w:rPr>
                <w:sz w:val="24"/>
                <w:szCs w:val="24"/>
              </w:rPr>
            </w:pPr>
            <w:r>
              <w:rPr>
                <w:sz w:val="24"/>
                <w:szCs w:val="24"/>
              </w:rPr>
              <w:t>1、站内主要设施之间的防火间距应符合《汽车加油加气加氢站技术标准》GB50156-2021）、《建筑设计防火规范》（GB50016-2014</w:t>
            </w:r>
            <w:r>
              <w:rPr>
                <w:rFonts w:hint="eastAsia"/>
                <w:sz w:val="24"/>
                <w:szCs w:val="24"/>
                <w:lang w:eastAsia="zh-CN"/>
              </w:rPr>
              <w:t>）（</w:t>
            </w:r>
            <w:r>
              <w:rPr>
                <w:sz w:val="24"/>
                <w:szCs w:val="24"/>
              </w:rPr>
              <w:t>2018版）的相关要求。</w:t>
            </w:r>
          </w:p>
          <w:p w14:paraId="40BB20AB">
            <w:pPr>
              <w:keepNext w:val="0"/>
              <w:keepLines w:val="0"/>
              <w:pageBreakBefore w:val="0"/>
              <w:widowControl w:val="0"/>
              <w:kinsoku/>
              <w:wordWrap/>
              <w:overflowPunct/>
              <w:bidi w:val="0"/>
              <w:spacing w:line="400" w:lineRule="exact"/>
              <w:textAlignment w:val="auto"/>
              <w:rPr>
                <w:sz w:val="24"/>
                <w:szCs w:val="24"/>
              </w:rPr>
            </w:pPr>
            <w:r>
              <w:rPr>
                <w:sz w:val="24"/>
                <w:szCs w:val="24"/>
              </w:rPr>
              <w:t>2、储油罐应符合《储罐区防火设计规范》的有关规范，建立安全作业操作规程，设置液位、温度、渗漏等探测系统，并与报警设施连接。</w:t>
            </w:r>
          </w:p>
          <w:p w14:paraId="76B53789">
            <w:pPr>
              <w:keepNext w:val="0"/>
              <w:keepLines w:val="0"/>
              <w:pageBreakBefore w:val="0"/>
              <w:widowControl w:val="0"/>
              <w:kinsoku/>
              <w:wordWrap/>
              <w:overflowPunct/>
              <w:bidi w:val="0"/>
              <w:spacing w:line="400" w:lineRule="exact"/>
              <w:textAlignment w:val="auto"/>
              <w:rPr>
                <w:sz w:val="24"/>
                <w:szCs w:val="24"/>
              </w:rPr>
            </w:pPr>
            <w:r>
              <w:rPr>
                <w:sz w:val="24"/>
                <w:szCs w:val="24"/>
              </w:rPr>
              <w:t>3、储油罐及工艺管线应配备建设防渗漏检测系统，设置切断油品、气源的切断阀。加油（卸油）枪软管上应设安全拉断阀，软管的长度不应大于6m。</w:t>
            </w:r>
          </w:p>
          <w:p w14:paraId="2169EA15">
            <w:pPr>
              <w:keepNext w:val="0"/>
              <w:keepLines w:val="0"/>
              <w:pageBreakBefore w:val="0"/>
              <w:widowControl w:val="0"/>
              <w:kinsoku/>
              <w:wordWrap/>
              <w:overflowPunct/>
              <w:bidi w:val="0"/>
              <w:spacing w:line="400" w:lineRule="exact"/>
              <w:textAlignment w:val="auto"/>
              <w:rPr>
                <w:sz w:val="24"/>
                <w:szCs w:val="24"/>
              </w:rPr>
            </w:pPr>
            <w:r>
              <w:rPr>
                <w:sz w:val="24"/>
                <w:szCs w:val="24"/>
              </w:rPr>
              <w:t>4、站内应设置可燃气体检测报警系统。定期对油品储存、输送、零售环节的设备、管道、阀门、法兰盘等进行检修、维护和保养，</w:t>
            </w:r>
          </w:p>
          <w:p w14:paraId="7CD6ABCB">
            <w:pPr>
              <w:keepNext w:val="0"/>
              <w:keepLines w:val="0"/>
              <w:pageBreakBefore w:val="0"/>
              <w:widowControl w:val="0"/>
              <w:kinsoku/>
              <w:wordWrap/>
              <w:overflowPunct/>
              <w:bidi w:val="0"/>
              <w:spacing w:line="400" w:lineRule="exact"/>
              <w:textAlignment w:val="auto"/>
              <w:rPr>
                <w:sz w:val="24"/>
                <w:szCs w:val="24"/>
              </w:rPr>
            </w:pPr>
            <w:r>
              <w:rPr>
                <w:sz w:val="24"/>
                <w:szCs w:val="24"/>
              </w:rPr>
              <w:t>5、配备相应的应急物质，灭火毯、灭火沙子、手提式干粉灭火器、消防砂池和应急水泵、医用急救包、报警装置、消防沙袋等，工作人员定期进行消防、安全技术培训、提高安全防范意识；</w:t>
            </w:r>
          </w:p>
          <w:p w14:paraId="68B5B328">
            <w:pPr>
              <w:keepNext w:val="0"/>
              <w:keepLines w:val="0"/>
              <w:pageBreakBefore w:val="0"/>
              <w:widowControl w:val="0"/>
              <w:kinsoku/>
              <w:wordWrap/>
              <w:overflowPunct/>
              <w:bidi w:val="0"/>
              <w:spacing w:line="400" w:lineRule="exact"/>
              <w:textAlignment w:val="auto"/>
              <w:rPr>
                <w:sz w:val="24"/>
                <w:szCs w:val="24"/>
              </w:rPr>
            </w:pPr>
            <w:r>
              <w:rPr>
                <w:sz w:val="24"/>
                <w:szCs w:val="24"/>
              </w:rPr>
              <w:t>6、分区防渗，重点防渗区（</w:t>
            </w:r>
            <w:r>
              <w:rPr>
                <w:rFonts w:hint="eastAsia"/>
                <w:sz w:val="24"/>
                <w:szCs w:val="24"/>
                <w:lang w:val="en-US" w:eastAsia="zh-CN"/>
              </w:rPr>
              <w:t>埋</w:t>
            </w:r>
            <w:r>
              <w:rPr>
                <w:sz w:val="24"/>
                <w:szCs w:val="24"/>
              </w:rPr>
              <w:t>地油罐、加油区、危险废物</w:t>
            </w:r>
            <w:r>
              <w:rPr>
                <w:rFonts w:hint="eastAsia"/>
                <w:sz w:val="24"/>
                <w:szCs w:val="24"/>
                <w:lang w:val="en-US" w:eastAsia="zh-CN"/>
              </w:rPr>
              <w:t>贮存点</w:t>
            </w:r>
            <w:r>
              <w:rPr>
                <w:sz w:val="24"/>
                <w:szCs w:val="24"/>
              </w:rPr>
              <w:t>、隔油</w:t>
            </w:r>
            <w:r>
              <w:rPr>
                <w:rFonts w:hint="eastAsia"/>
                <w:sz w:val="24"/>
                <w:szCs w:val="24"/>
                <w:lang w:val="en-US" w:eastAsia="zh-CN"/>
              </w:rPr>
              <w:t>沉淀</w:t>
            </w:r>
            <w:r>
              <w:rPr>
                <w:sz w:val="24"/>
                <w:szCs w:val="24"/>
              </w:rPr>
              <w:t>池、卸油区以及工艺管线），其防渗技术要求：等效黏土防渗层Mb≥6.0m，渗透系数k≤1×10</w:t>
            </w:r>
            <w:r>
              <w:rPr>
                <w:sz w:val="24"/>
                <w:szCs w:val="24"/>
                <w:vertAlign w:val="superscript"/>
              </w:rPr>
              <w:t>-</w:t>
            </w:r>
            <w:r>
              <w:rPr>
                <w:rFonts w:hint="eastAsia"/>
                <w:sz w:val="24"/>
                <w:szCs w:val="24"/>
                <w:vertAlign w:val="superscript"/>
                <w:lang w:val="en-US" w:eastAsia="zh-CN"/>
              </w:rPr>
              <w:t>7</w:t>
            </w:r>
            <w:r>
              <w:rPr>
                <w:sz w:val="24"/>
                <w:szCs w:val="24"/>
              </w:rPr>
              <w:t>cm/s，按照GB 18598执行；一般防渗区（</w:t>
            </w:r>
            <w:r>
              <w:rPr>
                <w:rFonts w:hint="eastAsia"/>
                <w:sz w:val="24"/>
                <w:szCs w:val="24"/>
                <w:lang w:eastAsia="zh-CN"/>
              </w:rPr>
              <w:t>化粪池</w:t>
            </w:r>
            <w:r>
              <w:rPr>
                <w:sz w:val="24"/>
                <w:szCs w:val="24"/>
              </w:rPr>
              <w:t>、应急柴油发电机房</w:t>
            </w:r>
            <w:r>
              <w:rPr>
                <w:rFonts w:hint="eastAsia"/>
                <w:sz w:val="24"/>
                <w:szCs w:val="24"/>
                <w:lang w:eastAsia="zh-CN"/>
              </w:rPr>
              <w:t>、</w:t>
            </w:r>
            <w:r>
              <w:rPr>
                <w:rFonts w:hint="eastAsia"/>
                <w:sz w:val="24"/>
                <w:szCs w:val="24"/>
                <w:lang w:val="en-US" w:eastAsia="zh-CN"/>
              </w:rPr>
              <w:t>自动洗车区</w:t>
            </w:r>
            <w:r>
              <w:rPr>
                <w:sz w:val="24"/>
                <w:szCs w:val="24"/>
              </w:rPr>
              <w:t>等），防渗层渗透系数≤10</w:t>
            </w:r>
            <w:r>
              <w:rPr>
                <w:sz w:val="24"/>
                <w:szCs w:val="24"/>
                <w:vertAlign w:val="superscript"/>
              </w:rPr>
              <w:t>-7</w:t>
            </w:r>
            <w:r>
              <w:rPr>
                <w:sz w:val="24"/>
                <w:szCs w:val="24"/>
              </w:rPr>
              <w:t>cm/s 或与1.5m 厚粘土层等效；简单防渗区（</w:t>
            </w:r>
            <w:r>
              <w:rPr>
                <w:rFonts w:hint="eastAsia"/>
                <w:sz w:val="24"/>
                <w:szCs w:val="24"/>
                <w:lang w:val="en-US" w:eastAsia="zh-CN"/>
              </w:rPr>
              <w:t>厂内</w:t>
            </w:r>
            <w:r>
              <w:rPr>
                <w:sz w:val="24"/>
                <w:szCs w:val="24"/>
              </w:rPr>
              <w:t>道路、站房），地面应硬化；</w:t>
            </w:r>
          </w:p>
          <w:p w14:paraId="5D23B039">
            <w:pPr>
              <w:keepNext w:val="0"/>
              <w:keepLines w:val="0"/>
              <w:pageBreakBefore w:val="0"/>
              <w:widowControl w:val="0"/>
              <w:kinsoku/>
              <w:wordWrap/>
              <w:overflowPunct/>
              <w:bidi w:val="0"/>
              <w:spacing w:line="400" w:lineRule="exact"/>
              <w:textAlignment w:val="auto"/>
              <w:rPr>
                <w:sz w:val="24"/>
                <w:szCs w:val="24"/>
              </w:rPr>
            </w:pPr>
            <w:r>
              <w:rPr>
                <w:sz w:val="24"/>
                <w:szCs w:val="24"/>
              </w:rPr>
              <w:t>7、加油区、卸油区地面均应设置地面截污沟，并导流至隔油</w:t>
            </w:r>
            <w:r>
              <w:rPr>
                <w:rFonts w:hint="eastAsia"/>
                <w:sz w:val="24"/>
                <w:szCs w:val="24"/>
                <w:lang w:val="en-US" w:eastAsia="zh-CN"/>
              </w:rPr>
              <w:t>沉淀</w:t>
            </w:r>
            <w:r>
              <w:rPr>
                <w:sz w:val="24"/>
                <w:szCs w:val="24"/>
              </w:rPr>
              <w:t>池；</w:t>
            </w:r>
          </w:p>
          <w:p w14:paraId="2381C385">
            <w:pPr>
              <w:keepNext w:val="0"/>
              <w:keepLines w:val="0"/>
              <w:pageBreakBefore w:val="0"/>
              <w:widowControl w:val="0"/>
              <w:kinsoku/>
              <w:wordWrap/>
              <w:overflowPunct/>
              <w:bidi w:val="0"/>
              <w:spacing w:line="400" w:lineRule="exact"/>
              <w:textAlignment w:val="auto"/>
              <w:rPr>
                <w:sz w:val="24"/>
                <w:szCs w:val="24"/>
              </w:rPr>
            </w:pPr>
            <w:r>
              <w:rPr>
                <w:sz w:val="24"/>
                <w:szCs w:val="24"/>
              </w:rPr>
              <w:t>8、应按照规范要求备足灭火器材及消防沙、消防沙袋等应急物质；建立、完善安全管理制度、设置安全标识、规范安全操作；</w:t>
            </w:r>
          </w:p>
          <w:p w14:paraId="01D00057">
            <w:pPr>
              <w:keepNext w:val="0"/>
              <w:keepLines w:val="0"/>
              <w:pageBreakBefore w:val="0"/>
              <w:widowControl w:val="0"/>
              <w:kinsoku/>
              <w:wordWrap/>
              <w:overflowPunct/>
              <w:bidi w:val="0"/>
              <w:adjustRightInd w:val="0"/>
              <w:snapToGrid w:val="0"/>
              <w:spacing w:line="400" w:lineRule="exact"/>
              <w:textAlignment w:val="auto"/>
              <w:rPr>
                <w:sz w:val="24"/>
                <w:szCs w:val="24"/>
              </w:rPr>
            </w:pPr>
            <w:r>
              <w:rPr>
                <w:sz w:val="24"/>
                <w:szCs w:val="24"/>
              </w:rPr>
              <w:t>9、应组织更新修订应急预案，定期进行应急演练；</w:t>
            </w:r>
          </w:p>
        </w:tc>
      </w:tr>
      <w:tr w14:paraId="7D11D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41" w:type="dxa"/>
            <w:vAlign w:val="center"/>
          </w:tcPr>
          <w:p w14:paraId="1883B959">
            <w:pPr>
              <w:keepNext w:val="0"/>
              <w:keepLines w:val="0"/>
              <w:pageBreakBefore w:val="0"/>
              <w:widowControl w:val="0"/>
              <w:kinsoku/>
              <w:wordWrap/>
              <w:overflowPunct/>
              <w:bidi w:val="0"/>
              <w:adjustRightInd w:val="0"/>
              <w:snapToGrid w:val="0"/>
              <w:spacing w:line="400" w:lineRule="exact"/>
              <w:jc w:val="center"/>
              <w:textAlignment w:val="auto"/>
              <w:rPr>
                <w:spacing w:val="-8"/>
                <w:sz w:val="24"/>
                <w:szCs w:val="24"/>
              </w:rPr>
            </w:pPr>
            <w:r>
              <w:rPr>
                <w:spacing w:val="-8"/>
                <w:sz w:val="24"/>
                <w:szCs w:val="24"/>
              </w:rPr>
              <w:t>其他环境</w:t>
            </w:r>
          </w:p>
          <w:p w14:paraId="106A4ACD">
            <w:pPr>
              <w:keepNext w:val="0"/>
              <w:keepLines w:val="0"/>
              <w:pageBreakBefore w:val="0"/>
              <w:widowControl w:val="0"/>
              <w:kinsoku/>
              <w:wordWrap/>
              <w:overflowPunct/>
              <w:bidi w:val="0"/>
              <w:adjustRightInd w:val="0"/>
              <w:snapToGrid w:val="0"/>
              <w:spacing w:line="400" w:lineRule="exact"/>
              <w:jc w:val="center"/>
              <w:textAlignment w:val="auto"/>
              <w:rPr>
                <w:spacing w:val="-8"/>
                <w:sz w:val="24"/>
                <w:szCs w:val="24"/>
              </w:rPr>
            </w:pPr>
            <w:r>
              <w:rPr>
                <w:spacing w:val="-8"/>
                <w:sz w:val="24"/>
                <w:szCs w:val="24"/>
              </w:rPr>
              <w:t>管理要求</w:t>
            </w:r>
          </w:p>
        </w:tc>
        <w:tc>
          <w:tcPr>
            <w:tcW w:w="7359" w:type="dxa"/>
            <w:gridSpan w:val="4"/>
            <w:vAlign w:val="center"/>
          </w:tcPr>
          <w:p w14:paraId="45B0AB75">
            <w:pPr>
              <w:keepNext w:val="0"/>
              <w:keepLines w:val="0"/>
              <w:pageBreakBefore w:val="0"/>
              <w:widowControl w:val="0"/>
              <w:kinsoku/>
              <w:wordWrap/>
              <w:overflowPunct/>
              <w:bidi w:val="0"/>
              <w:adjustRightInd w:val="0"/>
              <w:snapToGrid w:val="0"/>
              <w:spacing w:line="400" w:lineRule="exact"/>
              <w:textAlignment w:val="auto"/>
              <w:rPr>
                <w:rFonts w:hint="eastAsia"/>
                <w:sz w:val="24"/>
                <w:szCs w:val="24"/>
                <w:lang w:eastAsia="zh-CN"/>
              </w:rPr>
            </w:pPr>
            <w:r>
              <w:rPr>
                <w:sz w:val="24"/>
                <w:szCs w:val="24"/>
              </w:rPr>
              <w:t>建立安全生产规章制度和措施，制定安全管理制度、岗位安全操作规程和作业安全规程，环保手续齐全，建立环境管理制度，加强管理</w:t>
            </w:r>
            <w:r>
              <w:rPr>
                <w:rFonts w:hint="eastAsia"/>
                <w:sz w:val="24"/>
                <w:szCs w:val="24"/>
                <w:lang w:eastAsia="zh-CN"/>
              </w:rPr>
              <w:t>，制定应急演练计划；执行“三同时”制度并达到相关环保要求；</w:t>
            </w:r>
          </w:p>
          <w:p w14:paraId="0AB3E1E2">
            <w:pPr>
              <w:keepNext w:val="0"/>
              <w:keepLines w:val="0"/>
              <w:pageBreakBefore w:val="0"/>
              <w:widowControl w:val="0"/>
              <w:kinsoku/>
              <w:wordWrap/>
              <w:overflowPunct/>
              <w:bidi w:val="0"/>
              <w:adjustRightInd w:val="0"/>
              <w:snapToGrid w:val="0"/>
              <w:spacing w:line="400" w:lineRule="exact"/>
              <w:textAlignment w:val="auto"/>
              <w:rPr>
                <w:rFonts w:hint="eastAsia" w:eastAsia="宋体"/>
                <w:sz w:val="24"/>
                <w:szCs w:val="24"/>
                <w:lang w:eastAsia="zh-CN"/>
              </w:rPr>
            </w:pPr>
            <w:r>
              <w:rPr>
                <w:rFonts w:hint="eastAsia"/>
                <w:sz w:val="24"/>
                <w:szCs w:val="24"/>
                <w:lang w:eastAsia="zh-CN"/>
              </w:rPr>
              <w:t>项目竣工后按要求申报排污许可证，进行环保竣工验收。</w:t>
            </w:r>
          </w:p>
        </w:tc>
      </w:tr>
    </w:tbl>
    <w:p w14:paraId="55814DE0">
      <w:pPr>
        <w:jc w:val="center"/>
        <w:outlineLvl w:val="0"/>
        <w:rPr>
          <w:rFonts w:eastAsia="黑体"/>
          <w:snapToGrid w:val="0"/>
          <w:sz w:val="30"/>
          <w:szCs w:val="30"/>
        </w:rPr>
      </w:pPr>
      <w:r>
        <w:rPr>
          <w:snapToGrid w:val="0"/>
        </w:rPr>
        <w:br w:type="page"/>
      </w:r>
      <w:r>
        <w:rPr>
          <w:rFonts w:eastAsia="黑体"/>
          <w:snapToGrid w:val="0"/>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D3E6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957ED7B">
            <w:pPr>
              <w:snapToGrid w:val="0"/>
              <w:spacing w:line="480" w:lineRule="exact"/>
              <w:ind w:firstLine="520" w:firstLineChars="200"/>
              <w:rPr>
                <w:sz w:val="24"/>
              </w:rPr>
            </w:pPr>
            <w:r>
              <w:rPr>
                <w:rFonts w:hint="eastAsia"/>
                <w:bCs/>
                <w:sz w:val="26"/>
                <w:szCs w:val="26"/>
              </w:rPr>
              <w:t>拟建项目符合国家产业政策，行业准入条件及相关环保政策等要求，满足</w:t>
            </w:r>
            <w:r>
              <w:rPr>
                <w:rFonts w:hint="eastAsia"/>
                <w:bCs/>
                <w:sz w:val="26"/>
                <w:szCs w:val="26"/>
                <w:lang w:val="en-US" w:eastAsia="zh-CN"/>
              </w:rPr>
              <w:t>重庆市九龙坡</w:t>
            </w:r>
            <w:r>
              <w:rPr>
                <w:rFonts w:hint="eastAsia"/>
                <w:bCs/>
                <w:sz w:val="26"/>
                <w:szCs w:val="26"/>
              </w:rPr>
              <w:t>区“三线一单”生态环境分区管控要求。项目所在区域环境现状质量不会制约项目的建设和运营。在实施相应的污染防治措施和风险防范措施后，可实现污染物达标排放，环境风险可控，对环境的影响可接受。从环境保护角度分析，项目建设环境影响可行。</w:t>
            </w:r>
          </w:p>
        </w:tc>
      </w:tr>
    </w:tbl>
    <w:p w14:paraId="0E105944">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43D508F">
      <w:pPr>
        <w:adjustRightInd w:val="0"/>
        <w:snapToGrid w:val="0"/>
        <w:spacing w:line="648" w:lineRule="auto"/>
        <w:outlineLvl w:val="0"/>
        <w:rPr>
          <w:rFonts w:eastAsia="黑体"/>
          <w:snapToGrid w:val="0"/>
          <w:sz w:val="32"/>
          <w:szCs w:val="32"/>
        </w:rPr>
      </w:pPr>
      <w:r>
        <w:rPr>
          <w:rFonts w:eastAsia="黑体"/>
          <w:snapToGrid w:val="0"/>
          <w:sz w:val="32"/>
          <w:szCs w:val="32"/>
        </w:rPr>
        <w:t>附表</w:t>
      </w:r>
    </w:p>
    <w:p w14:paraId="5F484308">
      <w:pPr>
        <w:adjustRightInd w:val="0"/>
        <w:snapToGrid w:val="0"/>
        <w:spacing w:line="360" w:lineRule="auto"/>
        <w:jc w:val="center"/>
        <w:outlineLvl w:val="0"/>
        <w:rPr>
          <w:rFonts w:eastAsia="方正小标宋_GBK"/>
          <w:snapToGrid w:val="0"/>
          <w:sz w:val="38"/>
          <w:szCs w:val="38"/>
        </w:rPr>
      </w:pPr>
      <w:r>
        <w:rPr>
          <w:rFonts w:eastAsia="方正小标宋_GBK"/>
          <w:snapToGrid w:val="0"/>
          <w:sz w:val="38"/>
          <w:szCs w:val="38"/>
        </w:rPr>
        <w:t>建设项目污染物排放量汇总表</w:t>
      </w:r>
    </w:p>
    <w:tbl>
      <w:tblPr>
        <w:tblStyle w:val="1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745"/>
        <w:gridCol w:w="1040"/>
      </w:tblGrid>
      <w:tr w14:paraId="48BA9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tcBorders>
              <w:tl2br w:val="single" w:color="auto" w:sz="4" w:space="0"/>
            </w:tcBorders>
            <w:tcMar>
              <w:left w:w="28" w:type="dxa"/>
              <w:right w:w="28" w:type="dxa"/>
            </w:tcMar>
            <w:vAlign w:val="center"/>
          </w:tcPr>
          <w:p w14:paraId="724075E0">
            <w:pPr>
              <w:pStyle w:val="57"/>
              <w:jc w:val="right"/>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项目</w:t>
            </w:r>
          </w:p>
          <w:p w14:paraId="2DF708C3">
            <w:pPr>
              <w:pStyle w:val="57"/>
              <w:jc w:val="left"/>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分类</w:t>
            </w:r>
          </w:p>
        </w:tc>
        <w:tc>
          <w:tcPr>
            <w:tcW w:w="1701" w:type="dxa"/>
            <w:tcMar>
              <w:left w:w="28" w:type="dxa"/>
              <w:right w:w="28" w:type="dxa"/>
            </w:tcMar>
            <w:vAlign w:val="center"/>
          </w:tcPr>
          <w:p w14:paraId="7917FA60">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污染物名称</w:t>
            </w:r>
          </w:p>
        </w:tc>
        <w:tc>
          <w:tcPr>
            <w:tcW w:w="1701" w:type="dxa"/>
            <w:tcMar>
              <w:left w:w="28" w:type="dxa"/>
              <w:right w:w="28" w:type="dxa"/>
            </w:tcMar>
            <w:vAlign w:val="center"/>
          </w:tcPr>
          <w:p w14:paraId="27ED3767">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现有工程</w:t>
            </w:r>
          </w:p>
          <w:p w14:paraId="52732E14">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排放量（固体废物产生量）</w:t>
            </w:r>
            <w:r>
              <w:rPr>
                <w:rFonts w:ascii="黑体" w:hAnsi="黑体" w:eastAsia="黑体"/>
                <w:snapToGrid w:val="0"/>
                <w:spacing w:val="-6"/>
                <w:kern w:val="21"/>
                <w:sz w:val="24"/>
                <w:szCs w:val="24"/>
              </w:rPr>
              <w:fldChar w:fldCharType="begin"/>
            </w:r>
            <w:r>
              <w:rPr>
                <w:rFonts w:ascii="黑体" w:hAnsi="黑体" w:eastAsia="黑体"/>
                <w:snapToGrid w:val="0"/>
                <w:spacing w:val="-6"/>
                <w:kern w:val="21"/>
                <w:sz w:val="24"/>
                <w:szCs w:val="24"/>
              </w:rPr>
              <w:instrText xml:space="preserve"> = 1 \* GB3 \* MERGEFORMAT </w:instrText>
            </w:r>
            <w:r>
              <w:rPr>
                <w:rFonts w:ascii="黑体" w:hAnsi="黑体" w:eastAsia="黑体"/>
                <w:snapToGrid w:val="0"/>
                <w:spacing w:val="-6"/>
                <w:kern w:val="21"/>
                <w:sz w:val="24"/>
                <w:szCs w:val="24"/>
              </w:rPr>
              <w:fldChar w:fldCharType="separate"/>
            </w:r>
            <w:r>
              <w:rPr>
                <w:rFonts w:ascii="黑体" w:hAnsi="黑体" w:eastAsia="黑体"/>
                <w:sz w:val="24"/>
                <w:szCs w:val="24"/>
              </w:rPr>
              <w:t>①</w:t>
            </w:r>
            <w:r>
              <w:rPr>
                <w:rFonts w:ascii="黑体" w:hAnsi="黑体" w:eastAsia="黑体"/>
                <w:snapToGrid w:val="0"/>
                <w:spacing w:val="-6"/>
                <w:kern w:val="21"/>
                <w:sz w:val="24"/>
                <w:szCs w:val="24"/>
              </w:rPr>
              <w:fldChar w:fldCharType="end"/>
            </w:r>
          </w:p>
        </w:tc>
        <w:tc>
          <w:tcPr>
            <w:tcW w:w="1276" w:type="dxa"/>
            <w:tcMar>
              <w:left w:w="28" w:type="dxa"/>
              <w:right w:w="28" w:type="dxa"/>
            </w:tcMar>
            <w:vAlign w:val="center"/>
          </w:tcPr>
          <w:p w14:paraId="27BB8FEE">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现有工程</w:t>
            </w:r>
          </w:p>
          <w:p w14:paraId="618D6F0E">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许可排放量</w:t>
            </w:r>
          </w:p>
          <w:p w14:paraId="09EA64E0">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fldChar w:fldCharType="begin"/>
            </w:r>
            <w:r>
              <w:rPr>
                <w:rFonts w:ascii="黑体" w:hAnsi="黑体" w:eastAsia="黑体"/>
                <w:snapToGrid w:val="0"/>
                <w:spacing w:val="-6"/>
                <w:kern w:val="21"/>
                <w:sz w:val="24"/>
                <w:szCs w:val="24"/>
              </w:rPr>
              <w:instrText xml:space="preserve"> = 2 \* GB3 \* MERGEFORMAT </w:instrText>
            </w:r>
            <w:r>
              <w:rPr>
                <w:rFonts w:ascii="黑体" w:hAnsi="黑体" w:eastAsia="黑体"/>
                <w:snapToGrid w:val="0"/>
                <w:spacing w:val="-6"/>
                <w:kern w:val="21"/>
                <w:sz w:val="24"/>
                <w:szCs w:val="24"/>
              </w:rPr>
              <w:fldChar w:fldCharType="separate"/>
            </w:r>
            <w:r>
              <w:rPr>
                <w:rFonts w:ascii="黑体" w:hAnsi="黑体" w:eastAsia="黑体"/>
                <w:snapToGrid w:val="0"/>
                <w:spacing w:val="-6"/>
                <w:kern w:val="21"/>
                <w:sz w:val="24"/>
                <w:szCs w:val="24"/>
              </w:rPr>
              <w:t>②</w:t>
            </w:r>
            <w:r>
              <w:rPr>
                <w:rFonts w:ascii="黑体" w:hAnsi="黑体" w:eastAsia="黑体"/>
                <w:snapToGrid w:val="0"/>
                <w:spacing w:val="-6"/>
                <w:kern w:val="21"/>
                <w:sz w:val="24"/>
                <w:szCs w:val="24"/>
              </w:rPr>
              <w:fldChar w:fldCharType="end"/>
            </w:r>
          </w:p>
        </w:tc>
        <w:tc>
          <w:tcPr>
            <w:tcW w:w="1701" w:type="dxa"/>
            <w:tcMar>
              <w:left w:w="28" w:type="dxa"/>
              <w:right w:w="28" w:type="dxa"/>
            </w:tcMar>
            <w:vAlign w:val="center"/>
          </w:tcPr>
          <w:p w14:paraId="002C915D">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在建工程</w:t>
            </w:r>
          </w:p>
          <w:p w14:paraId="48D141CD">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排放量（固体废物产生量）</w:t>
            </w:r>
            <w:r>
              <w:rPr>
                <w:rFonts w:ascii="黑体" w:hAnsi="黑体" w:eastAsia="黑体"/>
                <w:snapToGrid w:val="0"/>
                <w:spacing w:val="-6"/>
                <w:kern w:val="21"/>
                <w:sz w:val="24"/>
                <w:szCs w:val="24"/>
              </w:rPr>
              <w:fldChar w:fldCharType="begin"/>
            </w:r>
            <w:r>
              <w:rPr>
                <w:rFonts w:ascii="黑体" w:hAnsi="黑体" w:eastAsia="黑体"/>
                <w:snapToGrid w:val="0"/>
                <w:spacing w:val="-6"/>
                <w:kern w:val="21"/>
                <w:sz w:val="24"/>
                <w:szCs w:val="24"/>
              </w:rPr>
              <w:instrText xml:space="preserve"> = 3 \* GB3 \* MERGEFORMAT </w:instrText>
            </w:r>
            <w:r>
              <w:rPr>
                <w:rFonts w:ascii="黑体" w:hAnsi="黑体" w:eastAsia="黑体"/>
                <w:snapToGrid w:val="0"/>
                <w:spacing w:val="-6"/>
                <w:kern w:val="21"/>
                <w:sz w:val="24"/>
                <w:szCs w:val="24"/>
              </w:rPr>
              <w:fldChar w:fldCharType="separate"/>
            </w:r>
            <w:r>
              <w:rPr>
                <w:rFonts w:ascii="黑体" w:hAnsi="黑体" w:eastAsia="黑体"/>
                <w:sz w:val="24"/>
                <w:szCs w:val="24"/>
              </w:rPr>
              <w:t>③</w:t>
            </w:r>
            <w:r>
              <w:rPr>
                <w:rFonts w:ascii="黑体" w:hAnsi="黑体" w:eastAsia="黑体"/>
                <w:snapToGrid w:val="0"/>
                <w:spacing w:val="-6"/>
                <w:kern w:val="21"/>
                <w:sz w:val="24"/>
                <w:szCs w:val="24"/>
              </w:rPr>
              <w:fldChar w:fldCharType="end"/>
            </w:r>
          </w:p>
        </w:tc>
        <w:tc>
          <w:tcPr>
            <w:tcW w:w="1559" w:type="dxa"/>
            <w:tcMar>
              <w:left w:w="28" w:type="dxa"/>
              <w:right w:w="28" w:type="dxa"/>
            </w:tcMar>
            <w:vAlign w:val="center"/>
          </w:tcPr>
          <w:p w14:paraId="1ED624FA">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本项目</w:t>
            </w:r>
          </w:p>
          <w:p w14:paraId="185541F8">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排放量（固体废物产生量）</w:t>
            </w:r>
            <w:r>
              <w:rPr>
                <w:rFonts w:ascii="黑体" w:hAnsi="黑体" w:eastAsia="黑体"/>
                <w:snapToGrid w:val="0"/>
                <w:spacing w:val="-6"/>
                <w:kern w:val="21"/>
                <w:sz w:val="24"/>
                <w:szCs w:val="24"/>
              </w:rPr>
              <w:fldChar w:fldCharType="begin"/>
            </w:r>
            <w:r>
              <w:rPr>
                <w:rFonts w:ascii="黑体" w:hAnsi="黑体" w:eastAsia="黑体"/>
                <w:snapToGrid w:val="0"/>
                <w:spacing w:val="-6"/>
                <w:kern w:val="21"/>
                <w:sz w:val="24"/>
                <w:szCs w:val="24"/>
              </w:rPr>
              <w:instrText xml:space="preserve"> = 4 \* GB3 \* MERGEFORMAT </w:instrText>
            </w:r>
            <w:r>
              <w:rPr>
                <w:rFonts w:ascii="黑体" w:hAnsi="黑体" w:eastAsia="黑体"/>
                <w:snapToGrid w:val="0"/>
                <w:spacing w:val="-6"/>
                <w:kern w:val="21"/>
                <w:sz w:val="24"/>
                <w:szCs w:val="24"/>
              </w:rPr>
              <w:fldChar w:fldCharType="separate"/>
            </w:r>
            <w:r>
              <w:rPr>
                <w:rFonts w:ascii="黑体" w:hAnsi="黑体" w:eastAsia="黑体"/>
                <w:sz w:val="24"/>
                <w:szCs w:val="24"/>
              </w:rPr>
              <w:t>④</w:t>
            </w:r>
            <w:r>
              <w:rPr>
                <w:rFonts w:ascii="黑体" w:hAnsi="黑体" w:eastAsia="黑体"/>
                <w:snapToGrid w:val="0"/>
                <w:spacing w:val="-6"/>
                <w:kern w:val="21"/>
                <w:sz w:val="24"/>
                <w:szCs w:val="24"/>
              </w:rPr>
              <w:fldChar w:fldCharType="end"/>
            </w:r>
          </w:p>
        </w:tc>
        <w:tc>
          <w:tcPr>
            <w:tcW w:w="1761" w:type="dxa"/>
            <w:tcMar>
              <w:left w:w="28" w:type="dxa"/>
              <w:right w:w="28" w:type="dxa"/>
            </w:tcMar>
            <w:vAlign w:val="center"/>
          </w:tcPr>
          <w:p w14:paraId="19D094F2">
            <w:pPr>
              <w:pStyle w:val="57"/>
              <w:jc w:val="center"/>
              <w:rPr>
                <w:rFonts w:hint="eastAsia" w:ascii="黑体" w:hAnsi="黑体" w:eastAsia="黑体"/>
                <w:snapToGrid w:val="0"/>
                <w:spacing w:val="-16"/>
                <w:kern w:val="21"/>
                <w:sz w:val="24"/>
                <w:szCs w:val="24"/>
              </w:rPr>
            </w:pPr>
            <w:r>
              <w:rPr>
                <w:rFonts w:ascii="黑体" w:hAnsi="黑体" w:eastAsia="黑体"/>
                <w:snapToGrid w:val="0"/>
                <w:spacing w:val="-16"/>
                <w:kern w:val="21"/>
                <w:sz w:val="24"/>
                <w:szCs w:val="24"/>
              </w:rPr>
              <w:t>以新带老削减量</w:t>
            </w:r>
          </w:p>
          <w:p w14:paraId="71EED72F">
            <w:pPr>
              <w:pStyle w:val="57"/>
              <w:jc w:val="center"/>
              <w:rPr>
                <w:rFonts w:hint="eastAsia" w:ascii="黑体" w:hAnsi="黑体" w:eastAsia="黑体"/>
                <w:snapToGrid w:val="0"/>
                <w:spacing w:val="-16"/>
                <w:kern w:val="21"/>
                <w:sz w:val="24"/>
                <w:szCs w:val="24"/>
              </w:rPr>
            </w:pPr>
            <w:r>
              <w:rPr>
                <w:rFonts w:ascii="黑体" w:hAnsi="黑体" w:eastAsia="黑体"/>
                <w:snapToGrid w:val="0"/>
                <w:spacing w:val="-16"/>
                <w:kern w:val="21"/>
                <w:sz w:val="24"/>
                <w:szCs w:val="24"/>
              </w:rPr>
              <w:t>（新建项目不填）</w:t>
            </w:r>
            <w:r>
              <w:rPr>
                <w:rFonts w:ascii="黑体" w:hAnsi="黑体" w:eastAsia="黑体"/>
                <w:snapToGrid w:val="0"/>
                <w:spacing w:val="-16"/>
                <w:kern w:val="21"/>
                <w:sz w:val="24"/>
                <w:szCs w:val="24"/>
              </w:rPr>
              <w:fldChar w:fldCharType="begin"/>
            </w:r>
            <w:r>
              <w:rPr>
                <w:rFonts w:ascii="黑体" w:hAnsi="黑体" w:eastAsia="黑体"/>
                <w:snapToGrid w:val="0"/>
                <w:spacing w:val="-16"/>
                <w:kern w:val="21"/>
                <w:sz w:val="24"/>
                <w:szCs w:val="24"/>
              </w:rPr>
              <w:instrText xml:space="preserve"> = 5 \* GB3 \* MERGEFORMAT </w:instrText>
            </w:r>
            <w:r>
              <w:rPr>
                <w:rFonts w:ascii="黑体" w:hAnsi="黑体" w:eastAsia="黑体"/>
                <w:snapToGrid w:val="0"/>
                <w:spacing w:val="-16"/>
                <w:kern w:val="21"/>
                <w:sz w:val="24"/>
                <w:szCs w:val="24"/>
              </w:rPr>
              <w:fldChar w:fldCharType="separate"/>
            </w:r>
            <w:r>
              <w:rPr>
                <w:rFonts w:ascii="黑体" w:hAnsi="黑体" w:eastAsia="黑体"/>
                <w:sz w:val="24"/>
                <w:szCs w:val="24"/>
              </w:rPr>
              <w:t>⑤</w:t>
            </w:r>
            <w:r>
              <w:rPr>
                <w:rFonts w:ascii="黑体" w:hAnsi="黑体" w:eastAsia="黑体"/>
                <w:snapToGrid w:val="0"/>
                <w:spacing w:val="-16"/>
                <w:kern w:val="21"/>
                <w:sz w:val="24"/>
                <w:szCs w:val="24"/>
              </w:rPr>
              <w:fldChar w:fldCharType="end"/>
            </w:r>
          </w:p>
        </w:tc>
        <w:tc>
          <w:tcPr>
            <w:tcW w:w="1745" w:type="dxa"/>
            <w:tcMar>
              <w:left w:w="28" w:type="dxa"/>
              <w:right w:w="28" w:type="dxa"/>
            </w:tcMar>
            <w:vAlign w:val="center"/>
          </w:tcPr>
          <w:p w14:paraId="72C22D04">
            <w:pPr>
              <w:pStyle w:val="57"/>
              <w:jc w:val="center"/>
              <w:rPr>
                <w:rFonts w:hint="eastAsia" w:ascii="黑体" w:hAnsi="黑体" w:eastAsia="黑体"/>
                <w:snapToGrid w:val="0"/>
                <w:spacing w:val="-16"/>
                <w:kern w:val="21"/>
                <w:sz w:val="24"/>
                <w:szCs w:val="24"/>
              </w:rPr>
            </w:pPr>
            <w:r>
              <w:rPr>
                <w:rFonts w:ascii="黑体" w:hAnsi="黑体" w:eastAsia="黑体"/>
                <w:snapToGrid w:val="0"/>
                <w:spacing w:val="-16"/>
                <w:kern w:val="21"/>
                <w:sz w:val="24"/>
                <w:szCs w:val="24"/>
              </w:rPr>
              <w:t>本项目建成后</w:t>
            </w:r>
          </w:p>
          <w:p w14:paraId="1E45F7E7">
            <w:pPr>
              <w:pStyle w:val="57"/>
              <w:jc w:val="center"/>
              <w:rPr>
                <w:rFonts w:hint="eastAsia" w:ascii="黑体" w:hAnsi="黑体" w:eastAsia="黑体"/>
                <w:snapToGrid w:val="0"/>
                <w:spacing w:val="-16"/>
                <w:kern w:val="21"/>
                <w:sz w:val="24"/>
                <w:szCs w:val="24"/>
              </w:rPr>
            </w:pPr>
            <w:r>
              <w:rPr>
                <w:rFonts w:ascii="黑体" w:hAnsi="黑体" w:eastAsia="黑体"/>
                <w:snapToGrid w:val="0"/>
                <w:spacing w:val="-16"/>
                <w:kern w:val="21"/>
                <w:sz w:val="24"/>
                <w:szCs w:val="24"/>
              </w:rPr>
              <w:t>全厂排放量（固体废物产生量）</w:t>
            </w:r>
            <w:r>
              <w:rPr>
                <w:rFonts w:ascii="黑体" w:hAnsi="黑体" w:eastAsia="黑体"/>
                <w:snapToGrid w:val="0"/>
                <w:spacing w:val="-16"/>
                <w:kern w:val="21"/>
                <w:sz w:val="24"/>
                <w:szCs w:val="24"/>
              </w:rPr>
              <w:fldChar w:fldCharType="begin"/>
            </w:r>
            <w:r>
              <w:rPr>
                <w:rFonts w:ascii="黑体" w:hAnsi="黑体" w:eastAsia="黑体"/>
                <w:snapToGrid w:val="0"/>
                <w:spacing w:val="-16"/>
                <w:kern w:val="21"/>
                <w:sz w:val="24"/>
                <w:szCs w:val="24"/>
              </w:rPr>
              <w:instrText xml:space="preserve"> = 6 \* GB3 \* MERGEFORMAT </w:instrText>
            </w:r>
            <w:r>
              <w:rPr>
                <w:rFonts w:ascii="黑体" w:hAnsi="黑体" w:eastAsia="黑体"/>
                <w:snapToGrid w:val="0"/>
                <w:spacing w:val="-16"/>
                <w:kern w:val="21"/>
                <w:sz w:val="24"/>
                <w:szCs w:val="24"/>
              </w:rPr>
              <w:fldChar w:fldCharType="separate"/>
            </w:r>
            <w:r>
              <w:rPr>
                <w:rFonts w:ascii="黑体" w:hAnsi="黑体" w:eastAsia="黑体"/>
                <w:sz w:val="24"/>
                <w:szCs w:val="24"/>
              </w:rPr>
              <w:t>⑥</w:t>
            </w:r>
            <w:r>
              <w:rPr>
                <w:rFonts w:ascii="黑体" w:hAnsi="黑体" w:eastAsia="黑体"/>
                <w:snapToGrid w:val="0"/>
                <w:spacing w:val="-16"/>
                <w:kern w:val="21"/>
                <w:sz w:val="24"/>
                <w:szCs w:val="24"/>
              </w:rPr>
              <w:fldChar w:fldCharType="end"/>
            </w:r>
          </w:p>
        </w:tc>
        <w:tc>
          <w:tcPr>
            <w:tcW w:w="1040" w:type="dxa"/>
            <w:tcMar>
              <w:left w:w="28" w:type="dxa"/>
              <w:right w:w="28" w:type="dxa"/>
            </w:tcMar>
            <w:vAlign w:val="center"/>
          </w:tcPr>
          <w:p w14:paraId="7D441FB9">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t>变化量</w:t>
            </w:r>
          </w:p>
          <w:p w14:paraId="3981EEFF">
            <w:pPr>
              <w:pStyle w:val="57"/>
              <w:jc w:val="center"/>
              <w:rPr>
                <w:rFonts w:hint="eastAsia" w:ascii="黑体" w:hAnsi="黑体" w:eastAsia="黑体"/>
                <w:snapToGrid w:val="0"/>
                <w:spacing w:val="-6"/>
                <w:kern w:val="21"/>
                <w:sz w:val="24"/>
                <w:szCs w:val="24"/>
              </w:rPr>
            </w:pPr>
            <w:r>
              <w:rPr>
                <w:rFonts w:ascii="黑体" w:hAnsi="黑体" w:eastAsia="黑体"/>
                <w:snapToGrid w:val="0"/>
                <w:spacing w:val="-6"/>
                <w:kern w:val="21"/>
                <w:sz w:val="24"/>
                <w:szCs w:val="24"/>
              </w:rPr>
              <w:fldChar w:fldCharType="begin"/>
            </w:r>
            <w:r>
              <w:rPr>
                <w:rFonts w:ascii="黑体" w:hAnsi="黑体" w:eastAsia="黑体"/>
                <w:snapToGrid w:val="0"/>
                <w:spacing w:val="-6"/>
                <w:kern w:val="21"/>
                <w:sz w:val="24"/>
                <w:szCs w:val="24"/>
              </w:rPr>
              <w:instrText xml:space="preserve"> = 7 \* GB3 \* MERGEFORMAT </w:instrText>
            </w:r>
            <w:r>
              <w:rPr>
                <w:rFonts w:ascii="黑体" w:hAnsi="黑体" w:eastAsia="黑体"/>
                <w:snapToGrid w:val="0"/>
                <w:spacing w:val="-6"/>
                <w:kern w:val="21"/>
                <w:sz w:val="24"/>
                <w:szCs w:val="24"/>
              </w:rPr>
              <w:fldChar w:fldCharType="separate"/>
            </w:r>
            <w:r>
              <w:rPr>
                <w:rFonts w:ascii="黑体" w:hAnsi="黑体" w:eastAsia="黑体"/>
                <w:sz w:val="24"/>
                <w:szCs w:val="24"/>
              </w:rPr>
              <w:t>⑦</w:t>
            </w:r>
            <w:r>
              <w:rPr>
                <w:rFonts w:ascii="黑体" w:hAnsi="黑体" w:eastAsia="黑体"/>
                <w:snapToGrid w:val="0"/>
                <w:spacing w:val="-6"/>
                <w:kern w:val="21"/>
                <w:sz w:val="24"/>
                <w:szCs w:val="24"/>
              </w:rPr>
              <w:fldChar w:fldCharType="end"/>
            </w:r>
          </w:p>
        </w:tc>
      </w:tr>
      <w:tr w14:paraId="3D4EE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Align w:val="center"/>
          </w:tcPr>
          <w:p w14:paraId="385835E3">
            <w:pPr>
              <w:pStyle w:val="57"/>
              <w:jc w:val="center"/>
              <w:rPr>
                <w:rFonts w:hint="eastAsia" w:ascii="黑体" w:hAnsi="黑体" w:eastAsia="黑体"/>
                <w:snapToGrid w:val="0"/>
                <w:kern w:val="21"/>
                <w:sz w:val="24"/>
                <w:szCs w:val="24"/>
              </w:rPr>
            </w:pPr>
            <w:r>
              <w:rPr>
                <w:rFonts w:ascii="黑体" w:hAnsi="黑体" w:eastAsia="黑体"/>
                <w:snapToGrid w:val="0"/>
                <w:kern w:val="21"/>
                <w:sz w:val="24"/>
                <w:szCs w:val="24"/>
              </w:rPr>
              <w:t>废气</w:t>
            </w:r>
          </w:p>
        </w:tc>
        <w:tc>
          <w:tcPr>
            <w:tcW w:w="1701" w:type="dxa"/>
            <w:vAlign w:val="center"/>
          </w:tcPr>
          <w:p w14:paraId="2B181D5B">
            <w:pPr>
              <w:pStyle w:val="57"/>
              <w:jc w:val="center"/>
              <w:rPr>
                <w:snapToGrid w:val="0"/>
                <w:kern w:val="21"/>
                <w:sz w:val="24"/>
                <w:szCs w:val="24"/>
              </w:rPr>
            </w:pPr>
            <w:r>
              <w:rPr>
                <w:snapToGrid w:val="0"/>
                <w:kern w:val="21"/>
                <w:sz w:val="24"/>
                <w:szCs w:val="24"/>
              </w:rPr>
              <w:t>非甲烷总烃</w:t>
            </w:r>
          </w:p>
        </w:tc>
        <w:tc>
          <w:tcPr>
            <w:tcW w:w="1701" w:type="dxa"/>
            <w:vAlign w:val="center"/>
          </w:tcPr>
          <w:p w14:paraId="572B085F">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1.876</w:t>
            </w:r>
          </w:p>
        </w:tc>
        <w:tc>
          <w:tcPr>
            <w:tcW w:w="1276" w:type="dxa"/>
            <w:vAlign w:val="center"/>
          </w:tcPr>
          <w:p w14:paraId="28ECF5F6">
            <w:pPr>
              <w:pStyle w:val="57"/>
              <w:jc w:val="center"/>
              <w:rPr>
                <w:snapToGrid w:val="0"/>
                <w:kern w:val="21"/>
                <w:sz w:val="24"/>
                <w:szCs w:val="24"/>
              </w:rPr>
            </w:pPr>
            <w:r>
              <w:rPr>
                <w:snapToGrid w:val="0"/>
                <w:kern w:val="21"/>
                <w:sz w:val="24"/>
                <w:szCs w:val="24"/>
              </w:rPr>
              <w:t>/</w:t>
            </w:r>
          </w:p>
        </w:tc>
        <w:tc>
          <w:tcPr>
            <w:tcW w:w="1701" w:type="dxa"/>
            <w:vAlign w:val="center"/>
          </w:tcPr>
          <w:p w14:paraId="25A4A2DB">
            <w:pPr>
              <w:pStyle w:val="57"/>
              <w:jc w:val="center"/>
              <w:rPr>
                <w:snapToGrid w:val="0"/>
                <w:kern w:val="21"/>
                <w:sz w:val="24"/>
                <w:szCs w:val="24"/>
              </w:rPr>
            </w:pPr>
            <w:r>
              <w:rPr>
                <w:snapToGrid w:val="0"/>
                <w:kern w:val="21"/>
                <w:sz w:val="24"/>
                <w:szCs w:val="24"/>
              </w:rPr>
              <w:t>0</w:t>
            </w:r>
          </w:p>
        </w:tc>
        <w:tc>
          <w:tcPr>
            <w:tcW w:w="1559" w:type="dxa"/>
            <w:vAlign w:val="center"/>
          </w:tcPr>
          <w:p w14:paraId="38085FC9">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1.582</w:t>
            </w:r>
          </w:p>
        </w:tc>
        <w:tc>
          <w:tcPr>
            <w:tcW w:w="1761" w:type="dxa"/>
            <w:vAlign w:val="center"/>
          </w:tcPr>
          <w:p w14:paraId="344F6CA6">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1.876</w:t>
            </w:r>
          </w:p>
        </w:tc>
        <w:tc>
          <w:tcPr>
            <w:tcW w:w="1745" w:type="dxa"/>
            <w:vAlign w:val="center"/>
          </w:tcPr>
          <w:p w14:paraId="6607F2D8">
            <w:pPr>
              <w:pStyle w:val="57"/>
              <w:jc w:val="center"/>
              <w:rPr>
                <w:rFonts w:hint="default" w:eastAsia="宋体"/>
                <w:snapToGrid w:val="0"/>
                <w:kern w:val="21"/>
                <w:sz w:val="24"/>
                <w:szCs w:val="24"/>
                <w:highlight w:val="none"/>
                <w:lang w:val="en-US" w:eastAsia="zh-CN"/>
              </w:rPr>
            </w:pPr>
            <w:r>
              <w:rPr>
                <w:rFonts w:hint="eastAsia"/>
                <w:snapToGrid w:val="0"/>
                <w:kern w:val="21"/>
                <w:sz w:val="24"/>
                <w:szCs w:val="24"/>
                <w:highlight w:val="none"/>
                <w:lang w:val="en-US" w:eastAsia="zh-CN"/>
              </w:rPr>
              <w:t>1.582</w:t>
            </w:r>
          </w:p>
        </w:tc>
        <w:tc>
          <w:tcPr>
            <w:tcW w:w="1040" w:type="dxa"/>
            <w:vAlign w:val="center"/>
          </w:tcPr>
          <w:p w14:paraId="59FC40CD">
            <w:pPr>
              <w:pStyle w:val="57"/>
              <w:jc w:val="center"/>
              <w:rPr>
                <w:rFonts w:hint="default" w:eastAsia="宋体"/>
                <w:snapToGrid w:val="0"/>
                <w:kern w:val="21"/>
                <w:sz w:val="24"/>
                <w:szCs w:val="24"/>
                <w:highlight w:val="none"/>
                <w:lang w:val="en-US" w:eastAsia="zh-CN"/>
              </w:rPr>
            </w:pPr>
            <w:r>
              <w:rPr>
                <w:rFonts w:hint="eastAsia"/>
                <w:snapToGrid w:val="0"/>
                <w:kern w:val="21"/>
                <w:sz w:val="24"/>
                <w:szCs w:val="24"/>
                <w:highlight w:val="none"/>
                <w:lang w:val="en-US" w:eastAsia="zh-CN"/>
              </w:rPr>
              <w:t>-0.294</w:t>
            </w:r>
          </w:p>
        </w:tc>
      </w:tr>
      <w:tr w14:paraId="55798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14:paraId="7A0A0EB5">
            <w:pPr>
              <w:pStyle w:val="57"/>
              <w:jc w:val="center"/>
              <w:rPr>
                <w:rFonts w:hint="eastAsia" w:ascii="黑体" w:hAnsi="黑体" w:eastAsia="黑体"/>
                <w:snapToGrid w:val="0"/>
                <w:kern w:val="21"/>
                <w:sz w:val="24"/>
                <w:szCs w:val="24"/>
              </w:rPr>
            </w:pPr>
            <w:r>
              <w:rPr>
                <w:rFonts w:ascii="黑体" w:hAnsi="黑体" w:eastAsia="黑体"/>
                <w:snapToGrid w:val="0"/>
                <w:kern w:val="21"/>
                <w:sz w:val="24"/>
                <w:szCs w:val="24"/>
              </w:rPr>
              <w:t>废水</w:t>
            </w:r>
          </w:p>
        </w:tc>
        <w:tc>
          <w:tcPr>
            <w:tcW w:w="1701" w:type="dxa"/>
            <w:vAlign w:val="center"/>
          </w:tcPr>
          <w:p w14:paraId="6EE32565">
            <w:pPr>
              <w:pStyle w:val="57"/>
              <w:jc w:val="center"/>
              <w:rPr>
                <w:snapToGrid w:val="0"/>
                <w:kern w:val="21"/>
                <w:sz w:val="24"/>
                <w:szCs w:val="24"/>
              </w:rPr>
            </w:pPr>
            <w:r>
              <w:rPr>
                <w:snapToGrid w:val="0"/>
                <w:kern w:val="21"/>
                <w:sz w:val="24"/>
                <w:szCs w:val="24"/>
              </w:rPr>
              <w:t>COD</w:t>
            </w:r>
          </w:p>
        </w:tc>
        <w:tc>
          <w:tcPr>
            <w:tcW w:w="1701" w:type="dxa"/>
            <w:vAlign w:val="center"/>
          </w:tcPr>
          <w:p w14:paraId="1B1E8669">
            <w:pPr>
              <w:pStyle w:val="52"/>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0.052</w:t>
            </w:r>
          </w:p>
        </w:tc>
        <w:tc>
          <w:tcPr>
            <w:tcW w:w="1276" w:type="dxa"/>
            <w:vAlign w:val="center"/>
          </w:tcPr>
          <w:p w14:paraId="7D172137">
            <w:pPr>
              <w:jc w:val="center"/>
              <w:rPr>
                <w:sz w:val="24"/>
                <w:szCs w:val="24"/>
              </w:rPr>
            </w:pPr>
            <w:r>
              <w:rPr>
                <w:snapToGrid w:val="0"/>
                <w:kern w:val="21"/>
                <w:sz w:val="24"/>
                <w:szCs w:val="24"/>
              </w:rPr>
              <w:t>/</w:t>
            </w:r>
          </w:p>
        </w:tc>
        <w:tc>
          <w:tcPr>
            <w:tcW w:w="1701" w:type="dxa"/>
            <w:vAlign w:val="center"/>
          </w:tcPr>
          <w:p w14:paraId="7B622839">
            <w:pPr>
              <w:pStyle w:val="57"/>
              <w:jc w:val="center"/>
              <w:rPr>
                <w:snapToGrid w:val="0"/>
                <w:kern w:val="21"/>
                <w:sz w:val="24"/>
                <w:szCs w:val="24"/>
              </w:rPr>
            </w:pPr>
            <w:r>
              <w:rPr>
                <w:snapToGrid w:val="0"/>
                <w:kern w:val="21"/>
                <w:sz w:val="24"/>
                <w:szCs w:val="24"/>
              </w:rPr>
              <w:t>0</w:t>
            </w:r>
          </w:p>
        </w:tc>
        <w:tc>
          <w:tcPr>
            <w:tcW w:w="1559" w:type="dxa"/>
            <w:vAlign w:val="center"/>
          </w:tcPr>
          <w:p w14:paraId="7FAE0C9D">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0.060</w:t>
            </w:r>
          </w:p>
        </w:tc>
        <w:tc>
          <w:tcPr>
            <w:tcW w:w="1761" w:type="dxa"/>
            <w:vAlign w:val="center"/>
          </w:tcPr>
          <w:p w14:paraId="5326D141">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0.052</w:t>
            </w:r>
          </w:p>
        </w:tc>
        <w:tc>
          <w:tcPr>
            <w:tcW w:w="1745" w:type="dxa"/>
            <w:vAlign w:val="center"/>
          </w:tcPr>
          <w:p w14:paraId="13368BF3">
            <w:pPr>
              <w:pStyle w:val="57"/>
              <w:jc w:val="center"/>
              <w:rPr>
                <w:rFonts w:hint="default"/>
                <w:snapToGrid w:val="0"/>
                <w:kern w:val="21"/>
                <w:sz w:val="24"/>
                <w:szCs w:val="24"/>
                <w:lang w:val="en-US"/>
              </w:rPr>
            </w:pPr>
            <w:r>
              <w:rPr>
                <w:rFonts w:hint="eastAsia"/>
                <w:snapToGrid w:val="0"/>
                <w:kern w:val="21"/>
                <w:sz w:val="24"/>
                <w:szCs w:val="24"/>
                <w:lang w:val="en-US" w:eastAsia="zh-CN"/>
              </w:rPr>
              <w:t>0.060</w:t>
            </w:r>
          </w:p>
        </w:tc>
        <w:tc>
          <w:tcPr>
            <w:tcW w:w="1040" w:type="dxa"/>
            <w:vAlign w:val="center"/>
          </w:tcPr>
          <w:p w14:paraId="2EA39AE2">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+0.008</w:t>
            </w:r>
          </w:p>
        </w:tc>
      </w:tr>
      <w:tr w14:paraId="275BB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3323C625">
            <w:pPr>
              <w:pStyle w:val="57"/>
              <w:jc w:val="center"/>
              <w:rPr>
                <w:rFonts w:hint="eastAsia" w:ascii="黑体" w:hAnsi="黑体" w:eastAsia="黑体"/>
                <w:snapToGrid w:val="0"/>
                <w:kern w:val="21"/>
                <w:sz w:val="24"/>
                <w:szCs w:val="24"/>
              </w:rPr>
            </w:pPr>
          </w:p>
        </w:tc>
        <w:tc>
          <w:tcPr>
            <w:tcW w:w="1701" w:type="dxa"/>
            <w:vAlign w:val="center"/>
          </w:tcPr>
          <w:p w14:paraId="7E753E4C">
            <w:pPr>
              <w:pStyle w:val="57"/>
              <w:jc w:val="center"/>
              <w:rPr>
                <w:snapToGrid w:val="0"/>
                <w:kern w:val="21"/>
                <w:sz w:val="24"/>
                <w:szCs w:val="24"/>
              </w:rPr>
            </w:pPr>
            <w:r>
              <w:rPr>
                <w:snapToGrid w:val="0"/>
                <w:kern w:val="21"/>
                <w:sz w:val="24"/>
                <w:szCs w:val="24"/>
              </w:rPr>
              <w:t>氨氮</w:t>
            </w:r>
          </w:p>
        </w:tc>
        <w:tc>
          <w:tcPr>
            <w:tcW w:w="1701" w:type="dxa"/>
            <w:vAlign w:val="center"/>
          </w:tcPr>
          <w:p w14:paraId="72E3E709">
            <w:pPr>
              <w:pStyle w:val="52"/>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0.005</w:t>
            </w:r>
          </w:p>
        </w:tc>
        <w:tc>
          <w:tcPr>
            <w:tcW w:w="1276" w:type="dxa"/>
            <w:vAlign w:val="center"/>
          </w:tcPr>
          <w:p w14:paraId="2C23472C">
            <w:pPr>
              <w:jc w:val="center"/>
              <w:rPr>
                <w:sz w:val="24"/>
                <w:szCs w:val="24"/>
              </w:rPr>
            </w:pPr>
            <w:r>
              <w:rPr>
                <w:snapToGrid w:val="0"/>
                <w:kern w:val="21"/>
                <w:sz w:val="24"/>
                <w:szCs w:val="24"/>
              </w:rPr>
              <w:t>/</w:t>
            </w:r>
          </w:p>
        </w:tc>
        <w:tc>
          <w:tcPr>
            <w:tcW w:w="1701" w:type="dxa"/>
            <w:vAlign w:val="center"/>
          </w:tcPr>
          <w:p w14:paraId="606E230C">
            <w:pPr>
              <w:pStyle w:val="57"/>
              <w:jc w:val="center"/>
              <w:rPr>
                <w:snapToGrid w:val="0"/>
                <w:kern w:val="21"/>
                <w:sz w:val="24"/>
                <w:szCs w:val="24"/>
              </w:rPr>
            </w:pPr>
            <w:r>
              <w:rPr>
                <w:snapToGrid w:val="0"/>
                <w:kern w:val="21"/>
                <w:sz w:val="24"/>
                <w:szCs w:val="24"/>
              </w:rPr>
              <w:t>0</w:t>
            </w:r>
          </w:p>
        </w:tc>
        <w:tc>
          <w:tcPr>
            <w:tcW w:w="1559" w:type="dxa"/>
            <w:vAlign w:val="center"/>
          </w:tcPr>
          <w:p w14:paraId="7C4368CF">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0.006</w:t>
            </w:r>
          </w:p>
        </w:tc>
        <w:tc>
          <w:tcPr>
            <w:tcW w:w="1761" w:type="dxa"/>
            <w:vAlign w:val="center"/>
          </w:tcPr>
          <w:p w14:paraId="4118CB27">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0.005</w:t>
            </w:r>
          </w:p>
        </w:tc>
        <w:tc>
          <w:tcPr>
            <w:tcW w:w="1745" w:type="dxa"/>
            <w:vAlign w:val="center"/>
          </w:tcPr>
          <w:p w14:paraId="6F367E0B">
            <w:pPr>
              <w:pStyle w:val="57"/>
              <w:jc w:val="center"/>
              <w:rPr>
                <w:snapToGrid w:val="0"/>
                <w:kern w:val="21"/>
                <w:sz w:val="24"/>
                <w:szCs w:val="24"/>
              </w:rPr>
            </w:pPr>
            <w:r>
              <w:rPr>
                <w:rFonts w:hint="eastAsia"/>
                <w:snapToGrid w:val="0"/>
                <w:kern w:val="21"/>
                <w:sz w:val="24"/>
                <w:szCs w:val="24"/>
                <w:lang w:val="en-US" w:eastAsia="zh-CN"/>
              </w:rPr>
              <w:t>0.006</w:t>
            </w:r>
          </w:p>
        </w:tc>
        <w:tc>
          <w:tcPr>
            <w:tcW w:w="1040" w:type="dxa"/>
            <w:vAlign w:val="center"/>
          </w:tcPr>
          <w:p w14:paraId="188E54E6">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+0.001</w:t>
            </w:r>
          </w:p>
        </w:tc>
      </w:tr>
      <w:tr w14:paraId="49E67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14:paraId="050B83ED">
            <w:pPr>
              <w:pStyle w:val="57"/>
              <w:jc w:val="center"/>
              <w:rPr>
                <w:rFonts w:hint="eastAsia" w:ascii="黑体" w:hAnsi="黑体" w:eastAsia="黑体"/>
                <w:snapToGrid w:val="0"/>
                <w:kern w:val="21"/>
                <w:sz w:val="24"/>
                <w:szCs w:val="24"/>
              </w:rPr>
            </w:pPr>
            <w:r>
              <w:rPr>
                <w:rFonts w:ascii="黑体" w:hAnsi="黑体" w:eastAsia="黑体"/>
                <w:snapToGrid w:val="0"/>
                <w:kern w:val="21"/>
                <w:sz w:val="24"/>
                <w:szCs w:val="24"/>
              </w:rPr>
              <w:t>一般工业</w:t>
            </w:r>
          </w:p>
          <w:p w14:paraId="25D0C18A">
            <w:pPr>
              <w:pStyle w:val="57"/>
              <w:jc w:val="center"/>
              <w:rPr>
                <w:rFonts w:hint="eastAsia" w:ascii="黑体" w:hAnsi="黑体" w:eastAsia="黑体"/>
                <w:snapToGrid w:val="0"/>
                <w:kern w:val="21"/>
                <w:sz w:val="24"/>
                <w:szCs w:val="24"/>
              </w:rPr>
            </w:pPr>
            <w:r>
              <w:rPr>
                <w:rFonts w:ascii="黑体" w:hAnsi="黑体" w:eastAsia="黑体"/>
                <w:snapToGrid w:val="0"/>
                <w:kern w:val="21"/>
                <w:sz w:val="24"/>
                <w:szCs w:val="24"/>
              </w:rPr>
              <w:t>固体废物</w:t>
            </w:r>
          </w:p>
        </w:tc>
        <w:tc>
          <w:tcPr>
            <w:tcW w:w="1701" w:type="dxa"/>
            <w:vAlign w:val="center"/>
          </w:tcPr>
          <w:p w14:paraId="549D8593">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生活垃圾</w:t>
            </w:r>
          </w:p>
        </w:tc>
        <w:tc>
          <w:tcPr>
            <w:tcW w:w="1701" w:type="dxa"/>
            <w:vAlign w:val="center"/>
          </w:tcPr>
          <w:p w14:paraId="3A1A4C51">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6.752</w:t>
            </w:r>
          </w:p>
        </w:tc>
        <w:tc>
          <w:tcPr>
            <w:tcW w:w="1276" w:type="dxa"/>
            <w:vAlign w:val="center"/>
          </w:tcPr>
          <w:p w14:paraId="1DEE9931">
            <w:pPr>
              <w:pStyle w:val="57"/>
              <w:jc w:val="center"/>
              <w:rPr>
                <w:snapToGrid w:val="0"/>
                <w:kern w:val="21"/>
                <w:sz w:val="24"/>
                <w:szCs w:val="24"/>
              </w:rPr>
            </w:pPr>
            <w:r>
              <w:rPr>
                <w:snapToGrid w:val="0"/>
                <w:kern w:val="21"/>
                <w:sz w:val="24"/>
                <w:szCs w:val="24"/>
              </w:rPr>
              <w:t>/</w:t>
            </w:r>
          </w:p>
        </w:tc>
        <w:tc>
          <w:tcPr>
            <w:tcW w:w="1701" w:type="dxa"/>
            <w:vAlign w:val="center"/>
          </w:tcPr>
          <w:p w14:paraId="6577B781">
            <w:pPr>
              <w:pStyle w:val="57"/>
              <w:jc w:val="center"/>
              <w:rPr>
                <w:rFonts w:hint="eastAsia" w:eastAsia="宋体"/>
                <w:snapToGrid w:val="0"/>
                <w:kern w:val="21"/>
                <w:sz w:val="24"/>
                <w:szCs w:val="24"/>
                <w:lang w:val="en-US" w:eastAsia="zh-CN"/>
              </w:rPr>
            </w:pPr>
            <w:r>
              <w:rPr>
                <w:rFonts w:hint="eastAsia"/>
                <w:snapToGrid w:val="0"/>
                <w:kern w:val="21"/>
                <w:sz w:val="24"/>
                <w:szCs w:val="24"/>
                <w:lang w:val="en-US" w:eastAsia="zh-CN"/>
              </w:rPr>
              <w:t>0</w:t>
            </w:r>
          </w:p>
        </w:tc>
        <w:tc>
          <w:tcPr>
            <w:tcW w:w="1559" w:type="dxa"/>
            <w:vAlign w:val="center"/>
          </w:tcPr>
          <w:p w14:paraId="3CC7AD60">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8.395</w:t>
            </w:r>
          </w:p>
        </w:tc>
        <w:tc>
          <w:tcPr>
            <w:tcW w:w="1761" w:type="dxa"/>
            <w:vAlign w:val="center"/>
          </w:tcPr>
          <w:p w14:paraId="535309BA">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6.752</w:t>
            </w:r>
          </w:p>
        </w:tc>
        <w:tc>
          <w:tcPr>
            <w:tcW w:w="1745" w:type="dxa"/>
            <w:vAlign w:val="center"/>
          </w:tcPr>
          <w:p w14:paraId="33A8F3D8">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8.395</w:t>
            </w:r>
          </w:p>
        </w:tc>
        <w:tc>
          <w:tcPr>
            <w:tcW w:w="1040" w:type="dxa"/>
            <w:vAlign w:val="center"/>
          </w:tcPr>
          <w:p w14:paraId="739F860C">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+1.643</w:t>
            </w:r>
          </w:p>
        </w:tc>
      </w:tr>
      <w:tr w14:paraId="7C544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2ABF0F10">
            <w:pPr>
              <w:pStyle w:val="57"/>
              <w:jc w:val="center"/>
              <w:rPr>
                <w:rFonts w:hint="eastAsia" w:ascii="黑体" w:hAnsi="黑体" w:eastAsia="黑体"/>
                <w:snapToGrid w:val="0"/>
                <w:kern w:val="21"/>
                <w:sz w:val="24"/>
                <w:szCs w:val="24"/>
              </w:rPr>
            </w:pPr>
          </w:p>
        </w:tc>
        <w:tc>
          <w:tcPr>
            <w:tcW w:w="1701" w:type="dxa"/>
            <w:vAlign w:val="center"/>
          </w:tcPr>
          <w:p w14:paraId="7EB1A263">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化粪池污泥</w:t>
            </w:r>
          </w:p>
        </w:tc>
        <w:tc>
          <w:tcPr>
            <w:tcW w:w="1701" w:type="dxa"/>
            <w:vAlign w:val="center"/>
          </w:tcPr>
          <w:p w14:paraId="7FAFBE66">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0.08</w:t>
            </w:r>
          </w:p>
        </w:tc>
        <w:tc>
          <w:tcPr>
            <w:tcW w:w="1276" w:type="dxa"/>
            <w:vAlign w:val="center"/>
          </w:tcPr>
          <w:p w14:paraId="14285ACD">
            <w:pPr>
              <w:pStyle w:val="57"/>
              <w:jc w:val="center"/>
              <w:rPr>
                <w:snapToGrid w:val="0"/>
                <w:kern w:val="21"/>
                <w:sz w:val="24"/>
                <w:szCs w:val="24"/>
              </w:rPr>
            </w:pPr>
            <w:r>
              <w:rPr>
                <w:snapToGrid w:val="0"/>
                <w:kern w:val="21"/>
                <w:sz w:val="24"/>
                <w:szCs w:val="24"/>
              </w:rPr>
              <w:t>/</w:t>
            </w:r>
          </w:p>
        </w:tc>
        <w:tc>
          <w:tcPr>
            <w:tcW w:w="1701" w:type="dxa"/>
            <w:vAlign w:val="center"/>
          </w:tcPr>
          <w:p w14:paraId="6B3014CE">
            <w:pPr>
              <w:pStyle w:val="57"/>
              <w:jc w:val="center"/>
              <w:rPr>
                <w:rFonts w:hint="eastAsia" w:eastAsia="宋体"/>
                <w:snapToGrid w:val="0"/>
                <w:kern w:val="21"/>
                <w:sz w:val="24"/>
                <w:szCs w:val="24"/>
                <w:lang w:val="en-US" w:eastAsia="zh-CN"/>
              </w:rPr>
            </w:pPr>
            <w:r>
              <w:rPr>
                <w:rFonts w:hint="eastAsia"/>
                <w:snapToGrid w:val="0"/>
                <w:kern w:val="21"/>
                <w:sz w:val="24"/>
                <w:szCs w:val="24"/>
                <w:lang w:val="en-US" w:eastAsia="zh-CN"/>
              </w:rPr>
              <w:t>0</w:t>
            </w:r>
          </w:p>
        </w:tc>
        <w:tc>
          <w:tcPr>
            <w:tcW w:w="1559" w:type="dxa"/>
            <w:vAlign w:val="center"/>
          </w:tcPr>
          <w:p w14:paraId="2E9B14BA">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0.1</w:t>
            </w:r>
          </w:p>
        </w:tc>
        <w:tc>
          <w:tcPr>
            <w:tcW w:w="1761" w:type="dxa"/>
            <w:vAlign w:val="center"/>
          </w:tcPr>
          <w:p w14:paraId="0E770102">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0.08</w:t>
            </w:r>
          </w:p>
        </w:tc>
        <w:tc>
          <w:tcPr>
            <w:tcW w:w="1745" w:type="dxa"/>
            <w:vAlign w:val="center"/>
          </w:tcPr>
          <w:p w14:paraId="066E709D">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0.1</w:t>
            </w:r>
          </w:p>
        </w:tc>
        <w:tc>
          <w:tcPr>
            <w:tcW w:w="1040" w:type="dxa"/>
            <w:vAlign w:val="center"/>
          </w:tcPr>
          <w:p w14:paraId="55E2E411">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+0.02</w:t>
            </w:r>
          </w:p>
        </w:tc>
      </w:tr>
      <w:tr w14:paraId="61B81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04" w:type="dxa"/>
            <w:vMerge w:val="restart"/>
            <w:vAlign w:val="center"/>
          </w:tcPr>
          <w:p w14:paraId="06179DFC">
            <w:pPr>
              <w:pStyle w:val="57"/>
              <w:jc w:val="center"/>
              <w:rPr>
                <w:rFonts w:hint="eastAsia" w:ascii="黑体" w:hAnsi="黑体" w:eastAsia="黑体"/>
                <w:snapToGrid w:val="0"/>
                <w:kern w:val="21"/>
                <w:sz w:val="24"/>
                <w:szCs w:val="24"/>
              </w:rPr>
            </w:pPr>
            <w:r>
              <w:rPr>
                <w:rFonts w:ascii="黑体" w:hAnsi="黑体" w:eastAsia="黑体"/>
                <w:snapToGrid w:val="0"/>
                <w:kern w:val="21"/>
                <w:sz w:val="24"/>
                <w:szCs w:val="24"/>
              </w:rPr>
              <w:t>危险废物</w:t>
            </w:r>
          </w:p>
        </w:tc>
        <w:tc>
          <w:tcPr>
            <w:tcW w:w="1701" w:type="dxa"/>
            <w:vAlign w:val="center"/>
          </w:tcPr>
          <w:p w14:paraId="53147BD3">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清罐废物</w:t>
            </w:r>
          </w:p>
        </w:tc>
        <w:tc>
          <w:tcPr>
            <w:tcW w:w="1701" w:type="dxa"/>
            <w:vAlign w:val="center"/>
          </w:tcPr>
          <w:p w14:paraId="53DF3F18">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0.4</w:t>
            </w:r>
          </w:p>
        </w:tc>
        <w:tc>
          <w:tcPr>
            <w:tcW w:w="1276" w:type="dxa"/>
            <w:vAlign w:val="center"/>
          </w:tcPr>
          <w:p w14:paraId="368455B5">
            <w:pPr>
              <w:pStyle w:val="57"/>
              <w:jc w:val="center"/>
              <w:rPr>
                <w:snapToGrid w:val="0"/>
                <w:kern w:val="21"/>
                <w:sz w:val="24"/>
                <w:szCs w:val="24"/>
              </w:rPr>
            </w:pPr>
            <w:r>
              <w:rPr>
                <w:rFonts w:hint="eastAsia"/>
                <w:snapToGrid w:val="0"/>
                <w:kern w:val="21"/>
                <w:sz w:val="24"/>
                <w:szCs w:val="24"/>
              </w:rPr>
              <w:t>/</w:t>
            </w:r>
          </w:p>
        </w:tc>
        <w:tc>
          <w:tcPr>
            <w:tcW w:w="1701" w:type="dxa"/>
            <w:vAlign w:val="center"/>
          </w:tcPr>
          <w:p w14:paraId="0DD8E05E">
            <w:pPr>
              <w:pStyle w:val="57"/>
              <w:jc w:val="center"/>
              <w:rPr>
                <w:snapToGrid w:val="0"/>
                <w:kern w:val="21"/>
                <w:sz w:val="24"/>
                <w:szCs w:val="24"/>
              </w:rPr>
            </w:pPr>
            <w:r>
              <w:rPr>
                <w:rFonts w:hint="eastAsia"/>
                <w:snapToGrid w:val="0"/>
                <w:kern w:val="21"/>
                <w:sz w:val="24"/>
                <w:szCs w:val="24"/>
              </w:rPr>
              <w:t>0</w:t>
            </w:r>
          </w:p>
        </w:tc>
        <w:tc>
          <w:tcPr>
            <w:tcW w:w="1559" w:type="dxa"/>
            <w:vAlign w:val="center"/>
          </w:tcPr>
          <w:p w14:paraId="542420EE">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0.4</w:t>
            </w:r>
          </w:p>
        </w:tc>
        <w:tc>
          <w:tcPr>
            <w:tcW w:w="1761" w:type="dxa"/>
            <w:vAlign w:val="center"/>
          </w:tcPr>
          <w:p w14:paraId="09103FCD">
            <w:pPr>
              <w:pStyle w:val="57"/>
              <w:jc w:val="center"/>
              <w:rPr>
                <w:rFonts w:hint="eastAsia" w:eastAsia="宋体"/>
                <w:snapToGrid w:val="0"/>
                <w:kern w:val="21"/>
                <w:sz w:val="24"/>
                <w:szCs w:val="24"/>
                <w:lang w:eastAsia="zh-CN"/>
              </w:rPr>
            </w:pPr>
            <w:r>
              <w:rPr>
                <w:rFonts w:hint="eastAsia"/>
                <w:snapToGrid w:val="0"/>
                <w:kern w:val="21"/>
                <w:sz w:val="24"/>
                <w:szCs w:val="24"/>
                <w:lang w:val="en-US" w:eastAsia="zh-CN"/>
              </w:rPr>
              <w:t>0</w:t>
            </w:r>
          </w:p>
        </w:tc>
        <w:tc>
          <w:tcPr>
            <w:tcW w:w="1745" w:type="dxa"/>
            <w:vAlign w:val="center"/>
          </w:tcPr>
          <w:p w14:paraId="4F6C602E">
            <w:pPr>
              <w:pStyle w:val="57"/>
              <w:jc w:val="center"/>
              <w:rPr>
                <w:rFonts w:hint="eastAsia" w:eastAsia="宋体"/>
                <w:snapToGrid w:val="0"/>
                <w:kern w:val="21"/>
                <w:sz w:val="24"/>
                <w:szCs w:val="24"/>
                <w:lang w:eastAsia="zh-CN"/>
              </w:rPr>
            </w:pPr>
            <w:r>
              <w:rPr>
                <w:rFonts w:hint="eastAsia"/>
                <w:snapToGrid w:val="0"/>
                <w:kern w:val="21"/>
                <w:sz w:val="24"/>
                <w:szCs w:val="24"/>
                <w:lang w:val="en-US" w:eastAsia="zh-CN"/>
              </w:rPr>
              <w:t>0.4</w:t>
            </w:r>
          </w:p>
        </w:tc>
        <w:tc>
          <w:tcPr>
            <w:tcW w:w="1040" w:type="dxa"/>
            <w:vAlign w:val="center"/>
          </w:tcPr>
          <w:p w14:paraId="0BB2B435">
            <w:pPr>
              <w:pStyle w:val="57"/>
              <w:jc w:val="center"/>
              <w:rPr>
                <w:rFonts w:hint="eastAsia" w:eastAsia="宋体"/>
                <w:snapToGrid w:val="0"/>
                <w:kern w:val="21"/>
                <w:sz w:val="24"/>
                <w:szCs w:val="24"/>
                <w:lang w:eastAsia="zh-CN"/>
              </w:rPr>
            </w:pPr>
            <w:r>
              <w:rPr>
                <w:rFonts w:hint="eastAsia"/>
                <w:snapToGrid w:val="0"/>
                <w:kern w:val="21"/>
                <w:sz w:val="24"/>
                <w:szCs w:val="24"/>
                <w:lang w:val="en-US" w:eastAsia="zh-CN"/>
              </w:rPr>
              <w:t>0</w:t>
            </w:r>
          </w:p>
        </w:tc>
      </w:tr>
      <w:tr w14:paraId="15972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4736D222">
            <w:pPr>
              <w:pStyle w:val="57"/>
              <w:jc w:val="center"/>
              <w:rPr>
                <w:rFonts w:hint="eastAsia" w:ascii="黑体" w:hAnsi="黑体" w:eastAsia="黑体"/>
                <w:snapToGrid w:val="0"/>
                <w:kern w:val="21"/>
                <w:sz w:val="24"/>
                <w:szCs w:val="24"/>
              </w:rPr>
            </w:pPr>
          </w:p>
        </w:tc>
        <w:tc>
          <w:tcPr>
            <w:tcW w:w="1701" w:type="dxa"/>
            <w:vAlign w:val="center"/>
          </w:tcPr>
          <w:p w14:paraId="1D2836CC">
            <w:pPr>
              <w:pStyle w:val="57"/>
              <w:jc w:val="center"/>
              <w:rPr>
                <w:snapToGrid w:val="0"/>
                <w:kern w:val="21"/>
                <w:sz w:val="24"/>
                <w:szCs w:val="24"/>
              </w:rPr>
            </w:pPr>
            <w:r>
              <w:rPr>
                <w:snapToGrid w:val="0"/>
                <w:kern w:val="21"/>
                <w:sz w:val="24"/>
                <w:szCs w:val="24"/>
              </w:rPr>
              <w:t>设备检修废物</w:t>
            </w:r>
          </w:p>
        </w:tc>
        <w:tc>
          <w:tcPr>
            <w:tcW w:w="1701" w:type="dxa"/>
            <w:vAlign w:val="center"/>
          </w:tcPr>
          <w:p w14:paraId="2ACAFEC9">
            <w:pPr>
              <w:pStyle w:val="57"/>
              <w:jc w:val="center"/>
              <w:rPr>
                <w:rFonts w:hint="eastAsia" w:eastAsia="宋体"/>
                <w:snapToGrid w:val="0"/>
                <w:kern w:val="21"/>
                <w:sz w:val="24"/>
                <w:szCs w:val="24"/>
                <w:lang w:eastAsia="zh-CN"/>
              </w:rPr>
            </w:pPr>
            <w:r>
              <w:rPr>
                <w:snapToGrid w:val="0"/>
                <w:kern w:val="21"/>
                <w:sz w:val="24"/>
                <w:szCs w:val="24"/>
              </w:rPr>
              <w:t>0.</w:t>
            </w:r>
            <w:r>
              <w:rPr>
                <w:rFonts w:hint="eastAsia"/>
                <w:snapToGrid w:val="0"/>
                <w:kern w:val="21"/>
                <w:sz w:val="24"/>
                <w:szCs w:val="24"/>
                <w:lang w:val="en-US" w:eastAsia="zh-CN"/>
              </w:rPr>
              <w:t>3</w:t>
            </w:r>
          </w:p>
        </w:tc>
        <w:tc>
          <w:tcPr>
            <w:tcW w:w="1276" w:type="dxa"/>
            <w:vAlign w:val="center"/>
          </w:tcPr>
          <w:p w14:paraId="489D3438">
            <w:pPr>
              <w:pStyle w:val="57"/>
              <w:jc w:val="center"/>
              <w:rPr>
                <w:snapToGrid w:val="0"/>
                <w:kern w:val="21"/>
                <w:sz w:val="24"/>
                <w:szCs w:val="24"/>
              </w:rPr>
            </w:pPr>
            <w:r>
              <w:rPr>
                <w:snapToGrid w:val="0"/>
                <w:kern w:val="21"/>
                <w:sz w:val="24"/>
                <w:szCs w:val="24"/>
              </w:rPr>
              <w:t>/</w:t>
            </w:r>
          </w:p>
        </w:tc>
        <w:tc>
          <w:tcPr>
            <w:tcW w:w="1701" w:type="dxa"/>
            <w:vAlign w:val="center"/>
          </w:tcPr>
          <w:p w14:paraId="51E921F5">
            <w:pPr>
              <w:pStyle w:val="57"/>
              <w:jc w:val="center"/>
              <w:rPr>
                <w:snapToGrid w:val="0"/>
                <w:kern w:val="21"/>
                <w:sz w:val="24"/>
                <w:szCs w:val="24"/>
              </w:rPr>
            </w:pPr>
            <w:r>
              <w:rPr>
                <w:snapToGrid w:val="0"/>
                <w:kern w:val="21"/>
                <w:sz w:val="24"/>
                <w:szCs w:val="24"/>
              </w:rPr>
              <w:t>0</w:t>
            </w:r>
          </w:p>
        </w:tc>
        <w:tc>
          <w:tcPr>
            <w:tcW w:w="1559" w:type="dxa"/>
            <w:vAlign w:val="center"/>
          </w:tcPr>
          <w:p w14:paraId="77C89722">
            <w:pPr>
              <w:pStyle w:val="57"/>
              <w:jc w:val="center"/>
              <w:rPr>
                <w:snapToGrid w:val="0"/>
                <w:kern w:val="21"/>
                <w:sz w:val="24"/>
                <w:szCs w:val="24"/>
              </w:rPr>
            </w:pPr>
            <w:r>
              <w:rPr>
                <w:snapToGrid w:val="0"/>
                <w:kern w:val="21"/>
                <w:sz w:val="24"/>
                <w:szCs w:val="24"/>
              </w:rPr>
              <w:t>0.4</w:t>
            </w:r>
          </w:p>
        </w:tc>
        <w:tc>
          <w:tcPr>
            <w:tcW w:w="1761" w:type="dxa"/>
            <w:vAlign w:val="center"/>
          </w:tcPr>
          <w:p w14:paraId="655AD91A">
            <w:pPr>
              <w:pStyle w:val="57"/>
              <w:jc w:val="center"/>
              <w:rPr>
                <w:rFonts w:hint="eastAsia" w:eastAsia="宋体"/>
                <w:snapToGrid w:val="0"/>
                <w:kern w:val="21"/>
                <w:sz w:val="24"/>
                <w:szCs w:val="24"/>
                <w:lang w:eastAsia="zh-CN"/>
              </w:rPr>
            </w:pPr>
            <w:r>
              <w:rPr>
                <w:rFonts w:hint="eastAsia"/>
                <w:snapToGrid w:val="0"/>
                <w:kern w:val="21"/>
                <w:sz w:val="24"/>
                <w:szCs w:val="24"/>
                <w:lang w:val="en-US" w:eastAsia="zh-CN"/>
              </w:rPr>
              <w:t>0</w:t>
            </w:r>
          </w:p>
        </w:tc>
        <w:tc>
          <w:tcPr>
            <w:tcW w:w="1745" w:type="dxa"/>
            <w:vAlign w:val="center"/>
          </w:tcPr>
          <w:p w14:paraId="6947AE0F">
            <w:pPr>
              <w:pStyle w:val="57"/>
              <w:jc w:val="center"/>
              <w:rPr>
                <w:rFonts w:hint="eastAsia" w:eastAsia="宋体"/>
                <w:snapToGrid w:val="0"/>
                <w:kern w:val="21"/>
                <w:sz w:val="24"/>
                <w:szCs w:val="24"/>
                <w:lang w:eastAsia="zh-CN"/>
              </w:rPr>
            </w:pPr>
            <w:r>
              <w:rPr>
                <w:snapToGrid w:val="0"/>
                <w:kern w:val="21"/>
                <w:sz w:val="24"/>
                <w:szCs w:val="24"/>
              </w:rPr>
              <w:t>0.4</w:t>
            </w:r>
          </w:p>
        </w:tc>
        <w:tc>
          <w:tcPr>
            <w:tcW w:w="1040" w:type="dxa"/>
            <w:vAlign w:val="center"/>
          </w:tcPr>
          <w:p w14:paraId="7DED59B3">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+0.1</w:t>
            </w:r>
          </w:p>
        </w:tc>
      </w:tr>
      <w:tr w14:paraId="2A89B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69CA4AFF">
            <w:pPr>
              <w:pStyle w:val="57"/>
              <w:jc w:val="center"/>
              <w:rPr>
                <w:rFonts w:hint="eastAsia" w:ascii="黑体" w:hAnsi="黑体" w:eastAsia="黑体"/>
                <w:snapToGrid w:val="0"/>
                <w:kern w:val="21"/>
                <w:sz w:val="24"/>
                <w:szCs w:val="24"/>
              </w:rPr>
            </w:pPr>
          </w:p>
        </w:tc>
        <w:tc>
          <w:tcPr>
            <w:tcW w:w="1701" w:type="dxa"/>
            <w:shd w:val="clear" w:color="auto" w:fill="auto"/>
            <w:vAlign w:val="center"/>
          </w:tcPr>
          <w:p w14:paraId="6654254C">
            <w:pPr>
              <w:pStyle w:val="57"/>
              <w:jc w:val="center"/>
              <w:rPr>
                <w:rFonts w:ascii="Times New Roman" w:hAnsi="Times New Roman" w:eastAsia="宋体" w:cs="Times New Roman"/>
                <w:snapToGrid w:val="0"/>
                <w:kern w:val="21"/>
                <w:sz w:val="24"/>
                <w:szCs w:val="24"/>
                <w:lang w:val="en-US" w:eastAsia="zh-CN" w:bidi="ar-SA"/>
              </w:rPr>
            </w:pPr>
            <w:r>
              <w:rPr>
                <w:rFonts w:hint="eastAsia"/>
                <w:sz w:val="24"/>
                <w:szCs w:val="24"/>
                <w:lang w:val="en-US" w:eastAsia="zh-CN" w:bidi="ar"/>
              </w:rPr>
              <w:t>隔油池浮油及</w:t>
            </w:r>
            <w:r>
              <w:rPr>
                <w:sz w:val="24"/>
                <w:szCs w:val="24"/>
                <w:lang w:bidi="ar"/>
              </w:rPr>
              <w:t>含油污泥</w:t>
            </w:r>
          </w:p>
        </w:tc>
        <w:tc>
          <w:tcPr>
            <w:tcW w:w="1701" w:type="dxa"/>
            <w:shd w:val="clear" w:color="auto" w:fill="auto"/>
            <w:vAlign w:val="center"/>
          </w:tcPr>
          <w:p w14:paraId="2CF8A8E4">
            <w:pPr>
              <w:pStyle w:val="57"/>
              <w:jc w:val="center"/>
              <w:rPr>
                <w:rFonts w:hint="eastAsia" w:ascii="Times New Roman" w:hAnsi="Times New Roman" w:eastAsia="宋体" w:cs="Times New Roman"/>
                <w:snapToGrid w:val="0"/>
                <w:kern w:val="21"/>
                <w:sz w:val="24"/>
                <w:szCs w:val="24"/>
                <w:lang w:val="en-US" w:eastAsia="zh-CN" w:bidi="ar-SA"/>
              </w:rPr>
            </w:pPr>
            <w:r>
              <w:rPr>
                <w:snapToGrid w:val="0"/>
                <w:kern w:val="21"/>
                <w:sz w:val="24"/>
                <w:szCs w:val="24"/>
              </w:rPr>
              <w:t>0.0</w:t>
            </w:r>
            <w:r>
              <w:rPr>
                <w:rFonts w:hint="eastAsia"/>
                <w:snapToGrid w:val="0"/>
                <w:kern w:val="21"/>
                <w:sz w:val="24"/>
                <w:szCs w:val="24"/>
                <w:lang w:val="en-US" w:eastAsia="zh-CN"/>
              </w:rPr>
              <w:t>3</w:t>
            </w:r>
          </w:p>
        </w:tc>
        <w:tc>
          <w:tcPr>
            <w:tcW w:w="1276" w:type="dxa"/>
            <w:shd w:val="clear" w:color="auto" w:fill="auto"/>
            <w:vAlign w:val="center"/>
          </w:tcPr>
          <w:p w14:paraId="4E22057A">
            <w:pPr>
              <w:pStyle w:val="57"/>
              <w:jc w:val="center"/>
              <w:rPr>
                <w:rFonts w:ascii="Times New Roman" w:hAnsi="Times New Roman" w:eastAsia="宋体" w:cs="Times New Roman"/>
                <w:snapToGrid w:val="0"/>
                <w:kern w:val="21"/>
                <w:sz w:val="24"/>
                <w:szCs w:val="24"/>
                <w:lang w:val="en-US" w:eastAsia="zh-CN" w:bidi="ar-SA"/>
              </w:rPr>
            </w:pPr>
            <w:r>
              <w:rPr>
                <w:snapToGrid w:val="0"/>
                <w:kern w:val="21"/>
                <w:sz w:val="24"/>
                <w:szCs w:val="24"/>
              </w:rPr>
              <w:t>/</w:t>
            </w:r>
          </w:p>
        </w:tc>
        <w:tc>
          <w:tcPr>
            <w:tcW w:w="1701" w:type="dxa"/>
            <w:shd w:val="clear" w:color="auto" w:fill="auto"/>
            <w:vAlign w:val="center"/>
          </w:tcPr>
          <w:p w14:paraId="7E04DF7B">
            <w:pPr>
              <w:pStyle w:val="57"/>
              <w:jc w:val="center"/>
              <w:rPr>
                <w:rFonts w:ascii="Times New Roman" w:hAnsi="Times New Roman" w:eastAsia="宋体" w:cs="Times New Roman"/>
                <w:snapToGrid w:val="0"/>
                <w:kern w:val="21"/>
                <w:sz w:val="24"/>
                <w:szCs w:val="24"/>
                <w:lang w:val="en-US" w:eastAsia="zh-CN" w:bidi="ar-SA"/>
              </w:rPr>
            </w:pPr>
            <w:r>
              <w:rPr>
                <w:snapToGrid w:val="0"/>
                <w:kern w:val="21"/>
                <w:sz w:val="24"/>
                <w:szCs w:val="24"/>
              </w:rPr>
              <w:t>0</w:t>
            </w:r>
          </w:p>
        </w:tc>
        <w:tc>
          <w:tcPr>
            <w:tcW w:w="1559" w:type="dxa"/>
            <w:shd w:val="clear" w:color="auto" w:fill="auto"/>
            <w:vAlign w:val="center"/>
          </w:tcPr>
          <w:p w14:paraId="37ABFCC0">
            <w:pPr>
              <w:pStyle w:val="57"/>
              <w:jc w:val="center"/>
              <w:rPr>
                <w:rFonts w:hint="eastAsia" w:ascii="Times New Roman" w:hAnsi="Times New Roman" w:eastAsia="宋体" w:cs="Times New Roman"/>
                <w:snapToGrid w:val="0"/>
                <w:kern w:val="21"/>
                <w:sz w:val="24"/>
                <w:szCs w:val="24"/>
                <w:lang w:val="en-US" w:eastAsia="zh-CN" w:bidi="ar-SA"/>
              </w:rPr>
            </w:pPr>
            <w:r>
              <w:rPr>
                <w:snapToGrid w:val="0"/>
                <w:kern w:val="21"/>
                <w:sz w:val="24"/>
                <w:szCs w:val="24"/>
              </w:rPr>
              <w:t>0.</w:t>
            </w:r>
            <w:r>
              <w:rPr>
                <w:rFonts w:hint="eastAsia"/>
                <w:snapToGrid w:val="0"/>
                <w:kern w:val="21"/>
                <w:sz w:val="24"/>
                <w:szCs w:val="24"/>
                <w:lang w:val="en-US" w:eastAsia="zh-CN"/>
              </w:rPr>
              <w:t>1</w:t>
            </w:r>
          </w:p>
        </w:tc>
        <w:tc>
          <w:tcPr>
            <w:tcW w:w="1761" w:type="dxa"/>
            <w:shd w:val="clear" w:color="auto" w:fill="auto"/>
            <w:vAlign w:val="center"/>
          </w:tcPr>
          <w:p w14:paraId="1EA747D6">
            <w:pPr>
              <w:pStyle w:val="57"/>
              <w:jc w:val="center"/>
              <w:rPr>
                <w:rFonts w:hint="eastAsia" w:ascii="Times New Roman" w:hAnsi="Times New Roman" w:eastAsia="宋体" w:cs="Times New Roman"/>
                <w:snapToGrid w:val="0"/>
                <w:kern w:val="21"/>
                <w:sz w:val="24"/>
                <w:szCs w:val="24"/>
                <w:lang w:val="en-US" w:eastAsia="zh-CN" w:bidi="ar-SA"/>
              </w:rPr>
            </w:pPr>
            <w:r>
              <w:rPr>
                <w:rFonts w:hint="eastAsia"/>
                <w:snapToGrid w:val="0"/>
                <w:kern w:val="21"/>
                <w:sz w:val="24"/>
                <w:szCs w:val="24"/>
                <w:lang w:val="en-US" w:eastAsia="zh-CN"/>
              </w:rPr>
              <w:t>0</w:t>
            </w:r>
          </w:p>
        </w:tc>
        <w:tc>
          <w:tcPr>
            <w:tcW w:w="1745" w:type="dxa"/>
            <w:shd w:val="clear" w:color="auto" w:fill="auto"/>
            <w:vAlign w:val="center"/>
          </w:tcPr>
          <w:p w14:paraId="6558C136">
            <w:pPr>
              <w:pStyle w:val="57"/>
              <w:jc w:val="center"/>
              <w:rPr>
                <w:rFonts w:hint="eastAsia" w:ascii="Times New Roman" w:hAnsi="Times New Roman" w:eastAsia="宋体" w:cs="Times New Roman"/>
                <w:snapToGrid w:val="0"/>
                <w:kern w:val="21"/>
                <w:sz w:val="24"/>
                <w:szCs w:val="24"/>
                <w:lang w:val="en-US" w:eastAsia="zh-CN" w:bidi="ar-SA"/>
              </w:rPr>
            </w:pPr>
            <w:r>
              <w:rPr>
                <w:snapToGrid w:val="0"/>
                <w:kern w:val="21"/>
                <w:sz w:val="24"/>
                <w:szCs w:val="24"/>
              </w:rPr>
              <w:t>0.</w:t>
            </w:r>
            <w:r>
              <w:rPr>
                <w:rFonts w:hint="eastAsia"/>
                <w:snapToGrid w:val="0"/>
                <w:kern w:val="21"/>
                <w:sz w:val="24"/>
                <w:szCs w:val="24"/>
                <w:lang w:val="en-US" w:eastAsia="zh-CN"/>
              </w:rPr>
              <w:t>1</w:t>
            </w:r>
          </w:p>
        </w:tc>
        <w:tc>
          <w:tcPr>
            <w:tcW w:w="1040" w:type="dxa"/>
            <w:shd w:val="clear" w:color="auto" w:fill="auto"/>
            <w:vAlign w:val="center"/>
          </w:tcPr>
          <w:p w14:paraId="0F2E96EC">
            <w:pPr>
              <w:pStyle w:val="57"/>
              <w:jc w:val="center"/>
              <w:rPr>
                <w:rFonts w:hint="eastAsia" w:ascii="Times New Roman" w:hAnsi="Times New Roman" w:eastAsia="宋体" w:cs="Times New Roman"/>
                <w:snapToGrid w:val="0"/>
                <w:kern w:val="21"/>
                <w:sz w:val="24"/>
                <w:szCs w:val="24"/>
                <w:lang w:val="en-US" w:eastAsia="zh-CN" w:bidi="ar-SA"/>
              </w:rPr>
            </w:pPr>
            <w:r>
              <w:rPr>
                <w:rFonts w:hint="eastAsia"/>
                <w:snapToGrid w:val="0"/>
                <w:kern w:val="21"/>
                <w:sz w:val="24"/>
                <w:szCs w:val="24"/>
                <w:lang w:val="en-US" w:eastAsia="zh-CN"/>
              </w:rPr>
              <w:t>+0.07</w:t>
            </w:r>
          </w:p>
        </w:tc>
      </w:tr>
      <w:tr w14:paraId="15416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320DECD1">
            <w:pPr>
              <w:pStyle w:val="57"/>
              <w:jc w:val="center"/>
              <w:rPr>
                <w:rFonts w:hint="eastAsia" w:ascii="黑体" w:hAnsi="黑体" w:eastAsia="黑体"/>
                <w:snapToGrid w:val="0"/>
                <w:kern w:val="21"/>
                <w:sz w:val="24"/>
                <w:szCs w:val="24"/>
              </w:rPr>
            </w:pPr>
          </w:p>
        </w:tc>
        <w:tc>
          <w:tcPr>
            <w:tcW w:w="1701" w:type="dxa"/>
            <w:vAlign w:val="center"/>
          </w:tcPr>
          <w:p w14:paraId="0591BCA5">
            <w:pPr>
              <w:pStyle w:val="94"/>
              <w:ind w:firstLine="0" w:firstLineChars="0"/>
              <w:rPr>
                <w:rFonts w:hint="default"/>
                <w:snapToGrid w:val="0"/>
                <w:kern w:val="21"/>
                <w:sz w:val="24"/>
                <w:szCs w:val="24"/>
                <w:lang w:val="en-US"/>
              </w:rPr>
            </w:pPr>
            <w:r>
              <w:rPr>
                <w:rFonts w:hint="eastAsia" w:cs="Times New Roman"/>
                <w:color w:val="auto"/>
                <w:kern w:val="0"/>
                <w:sz w:val="22"/>
                <w:szCs w:val="22"/>
                <w:lang w:val="en-US" w:eastAsia="zh-CN" w:bidi="ar-SA"/>
              </w:rPr>
              <w:t>三次油气回收废膜组件</w:t>
            </w:r>
          </w:p>
        </w:tc>
        <w:tc>
          <w:tcPr>
            <w:tcW w:w="1701" w:type="dxa"/>
            <w:vAlign w:val="center"/>
          </w:tcPr>
          <w:p w14:paraId="2438177A">
            <w:pPr>
              <w:pStyle w:val="57"/>
              <w:jc w:val="center"/>
              <w:rPr>
                <w:rFonts w:hint="eastAsia" w:eastAsia="宋体"/>
                <w:snapToGrid w:val="0"/>
                <w:kern w:val="21"/>
                <w:sz w:val="24"/>
                <w:szCs w:val="24"/>
                <w:lang w:val="en-US" w:eastAsia="zh-CN"/>
              </w:rPr>
            </w:pPr>
            <w:r>
              <w:rPr>
                <w:rFonts w:hint="eastAsia"/>
                <w:snapToGrid w:val="0"/>
                <w:kern w:val="21"/>
                <w:sz w:val="24"/>
                <w:szCs w:val="24"/>
                <w:lang w:val="en-US" w:eastAsia="zh-CN"/>
              </w:rPr>
              <w:t>0</w:t>
            </w:r>
          </w:p>
        </w:tc>
        <w:tc>
          <w:tcPr>
            <w:tcW w:w="1276" w:type="dxa"/>
            <w:vAlign w:val="center"/>
          </w:tcPr>
          <w:p w14:paraId="78F8F8CA">
            <w:pPr>
              <w:pStyle w:val="57"/>
              <w:jc w:val="center"/>
              <w:rPr>
                <w:rFonts w:hint="eastAsia" w:eastAsia="宋体"/>
                <w:snapToGrid w:val="0"/>
                <w:kern w:val="21"/>
                <w:sz w:val="24"/>
                <w:szCs w:val="24"/>
                <w:lang w:val="en-US" w:eastAsia="zh-CN"/>
              </w:rPr>
            </w:pPr>
            <w:r>
              <w:rPr>
                <w:rFonts w:hint="eastAsia"/>
                <w:snapToGrid w:val="0"/>
                <w:kern w:val="21"/>
                <w:sz w:val="24"/>
                <w:szCs w:val="24"/>
                <w:lang w:val="en-US" w:eastAsia="zh-CN"/>
              </w:rPr>
              <w:t>/</w:t>
            </w:r>
          </w:p>
        </w:tc>
        <w:tc>
          <w:tcPr>
            <w:tcW w:w="1701" w:type="dxa"/>
            <w:vAlign w:val="center"/>
          </w:tcPr>
          <w:p w14:paraId="019E85B7">
            <w:pPr>
              <w:pStyle w:val="57"/>
              <w:jc w:val="center"/>
              <w:rPr>
                <w:rFonts w:hint="eastAsia" w:eastAsia="宋体"/>
                <w:snapToGrid w:val="0"/>
                <w:kern w:val="21"/>
                <w:sz w:val="24"/>
                <w:szCs w:val="24"/>
                <w:lang w:val="en-US" w:eastAsia="zh-CN"/>
              </w:rPr>
            </w:pPr>
            <w:r>
              <w:rPr>
                <w:rFonts w:hint="eastAsia"/>
                <w:snapToGrid w:val="0"/>
                <w:kern w:val="21"/>
                <w:sz w:val="24"/>
                <w:szCs w:val="24"/>
                <w:lang w:val="en-US" w:eastAsia="zh-CN"/>
              </w:rPr>
              <w:t>0</w:t>
            </w:r>
          </w:p>
        </w:tc>
        <w:tc>
          <w:tcPr>
            <w:tcW w:w="1559" w:type="dxa"/>
            <w:vAlign w:val="center"/>
          </w:tcPr>
          <w:p w14:paraId="7104AD65">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0.01</w:t>
            </w:r>
          </w:p>
        </w:tc>
        <w:tc>
          <w:tcPr>
            <w:tcW w:w="1761" w:type="dxa"/>
            <w:vAlign w:val="center"/>
          </w:tcPr>
          <w:p w14:paraId="1514BBD7">
            <w:pPr>
              <w:pStyle w:val="57"/>
              <w:jc w:val="center"/>
              <w:rPr>
                <w:rFonts w:hint="default"/>
                <w:snapToGrid w:val="0"/>
                <w:kern w:val="21"/>
                <w:sz w:val="24"/>
                <w:szCs w:val="24"/>
                <w:lang w:val="en-US" w:eastAsia="zh-CN"/>
              </w:rPr>
            </w:pPr>
            <w:r>
              <w:rPr>
                <w:rFonts w:hint="eastAsia"/>
                <w:snapToGrid w:val="0"/>
                <w:kern w:val="21"/>
                <w:sz w:val="24"/>
                <w:szCs w:val="24"/>
                <w:lang w:val="en-US" w:eastAsia="zh-CN"/>
              </w:rPr>
              <w:t>0</w:t>
            </w:r>
          </w:p>
        </w:tc>
        <w:tc>
          <w:tcPr>
            <w:tcW w:w="1745" w:type="dxa"/>
            <w:vAlign w:val="center"/>
          </w:tcPr>
          <w:p w14:paraId="2019CFBE">
            <w:pPr>
              <w:pStyle w:val="57"/>
              <w:jc w:val="center"/>
              <w:rPr>
                <w:rFonts w:hint="default" w:eastAsia="宋体"/>
                <w:snapToGrid w:val="0"/>
                <w:kern w:val="21"/>
                <w:sz w:val="24"/>
                <w:szCs w:val="24"/>
                <w:lang w:val="en-US" w:eastAsia="zh-CN"/>
              </w:rPr>
            </w:pPr>
            <w:r>
              <w:rPr>
                <w:rFonts w:hint="eastAsia"/>
                <w:snapToGrid w:val="0"/>
                <w:kern w:val="21"/>
                <w:sz w:val="24"/>
                <w:szCs w:val="24"/>
                <w:lang w:val="en-US" w:eastAsia="zh-CN"/>
              </w:rPr>
              <w:t>0.01</w:t>
            </w:r>
          </w:p>
        </w:tc>
        <w:tc>
          <w:tcPr>
            <w:tcW w:w="1040" w:type="dxa"/>
            <w:vAlign w:val="center"/>
          </w:tcPr>
          <w:p w14:paraId="5391F123">
            <w:pPr>
              <w:pStyle w:val="57"/>
              <w:jc w:val="center"/>
              <w:rPr>
                <w:rFonts w:hint="default"/>
                <w:snapToGrid w:val="0"/>
                <w:kern w:val="21"/>
                <w:sz w:val="24"/>
                <w:szCs w:val="24"/>
                <w:lang w:val="en-US" w:eastAsia="zh-CN"/>
              </w:rPr>
            </w:pPr>
            <w:r>
              <w:rPr>
                <w:rFonts w:hint="eastAsia"/>
                <w:snapToGrid w:val="0"/>
                <w:kern w:val="21"/>
                <w:sz w:val="24"/>
                <w:szCs w:val="24"/>
                <w:lang w:val="en-US" w:eastAsia="zh-CN"/>
              </w:rPr>
              <w:t>+0.01</w:t>
            </w:r>
          </w:p>
        </w:tc>
      </w:tr>
    </w:tbl>
    <w:p w14:paraId="50008455">
      <w:pPr>
        <w:pStyle w:val="57"/>
        <w:spacing w:before="192" w:beforeLines="80" w:after="24" w:line="300" w:lineRule="exact"/>
        <w:jc w:val="left"/>
        <w:rPr>
          <w:snapToGrid w:val="0"/>
          <w:spacing w:val="-6"/>
          <w:kern w:val="21"/>
          <w:szCs w:val="21"/>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r>
        <w:rPr>
          <w:rFonts w:hint="eastAsia"/>
          <w:snapToGrid w:val="0"/>
          <w:spacing w:val="-6"/>
          <w:kern w:val="21"/>
          <w:szCs w:val="21"/>
        </w:rPr>
        <w:t>。</w:t>
      </w:r>
    </w:p>
    <w:p w14:paraId="3EE19AD4">
      <w:pPr>
        <w:spacing w:line="460" w:lineRule="exact"/>
        <w:jc w:val="center"/>
        <w:rPr>
          <w:sz w:val="26"/>
          <w:szCs w:val="26"/>
        </w:rPr>
      </w:pPr>
      <w:r>
        <w:rPr>
          <w:rFonts w:hint="eastAsia"/>
          <w:sz w:val="26"/>
          <w:szCs w:val="26"/>
        </w:rPr>
        <w:t>附图附件</w:t>
      </w:r>
    </w:p>
    <w:p w14:paraId="6FFD8AB5">
      <w:pPr>
        <w:spacing w:line="460" w:lineRule="exact"/>
        <w:rPr>
          <w:b/>
          <w:bCs/>
          <w:sz w:val="26"/>
          <w:szCs w:val="26"/>
        </w:rPr>
      </w:pPr>
      <w:r>
        <w:rPr>
          <w:b/>
          <w:bCs/>
          <w:sz w:val="26"/>
          <w:szCs w:val="26"/>
        </w:rPr>
        <w:t>附图：</w:t>
      </w:r>
    </w:p>
    <w:p w14:paraId="6CBF3DD5">
      <w:pPr>
        <w:spacing w:line="460" w:lineRule="exact"/>
        <w:rPr>
          <w:sz w:val="26"/>
          <w:szCs w:val="26"/>
        </w:rPr>
      </w:pPr>
      <w:r>
        <w:rPr>
          <w:sz w:val="26"/>
          <w:szCs w:val="26"/>
        </w:rPr>
        <w:t xml:space="preserve">附图1 </w:t>
      </w:r>
      <w:r>
        <w:rPr>
          <w:rFonts w:hint="eastAsia"/>
          <w:sz w:val="26"/>
          <w:szCs w:val="26"/>
        </w:rPr>
        <w:t>项目所在地理位置图</w:t>
      </w:r>
    </w:p>
    <w:p w14:paraId="7FB40CC9">
      <w:pPr>
        <w:spacing w:line="460" w:lineRule="exact"/>
        <w:rPr>
          <w:sz w:val="26"/>
          <w:szCs w:val="26"/>
        </w:rPr>
      </w:pPr>
      <w:r>
        <w:rPr>
          <w:sz w:val="26"/>
          <w:szCs w:val="26"/>
        </w:rPr>
        <w:t>附图2</w:t>
      </w:r>
      <w:r>
        <w:rPr>
          <w:rFonts w:hint="eastAsia"/>
          <w:sz w:val="26"/>
          <w:szCs w:val="26"/>
          <w:lang w:val="en-US" w:eastAsia="zh-CN"/>
        </w:rPr>
        <w:t>-1</w:t>
      </w:r>
      <w:r>
        <w:rPr>
          <w:sz w:val="26"/>
          <w:szCs w:val="26"/>
        </w:rPr>
        <w:t xml:space="preserve"> </w:t>
      </w:r>
      <w:r>
        <w:rPr>
          <w:rFonts w:hint="eastAsia"/>
          <w:sz w:val="26"/>
          <w:szCs w:val="26"/>
        </w:rPr>
        <w:t>项目改造前平面布置及改造范围示意图</w:t>
      </w:r>
    </w:p>
    <w:p w14:paraId="395B7754">
      <w:pPr>
        <w:spacing w:line="460" w:lineRule="exact"/>
        <w:rPr>
          <w:sz w:val="26"/>
          <w:szCs w:val="26"/>
        </w:rPr>
      </w:pPr>
      <w:r>
        <w:rPr>
          <w:rFonts w:hint="eastAsia"/>
          <w:sz w:val="26"/>
          <w:szCs w:val="26"/>
        </w:rPr>
        <w:t>附图2-2 项目改造后平面布置图</w:t>
      </w:r>
    </w:p>
    <w:p w14:paraId="04FD922F">
      <w:pPr>
        <w:spacing w:line="460" w:lineRule="exact"/>
        <w:rPr>
          <w:sz w:val="26"/>
          <w:szCs w:val="26"/>
        </w:rPr>
      </w:pPr>
      <w:r>
        <w:rPr>
          <w:rFonts w:hint="eastAsia"/>
          <w:sz w:val="26"/>
          <w:szCs w:val="26"/>
        </w:rPr>
        <w:t>附图3 项目管网布置及分区防渗图</w:t>
      </w:r>
    </w:p>
    <w:p w14:paraId="0EDDBF30">
      <w:pPr>
        <w:spacing w:line="460" w:lineRule="exact"/>
        <w:rPr>
          <w:sz w:val="26"/>
          <w:szCs w:val="26"/>
        </w:rPr>
      </w:pPr>
      <w:r>
        <w:rPr>
          <w:rFonts w:hint="eastAsia"/>
          <w:sz w:val="26"/>
          <w:szCs w:val="26"/>
        </w:rPr>
        <w:t>附图4 项目现状监测及跟踪监测布点图</w:t>
      </w:r>
    </w:p>
    <w:p w14:paraId="29485B40">
      <w:pPr>
        <w:spacing w:line="460" w:lineRule="exact"/>
        <w:rPr>
          <w:sz w:val="26"/>
          <w:szCs w:val="26"/>
        </w:rPr>
      </w:pPr>
      <w:r>
        <w:rPr>
          <w:rFonts w:hint="eastAsia"/>
          <w:sz w:val="26"/>
          <w:szCs w:val="26"/>
        </w:rPr>
        <w:t>附图5 项目周边污水管网分布图</w:t>
      </w:r>
    </w:p>
    <w:p w14:paraId="000D9BB2">
      <w:pPr>
        <w:spacing w:line="460" w:lineRule="exact"/>
        <w:rPr>
          <w:sz w:val="26"/>
          <w:szCs w:val="26"/>
        </w:rPr>
      </w:pPr>
      <w:r>
        <w:rPr>
          <w:rFonts w:hint="eastAsia"/>
          <w:sz w:val="26"/>
          <w:szCs w:val="26"/>
        </w:rPr>
        <w:t>附图6 项目周边环境敏感目标分布图</w:t>
      </w:r>
    </w:p>
    <w:p w14:paraId="6BFC4B0F">
      <w:pPr>
        <w:spacing w:line="460" w:lineRule="exact"/>
        <w:rPr>
          <w:sz w:val="26"/>
          <w:szCs w:val="26"/>
        </w:rPr>
      </w:pPr>
    </w:p>
    <w:p w14:paraId="48D8683F">
      <w:pPr>
        <w:spacing w:line="460" w:lineRule="exact"/>
        <w:rPr>
          <w:b/>
          <w:bCs/>
          <w:sz w:val="26"/>
          <w:szCs w:val="26"/>
        </w:rPr>
      </w:pPr>
      <w:r>
        <w:rPr>
          <w:b/>
          <w:bCs/>
          <w:sz w:val="26"/>
          <w:szCs w:val="26"/>
        </w:rPr>
        <w:t>附件</w:t>
      </w:r>
      <w:r>
        <w:rPr>
          <w:rFonts w:hint="eastAsia"/>
          <w:b/>
          <w:bCs/>
          <w:sz w:val="26"/>
          <w:szCs w:val="26"/>
        </w:rPr>
        <w:t>：</w:t>
      </w:r>
    </w:p>
    <w:p w14:paraId="31242502">
      <w:pPr>
        <w:spacing w:line="460" w:lineRule="exact"/>
        <w:rPr>
          <w:sz w:val="26"/>
          <w:szCs w:val="26"/>
        </w:rPr>
      </w:pPr>
      <w:r>
        <w:rPr>
          <w:rFonts w:hint="eastAsia"/>
          <w:sz w:val="26"/>
          <w:szCs w:val="26"/>
        </w:rPr>
        <w:t>附件1 备案证</w:t>
      </w:r>
    </w:p>
    <w:p w14:paraId="52AC9BB0">
      <w:pPr>
        <w:spacing w:line="460" w:lineRule="exact"/>
        <w:rPr>
          <w:sz w:val="26"/>
          <w:szCs w:val="26"/>
        </w:rPr>
      </w:pPr>
      <w:r>
        <w:rPr>
          <w:rFonts w:hint="eastAsia"/>
          <w:sz w:val="26"/>
          <w:szCs w:val="26"/>
        </w:rPr>
        <w:t>附件2 商务</w:t>
      </w:r>
      <w:r>
        <w:rPr>
          <w:rFonts w:hint="eastAsia"/>
          <w:sz w:val="26"/>
          <w:szCs w:val="26"/>
          <w:lang w:val="en-US" w:eastAsia="zh-CN"/>
        </w:rPr>
        <w:t>委</w:t>
      </w:r>
      <w:r>
        <w:rPr>
          <w:rFonts w:hint="eastAsia"/>
          <w:sz w:val="26"/>
          <w:szCs w:val="26"/>
        </w:rPr>
        <w:t>加油站改造批复</w:t>
      </w:r>
    </w:p>
    <w:p w14:paraId="36F57FF6">
      <w:pPr>
        <w:spacing w:line="460" w:lineRule="exact"/>
        <w:rPr>
          <w:rFonts w:hint="default" w:eastAsia="宋体"/>
          <w:sz w:val="26"/>
          <w:szCs w:val="26"/>
          <w:lang w:val="en-US" w:eastAsia="zh-CN"/>
        </w:rPr>
      </w:pPr>
      <w:r>
        <w:rPr>
          <w:rFonts w:hint="eastAsia"/>
          <w:sz w:val="26"/>
          <w:szCs w:val="26"/>
          <w:lang w:val="en-US" w:eastAsia="zh-CN"/>
        </w:rPr>
        <w:t>附件3 房产证</w:t>
      </w:r>
    </w:p>
    <w:p w14:paraId="468D5AB5">
      <w:pPr>
        <w:spacing w:line="460" w:lineRule="exact"/>
        <w:rPr>
          <w:rFonts w:hint="default" w:eastAsia="宋体"/>
          <w:sz w:val="26"/>
          <w:szCs w:val="26"/>
          <w:lang w:val="en-US" w:eastAsia="zh-CN"/>
        </w:rPr>
      </w:pPr>
      <w:r>
        <w:rPr>
          <w:rFonts w:hint="eastAsia"/>
          <w:sz w:val="26"/>
          <w:szCs w:val="26"/>
        </w:rPr>
        <w:t>附件</w:t>
      </w:r>
      <w:r>
        <w:rPr>
          <w:rFonts w:hint="eastAsia"/>
          <w:sz w:val="26"/>
          <w:szCs w:val="26"/>
          <w:lang w:val="en-US" w:eastAsia="zh-CN"/>
        </w:rPr>
        <w:t>4</w:t>
      </w:r>
      <w:r>
        <w:rPr>
          <w:rFonts w:hint="eastAsia"/>
          <w:sz w:val="26"/>
          <w:szCs w:val="26"/>
        </w:rPr>
        <w:t xml:space="preserve"> 现有工程</w:t>
      </w:r>
      <w:r>
        <w:rPr>
          <w:rFonts w:hint="eastAsia"/>
          <w:sz w:val="26"/>
          <w:szCs w:val="26"/>
          <w:lang w:val="en-US" w:eastAsia="zh-CN"/>
        </w:rPr>
        <w:t>环保手续</w:t>
      </w:r>
    </w:p>
    <w:p w14:paraId="37DDB496">
      <w:pPr>
        <w:spacing w:line="460" w:lineRule="exact"/>
        <w:rPr>
          <w:rFonts w:hint="default" w:eastAsia="宋体"/>
          <w:sz w:val="26"/>
          <w:szCs w:val="26"/>
          <w:lang w:val="en-US" w:eastAsia="zh-CN"/>
        </w:rPr>
      </w:pPr>
      <w:r>
        <w:rPr>
          <w:rFonts w:hint="eastAsia"/>
          <w:sz w:val="26"/>
          <w:szCs w:val="26"/>
        </w:rPr>
        <w:t>附件</w:t>
      </w:r>
      <w:r>
        <w:rPr>
          <w:rFonts w:hint="eastAsia"/>
          <w:sz w:val="26"/>
          <w:szCs w:val="26"/>
          <w:lang w:val="en-US" w:eastAsia="zh-CN"/>
        </w:rPr>
        <w:t>5</w:t>
      </w:r>
      <w:r>
        <w:rPr>
          <w:rFonts w:hint="eastAsia"/>
          <w:sz w:val="26"/>
          <w:szCs w:val="26"/>
        </w:rPr>
        <w:t xml:space="preserve"> </w:t>
      </w:r>
      <w:r>
        <w:rPr>
          <w:rFonts w:hint="eastAsia"/>
          <w:sz w:val="26"/>
          <w:szCs w:val="26"/>
          <w:lang w:val="en-US" w:eastAsia="zh-CN"/>
        </w:rPr>
        <w:t>现有工程监测资料</w:t>
      </w:r>
    </w:p>
    <w:p w14:paraId="3F1CD772">
      <w:pPr>
        <w:spacing w:line="460" w:lineRule="exact"/>
        <w:rPr>
          <w:rFonts w:hint="default" w:eastAsia="宋体"/>
          <w:sz w:val="26"/>
          <w:szCs w:val="26"/>
          <w:lang w:val="en-US" w:eastAsia="zh-CN"/>
        </w:rPr>
      </w:pPr>
      <w:r>
        <w:rPr>
          <w:rFonts w:hint="eastAsia"/>
          <w:sz w:val="26"/>
          <w:szCs w:val="26"/>
          <w:lang w:val="en-US" w:eastAsia="zh-CN"/>
        </w:rPr>
        <w:t>附件6 现有工程危废处置协议</w:t>
      </w:r>
    </w:p>
    <w:p w14:paraId="4F65A85F">
      <w:pPr>
        <w:spacing w:line="460" w:lineRule="exact"/>
        <w:rPr>
          <w:sz w:val="26"/>
          <w:szCs w:val="26"/>
        </w:rPr>
      </w:pPr>
      <w:r>
        <w:rPr>
          <w:rFonts w:hint="eastAsia"/>
          <w:sz w:val="26"/>
          <w:szCs w:val="26"/>
        </w:rPr>
        <w:t>附件</w:t>
      </w:r>
      <w:r>
        <w:rPr>
          <w:rFonts w:hint="eastAsia"/>
          <w:sz w:val="26"/>
          <w:szCs w:val="26"/>
          <w:lang w:val="en-US" w:eastAsia="zh-CN"/>
        </w:rPr>
        <w:t>7</w:t>
      </w:r>
      <w:r>
        <w:rPr>
          <w:rFonts w:hint="eastAsia"/>
          <w:sz w:val="26"/>
          <w:szCs w:val="26"/>
        </w:rPr>
        <w:t xml:space="preserve"> 环境质量现状监测报告</w:t>
      </w:r>
    </w:p>
    <w:p w14:paraId="5B6B724B">
      <w:pPr>
        <w:spacing w:line="460" w:lineRule="exact"/>
        <w:rPr>
          <w:sz w:val="26"/>
          <w:szCs w:val="26"/>
        </w:rPr>
      </w:pPr>
      <w:r>
        <w:rPr>
          <w:rFonts w:hint="eastAsia"/>
          <w:sz w:val="26"/>
          <w:szCs w:val="26"/>
        </w:rPr>
        <w:t>附件</w:t>
      </w:r>
      <w:r>
        <w:rPr>
          <w:rFonts w:hint="eastAsia"/>
          <w:sz w:val="26"/>
          <w:szCs w:val="26"/>
          <w:lang w:val="en-US" w:eastAsia="zh-CN"/>
        </w:rPr>
        <w:t>8</w:t>
      </w:r>
      <w:r>
        <w:rPr>
          <w:rFonts w:hint="eastAsia"/>
          <w:sz w:val="26"/>
          <w:szCs w:val="26"/>
        </w:rPr>
        <w:t xml:space="preserve"> 三线一单检测报告</w:t>
      </w:r>
    </w:p>
    <w:sectPr>
      <w:pgSz w:w="11906" w:h="16838"/>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B73C83-96E9-41D6-AB9F-0194411879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63D98AF-DD5A-4572-8E1B-C33A5CC5CA36}"/>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embedRegular r:id="rId3" w:fontKey="{D1AA5BE7-21BC-4404-874E-474D4E2D467F}"/>
  </w:font>
  <w:font w:name="仿宋_GB2312">
    <w:panose1 w:val="02010609030101010101"/>
    <w:charset w:val="86"/>
    <w:family w:val="modern"/>
    <w:pitch w:val="default"/>
    <w:sig w:usb0="00000001" w:usb1="080E0000" w:usb2="00000000" w:usb3="00000000" w:csb0="00040000" w:csb1="00000000"/>
    <w:embedRegular r:id="rId4" w:fontKey="{4ACC1584-55A7-489D-BBAF-BE60F71F2AFF}"/>
  </w:font>
  <w:font w:name="等线">
    <w:panose1 w:val="02010600030101010101"/>
    <w:charset w:val="86"/>
    <w:family w:val="auto"/>
    <w:pitch w:val="default"/>
    <w:sig w:usb0="A00002BF" w:usb1="38CF7CFA" w:usb2="00000016" w:usb3="00000000" w:csb0="0004000F" w:csb1="00000000"/>
    <w:embedRegular r:id="rId5" w:fontKey="{267ACC3E-6C0E-453C-80BC-4E1A6EF9CD72}"/>
  </w:font>
  <w:font w:name="方正小标宋_GBK">
    <w:panose1 w:val="02000000000000000000"/>
    <w:charset w:val="86"/>
    <w:family w:val="script"/>
    <w:pitch w:val="default"/>
    <w:sig w:usb0="A00002BF" w:usb1="38CF7CFA" w:usb2="00082016" w:usb3="00000000" w:csb0="00040001" w:csb1="00000000"/>
    <w:embedRegular r:id="rId6" w:fontKey="{7919FE42-0D64-4FDC-B33B-B887B684DC7D}"/>
  </w:font>
  <w:font w:name="仿宋">
    <w:panose1 w:val="02010609060101010101"/>
    <w:charset w:val="86"/>
    <w:family w:val="modern"/>
    <w:pitch w:val="default"/>
    <w:sig w:usb0="800002BF" w:usb1="38CF7CFA" w:usb2="00000016" w:usb3="00000000" w:csb0="00040001" w:csb1="00000000"/>
    <w:embedRegular r:id="rId7" w:fontKey="{F0039DFF-0AC2-4C6B-93F5-2F8895311A3D}"/>
  </w:font>
  <w:font w:name="Wingdings 2">
    <w:panose1 w:val="05020102010507070707"/>
    <w:charset w:val="02"/>
    <w:family w:val="roman"/>
    <w:pitch w:val="default"/>
    <w:sig w:usb0="00000000" w:usb1="00000000" w:usb2="00000000" w:usb3="00000000" w:csb0="80000000" w:csb1="00000000"/>
    <w:embedRegular r:id="rId8" w:fontKey="{950F5E43-63E5-492D-B8AB-767DB6E07480}"/>
  </w:font>
  <w:font w:name="微软雅黑">
    <w:panose1 w:val="020B0503020204020204"/>
    <w:charset w:val="86"/>
    <w:family w:val="auto"/>
    <w:pitch w:val="default"/>
    <w:sig w:usb0="80000287" w:usb1="2ACF3C50" w:usb2="00000016" w:usb3="00000000" w:csb0="0004001F" w:csb1="00000000"/>
    <w:embedRegular r:id="rId9" w:fontKey="{65BE07D9-B21E-4E30-BC5D-4811AC7E1318}"/>
  </w:font>
  <w:font w:name="MicrosoftYaHei">
    <w:altName w:val="宋体"/>
    <w:panose1 w:val="00000000000000000000"/>
    <w:charset w:val="86"/>
    <w:family w:val="auto"/>
    <w:pitch w:val="default"/>
    <w:sig w:usb0="00000000" w:usb1="00000000" w:usb2="00000010" w:usb3="00000000" w:csb0="00040000" w:csb1="00000000"/>
    <w:embedRegular r:id="rId10" w:fontKey="{A7F2B7C9-80D6-4412-9D5D-408E5F00E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46EC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9D0F6">
    <w:pPr>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92785" cy="230505"/>
              <wp:effectExtent l="0" t="2540" r="4445"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92785" cy="230505"/>
                      </a:xfrm>
                      <a:prstGeom prst="rect">
                        <a:avLst/>
                      </a:prstGeom>
                      <a:noFill/>
                      <a:ln>
                        <a:noFill/>
                      </a:ln>
                    </wps:spPr>
                    <wps:txbx>
                      <w:txbxContent>
                        <w:p w14:paraId="57948A93">
                          <w:pPr>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Fonts w:hint="default" w:ascii="Times New Roman" w:hAnsi="Times New Roman" w:cs="Times New Roman"/>
                              <w:sz w:val="26"/>
                              <w:szCs w:val="26"/>
                            </w:rPr>
                            <w:t>35</w:t>
                          </w:r>
                          <w:r>
                            <w:rPr>
                              <w:rFonts w:hint="default" w:ascii="Times New Roman" w:hAnsi="Times New Roman" w:cs="Times New Roman"/>
                              <w:sz w:val="26"/>
                              <w:szCs w:val="26"/>
                            </w:rPr>
                            <w:fldChar w:fldCharType="end"/>
                          </w:r>
                          <w:r>
                            <w:rPr>
                              <w:rFonts w:hint="default" w:ascii="Times New Roman" w:hAnsi="Times New Roman" w:cs="Times New Roman"/>
                              <w:sz w:val="20"/>
                            </w:rPr>
                            <w:t xml:space="preserve">  </w:t>
                          </w:r>
                          <w:r>
                            <w:rPr>
                              <w:rFonts w:hint="default" w:ascii="Times New Roman" w:hAnsi="Times New Roman" w:cs="Times New Roman"/>
                              <w:sz w:val="28"/>
                              <w:szCs w:val="28"/>
                            </w:rPr>
                            <w:t>—</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8.15pt;width:54.55pt;mso-position-horizontal:outside;mso-position-horizontal-relative:margin;mso-wrap-style:none;z-index:251659264;mso-width-relative:page;mso-height-relative:page;" filled="f" stroked="f" coordsize="21600,21600" o:gfxdata="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Z1le0gAAAAQBAAAPAAAAAAAAAAEAIAAAACIAAABkcnMv&#10;ZG93bnJldi54bWxQSwECFAAUAAAACACHTuJAUISP/QkCAAACBAAADgAAAAAAAAABACAAAAAhAQAA&#10;ZHJzL2Uyb0RvYy54bWxQSwUGAAAAAAYABgBZAQAAnAUAAAAA&#10;">
              <v:fill on="f" focussize="0,0"/>
              <v:stroke on="f"/>
              <v:imagedata o:title=""/>
              <o:lock v:ext="edit" aspectratio="f"/>
              <v:textbox inset="0mm,0mm,0mm,0mm" style="mso-fit-shape-to-text:t;">
                <w:txbxContent>
                  <w:p w14:paraId="57948A93">
                    <w:pPr>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Fonts w:hint="default" w:ascii="Times New Roman" w:hAnsi="Times New Roman" w:cs="Times New Roman"/>
                        <w:sz w:val="26"/>
                        <w:szCs w:val="26"/>
                      </w:rPr>
                      <w:t>35</w:t>
                    </w:r>
                    <w:r>
                      <w:rPr>
                        <w:rFonts w:hint="default" w:ascii="Times New Roman" w:hAnsi="Times New Roman" w:cs="Times New Roman"/>
                        <w:sz w:val="26"/>
                        <w:szCs w:val="26"/>
                      </w:rPr>
                      <w:fldChar w:fldCharType="end"/>
                    </w:r>
                    <w:r>
                      <w:rPr>
                        <w:rFonts w:hint="default" w:ascii="Times New Roman" w:hAnsi="Times New Roman" w:cs="Times New Roman"/>
                        <w:sz w:val="20"/>
                      </w:rPr>
                      <w:t xml:space="preserve">  </w:t>
                    </w:r>
                    <w:r>
                      <w:rPr>
                        <w:rFonts w:hint="default" w:ascii="Times New Roman" w:hAnsi="Times New Roman" w:cs="Times New Roman"/>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5EE93">
    <w:pPr>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75335" cy="230505"/>
              <wp:effectExtent l="2540" t="4445" r="3175" b="317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75335" cy="230505"/>
                      </a:xfrm>
                      <a:prstGeom prst="rect">
                        <a:avLst/>
                      </a:prstGeom>
                      <a:noFill/>
                      <a:ln>
                        <a:noFill/>
                      </a:ln>
                    </wps:spPr>
                    <wps:txbx>
                      <w:txbxContent>
                        <w:p w14:paraId="0B9B25CE">
                          <w:pPr>
                            <w:rPr>
                              <w:rFonts w:hint="eastAsia"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58</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8.15pt;width:61.05pt;mso-position-horizontal:outside;mso-position-horizontal-relative:margin;mso-wrap-style:none;z-index:251660288;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OieX0QAAAAQBAAAPAAAAAAAAAAEAIAAAACIAAABkcnMv&#10;ZG93bnJldi54bWxQSwECFAAUAAAACACHTuJAyzei5QoCAAACBAAADgAAAAAAAAABACAAAAAgAQAA&#10;ZHJzL2Uyb0RvYy54bWxQSwUGAAAAAAYABgBZAQAAnAUAAAAA&#10;">
              <v:fill on="f" focussize="0,0"/>
              <v:stroke on="f"/>
              <v:imagedata o:title=""/>
              <o:lock v:ext="edit" aspectratio="f"/>
              <v:textbox inset="0mm,0mm,0mm,0mm" style="mso-fit-shape-to-text:t;">
                <w:txbxContent>
                  <w:p w14:paraId="0B9B25CE">
                    <w:pPr>
                      <w:rPr>
                        <w:rFonts w:hint="eastAsia"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58</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831E1B"/>
    <w:multiLevelType w:val="singleLevel"/>
    <w:tmpl w:val="27831E1B"/>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0B5"/>
    <w:rsid w:val="0000494E"/>
    <w:rsid w:val="0000531D"/>
    <w:rsid w:val="00005F8B"/>
    <w:rsid w:val="000060B3"/>
    <w:rsid w:val="00011811"/>
    <w:rsid w:val="00011CE2"/>
    <w:rsid w:val="00011ED0"/>
    <w:rsid w:val="000130E0"/>
    <w:rsid w:val="000162E7"/>
    <w:rsid w:val="000172E1"/>
    <w:rsid w:val="00017C8C"/>
    <w:rsid w:val="0002307E"/>
    <w:rsid w:val="00030A30"/>
    <w:rsid w:val="00032C04"/>
    <w:rsid w:val="00040617"/>
    <w:rsid w:val="00041850"/>
    <w:rsid w:val="0004364B"/>
    <w:rsid w:val="00050643"/>
    <w:rsid w:val="00052177"/>
    <w:rsid w:val="000521DD"/>
    <w:rsid w:val="00052804"/>
    <w:rsid w:val="00057129"/>
    <w:rsid w:val="000606E5"/>
    <w:rsid w:val="00061B1F"/>
    <w:rsid w:val="000628BA"/>
    <w:rsid w:val="0006634C"/>
    <w:rsid w:val="000670B4"/>
    <w:rsid w:val="00067164"/>
    <w:rsid w:val="000733C4"/>
    <w:rsid w:val="00074783"/>
    <w:rsid w:val="00077A7F"/>
    <w:rsid w:val="0008070B"/>
    <w:rsid w:val="000810AC"/>
    <w:rsid w:val="00081A02"/>
    <w:rsid w:val="00081B65"/>
    <w:rsid w:val="00081F2C"/>
    <w:rsid w:val="00082231"/>
    <w:rsid w:val="00084918"/>
    <w:rsid w:val="00092D38"/>
    <w:rsid w:val="0009377B"/>
    <w:rsid w:val="000937B9"/>
    <w:rsid w:val="0009470D"/>
    <w:rsid w:val="000A09D2"/>
    <w:rsid w:val="000A20C9"/>
    <w:rsid w:val="000A7B8A"/>
    <w:rsid w:val="000B058F"/>
    <w:rsid w:val="000B12A8"/>
    <w:rsid w:val="000B3CE4"/>
    <w:rsid w:val="000B4467"/>
    <w:rsid w:val="000B4DB9"/>
    <w:rsid w:val="000B7374"/>
    <w:rsid w:val="000C09AC"/>
    <w:rsid w:val="000C3ECB"/>
    <w:rsid w:val="000C6556"/>
    <w:rsid w:val="000C767F"/>
    <w:rsid w:val="000C7958"/>
    <w:rsid w:val="000D5A44"/>
    <w:rsid w:val="000E08FC"/>
    <w:rsid w:val="000E1FCE"/>
    <w:rsid w:val="000E21F1"/>
    <w:rsid w:val="000E3ED2"/>
    <w:rsid w:val="000E6299"/>
    <w:rsid w:val="000F247E"/>
    <w:rsid w:val="000F322E"/>
    <w:rsid w:val="00111DCE"/>
    <w:rsid w:val="001211B2"/>
    <w:rsid w:val="00121F65"/>
    <w:rsid w:val="00123B5E"/>
    <w:rsid w:val="00124E51"/>
    <w:rsid w:val="00125441"/>
    <w:rsid w:val="00125EC1"/>
    <w:rsid w:val="001313D2"/>
    <w:rsid w:val="00131F42"/>
    <w:rsid w:val="00134760"/>
    <w:rsid w:val="00134FDF"/>
    <w:rsid w:val="001357F1"/>
    <w:rsid w:val="00137F2C"/>
    <w:rsid w:val="00140FA8"/>
    <w:rsid w:val="00141DE5"/>
    <w:rsid w:val="00142FEB"/>
    <w:rsid w:val="00143658"/>
    <w:rsid w:val="00143929"/>
    <w:rsid w:val="00143A2D"/>
    <w:rsid w:val="00144252"/>
    <w:rsid w:val="00145A41"/>
    <w:rsid w:val="00146226"/>
    <w:rsid w:val="00147C65"/>
    <w:rsid w:val="00151675"/>
    <w:rsid w:val="00157435"/>
    <w:rsid w:val="00161E46"/>
    <w:rsid w:val="00164745"/>
    <w:rsid w:val="00165224"/>
    <w:rsid w:val="0016735D"/>
    <w:rsid w:val="0017251D"/>
    <w:rsid w:val="00172A27"/>
    <w:rsid w:val="00173866"/>
    <w:rsid w:val="0017504D"/>
    <w:rsid w:val="0017671A"/>
    <w:rsid w:val="00177422"/>
    <w:rsid w:val="001820F9"/>
    <w:rsid w:val="00183AF5"/>
    <w:rsid w:val="00184590"/>
    <w:rsid w:val="001866A6"/>
    <w:rsid w:val="00186C13"/>
    <w:rsid w:val="001870D1"/>
    <w:rsid w:val="0018781E"/>
    <w:rsid w:val="0019262D"/>
    <w:rsid w:val="00196C6A"/>
    <w:rsid w:val="001A1B35"/>
    <w:rsid w:val="001A48A2"/>
    <w:rsid w:val="001A6F61"/>
    <w:rsid w:val="001B4301"/>
    <w:rsid w:val="001B72B8"/>
    <w:rsid w:val="001C122E"/>
    <w:rsid w:val="001C3C0A"/>
    <w:rsid w:val="001C3FB9"/>
    <w:rsid w:val="001C4A06"/>
    <w:rsid w:val="001C69B3"/>
    <w:rsid w:val="001D01F5"/>
    <w:rsid w:val="001D0771"/>
    <w:rsid w:val="001D5595"/>
    <w:rsid w:val="001D7874"/>
    <w:rsid w:val="001D7F22"/>
    <w:rsid w:val="001E3D03"/>
    <w:rsid w:val="001F0569"/>
    <w:rsid w:val="001F0F17"/>
    <w:rsid w:val="001F215B"/>
    <w:rsid w:val="001F3347"/>
    <w:rsid w:val="001F48CB"/>
    <w:rsid w:val="001F69E4"/>
    <w:rsid w:val="00200DCF"/>
    <w:rsid w:val="00203590"/>
    <w:rsid w:val="0020780B"/>
    <w:rsid w:val="00207B29"/>
    <w:rsid w:val="00211B74"/>
    <w:rsid w:val="00211E87"/>
    <w:rsid w:val="00212353"/>
    <w:rsid w:val="002125B4"/>
    <w:rsid w:val="002155B8"/>
    <w:rsid w:val="00221EA8"/>
    <w:rsid w:val="00224839"/>
    <w:rsid w:val="002249B2"/>
    <w:rsid w:val="00224F4F"/>
    <w:rsid w:val="002252E8"/>
    <w:rsid w:val="00226574"/>
    <w:rsid w:val="00227845"/>
    <w:rsid w:val="002278EC"/>
    <w:rsid w:val="0023280E"/>
    <w:rsid w:val="00235BBD"/>
    <w:rsid w:val="002377D1"/>
    <w:rsid w:val="00241E8B"/>
    <w:rsid w:val="00242329"/>
    <w:rsid w:val="0024344D"/>
    <w:rsid w:val="002436BD"/>
    <w:rsid w:val="00247B08"/>
    <w:rsid w:val="002506BC"/>
    <w:rsid w:val="00254345"/>
    <w:rsid w:val="002560BA"/>
    <w:rsid w:val="00260D76"/>
    <w:rsid w:val="00264557"/>
    <w:rsid w:val="00271AE8"/>
    <w:rsid w:val="0027497B"/>
    <w:rsid w:val="002805AB"/>
    <w:rsid w:val="00282EE0"/>
    <w:rsid w:val="00284204"/>
    <w:rsid w:val="002843EF"/>
    <w:rsid w:val="00284AE1"/>
    <w:rsid w:val="00291773"/>
    <w:rsid w:val="002925EA"/>
    <w:rsid w:val="002926BB"/>
    <w:rsid w:val="00294CBF"/>
    <w:rsid w:val="002A034B"/>
    <w:rsid w:val="002A168C"/>
    <w:rsid w:val="002A3DC7"/>
    <w:rsid w:val="002A7DA2"/>
    <w:rsid w:val="002B30DC"/>
    <w:rsid w:val="002B49E2"/>
    <w:rsid w:val="002B7B00"/>
    <w:rsid w:val="002B7C44"/>
    <w:rsid w:val="002C0C15"/>
    <w:rsid w:val="002C2B17"/>
    <w:rsid w:val="002C36F2"/>
    <w:rsid w:val="002C627B"/>
    <w:rsid w:val="002D1895"/>
    <w:rsid w:val="002D3DD0"/>
    <w:rsid w:val="002D7AF1"/>
    <w:rsid w:val="002E072F"/>
    <w:rsid w:val="002E1853"/>
    <w:rsid w:val="002E1F3A"/>
    <w:rsid w:val="002E298A"/>
    <w:rsid w:val="002E79FD"/>
    <w:rsid w:val="002F4A13"/>
    <w:rsid w:val="00301978"/>
    <w:rsid w:val="0030332C"/>
    <w:rsid w:val="003051C2"/>
    <w:rsid w:val="00305A84"/>
    <w:rsid w:val="00307119"/>
    <w:rsid w:val="00312296"/>
    <w:rsid w:val="00312C37"/>
    <w:rsid w:val="00314F0E"/>
    <w:rsid w:val="00317EF4"/>
    <w:rsid w:val="00321D8E"/>
    <w:rsid w:val="00324EE7"/>
    <w:rsid w:val="00325928"/>
    <w:rsid w:val="00330444"/>
    <w:rsid w:val="00331385"/>
    <w:rsid w:val="003325C2"/>
    <w:rsid w:val="00332863"/>
    <w:rsid w:val="003346CF"/>
    <w:rsid w:val="00335D5E"/>
    <w:rsid w:val="0033684D"/>
    <w:rsid w:val="00337B42"/>
    <w:rsid w:val="00340823"/>
    <w:rsid w:val="00341B42"/>
    <w:rsid w:val="003433BD"/>
    <w:rsid w:val="0034348F"/>
    <w:rsid w:val="003450C5"/>
    <w:rsid w:val="003539C6"/>
    <w:rsid w:val="00356653"/>
    <w:rsid w:val="00356B6B"/>
    <w:rsid w:val="0035743F"/>
    <w:rsid w:val="00357BE2"/>
    <w:rsid w:val="0036017A"/>
    <w:rsid w:val="0036058A"/>
    <w:rsid w:val="0036170C"/>
    <w:rsid w:val="00364998"/>
    <w:rsid w:val="003653E6"/>
    <w:rsid w:val="00366E0F"/>
    <w:rsid w:val="00367683"/>
    <w:rsid w:val="0037079E"/>
    <w:rsid w:val="003715AF"/>
    <w:rsid w:val="0037312D"/>
    <w:rsid w:val="00375E5F"/>
    <w:rsid w:val="00376732"/>
    <w:rsid w:val="00376894"/>
    <w:rsid w:val="00381A72"/>
    <w:rsid w:val="0038254D"/>
    <w:rsid w:val="00384676"/>
    <w:rsid w:val="00384A9D"/>
    <w:rsid w:val="00390857"/>
    <w:rsid w:val="00395999"/>
    <w:rsid w:val="003A4BF3"/>
    <w:rsid w:val="003B0F21"/>
    <w:rsid w:val="003B420D"/>
    <w:rsid w:val="003B50D0"/>
    <w:rsid w:val="003C1C4D"/>
    <w:rsid w:val="003C33FE"/>
    <w:rsid w:val="003C4054"/>
    <w:rsid w:val="003C5FDA"/>
    <w:rsid w:val="003C6C16"/>
    <w:rsid w:val="003D03B7"/>
    <w:rsid w:val="003D38BD"/>
    <w:rsid w:val="003D5BDE"/>
    <w:rsid w:val="003D794D"/>
    <w:rsid w:val="003E3058"/>
    <w:rsid w:val="003E31C1"/>
    <w:rsid w:val="003E43A2"/>
    <w:rsid w:val="003E631D"/>
    <w:rsid w:val="003E76A9"/>
    <w:rsid w:val="003F0809"/>
    <w:rsid w:val="003F3930"/>
    <w:rsid w:val="003F5C52"/>
    <w:rsid w:val="003F6A8C"/>
    <w:rsid w:val="003F7167"/>
    <w:rsid w:val="003F755C"/>
    <w:rsid w:val="003F7B29"/>
    <w:rsid w:val="004000B1"/>
    <w:rsid w:val="004001F1"/>
    <w:rsid w:val="00400CA8"/>
    <w:rsid w:val="00403FA5"/>
    <w:rsid w:val="0040503D"/>
    <w:rsid w:val="00405592"/>
    <w:rsid w:val="00406353"/>
    <w:rsid w:val="00406F01"/>
    <w:rsid w:val="004148FD"/>
    <w:rsid w:val="00416D50"/>
    <w:rsid w:val="00416FD5"/>
    <w:rsid w:val="00417772"/>
    <w:rsid w:val="00420E6A"/>
    <w:rsid w:val="004217E7"/>
    <w:rsid w:val="00422C9E"/>
    <w:rsid w:val="00425866"/>
    <w:rsid w:val="00425A9E"/>
    <w:rsid w:val="00426D6B"/>
    <w:rsid w:val="00430423"/>
    <w:rsid w:val="00431E6C"/>
    <w:rsid w:val="00433CE7"/>
    <w:rsid w:val="004404A3"/>
    <w:rsid w:val="00440FF0"/>
    <w:rsid w:val="00441A6C"/>
    <w:rsid w:val="0044303E"/>
    <w:rsid w:val="00445B1F"/>
    <w:rsid w:val="0044612D"/>
    <w:rsid w:val="00452738"/>
    <w:rsid w:val="00453141"/>
    <w:rsid w:val="004535B7"/>
    <w:rsid w:val="00456091"/>
    <w:rsid w:val="00456ACD"/>
    <w:rsid w:val="004615DE"/>
    <w:rsid w:val="00462C67"/>
    <w:rsid w:val="00463DE4"/>
    <w:rsid w:val="0046433D"/>
    <w:rsid w:val="004646D8"/>
    <w:rsid w:val="0046617F"/>
    <w:rsid w:val="00466321"/>
    <w:rsid w:val="00474254"/>
    <w:rsid w:val="00476C57"/>
    <w:rsid w:val="004802EA"/>
    <w:rsid w:val="0048077B"/>
    <w:rsid w:val="00484B9B"/>
    <w:rsid w:val="004851CD"/>
    <w:rsid w:val="004855F6"/>
    <w:rsid w:val="0048661E"/>
    <w:rsid w:val="00487362"/>
    <w:rsid w:val="00493608"/>
    <w:rsid w:val="00494670"/>
    <w:rsid w:val="0049576F"/>
    <w:rsid w:val="004966C4"/>
    <w:rsid w:val="00497EEE"/>
    <w:rsid w:val="004A132B"/>
    <w:rsid w:val="004A3823"/>
    <w:rsid w:val="004A4433"/>
    <w:rsid w:val="004A64D3"/>
    <w:rsid w:val="004B328B"/>
    <w:rsid w:val="004B4FE4"/>
    <w:rsid w:val="004B7DE7"/>
    <w:rsid w:val="004C5FBB"/>
    <w:rsid w:val="004C65C5"/>
    <w:rsid w:val="004D1249"/>
    <w:rsid w:val="004D2BEA"/>
    <w:rsid w:val="004E6946"/>
    <w:rsid w:val="004E6D52"/>
    <w:rsid w:val="004F0884"/>
    <w:rsid w:val="004F1AD8"/>
    <w:rsid w:val="005011CD"/>
    <w:rsid w:val="0050195A"/>
    <w:rsid w:val="005039CB"/>
    <w:rsid w:val="0050558F"/>
    <w:rsid w:val="00506286"/>
    <w:rsid w:val="00510813"/>
    <w:rsid w:val="00511990"/>
    <w:rsid w:val="00511DE0"/>
    <w:rsid w:val="00513A2A"/>
    <w:rsid w:val="00514870"/>
    <w:rsid w:val="00514B9B"/>
    <w:rsid w:val="00517F02"/>
    <w:rsid w:val="00524303"/>
    <w:rsid w:val="005258A2"/>
    <w:rsid w:val="00537EC8"/>
    <w:rsid w:val="005401AE"/>
    <w:rsid w:val="00542E07"/>
    <w:rsid w:val="005444ED"/>
    <w:rsid w:val="00545424"/>
    <w:rsid w:val="00545675"/>
    <w:rsid w:val="0055079C"/>
    <w:rsid w:val="005520F3"/>
    <w:rsid w:val="00554A7B"/>
    <w:rsid w:val="00554DE6"/>
    <w:rsid w:val="0055572C"/>
    <w:rsid w:val="00555B58"/>
    <w:rsid w:val="0056106A"/>
    <w:rsid w:val="005628DB"/>
    <w:rsid w:val="00562E53"/>
    <w:rsid w:val="00571E4F"/>
    <w:rsid w:val="005720AE"/>
    <w:rsid w:val="00573485"/>
    <w:rsid w:val="00581AB4"/>
    <w:rsid w:val="00582035"/>
    <w:rsid w:val="005825D4"/>
    <w:rsid w:val="00582AEE"/>
    <w:rsid w:val="00583019"/>
    <w:rsid w:val="00585744"/>
    <w:rsid w:val="00591BF3"/>
    <w:rsid w:val="00591EFE"/>
    <w:rsid w:val="00594829"/>
    <w:rsid w:val="00594D77"/>
    <w:rsid w:val="0059640A"/>
    <w:rsid w:val="005969E4"/>
    <w:rsid w:val="00596E71"/>
    <w:rsid w:val="005A06B7"/>
    <w:rsid w:val="005A1759"/>
    <w:rsid w:val="005A28DB"/>
    <w:rsid w:val="005A496A"/>
    <w:rsid w:val="005A4D75"/>
    <w:rsid w:val="005A68A7"/>
    <w:rsid w:val="005A7CD8"/>
    <w:rsid w:val="005B48BA"/>
    <w:rsid w:val="005B6398"/>
    <w:rsid w:val="005B77E0"/>
    <w:rsid w:val="005C465B"/>
    <w:rsid w:val="005C4BF2"/>
    <w:rsid w:val="005C7E1F"/>
    <w:rsid w:val="005D0082"/>
    <w:rsid w:val="005D0515"/>
    <w:rsid w:val="005D0D45"/>
    <w:rsid w:val="005D1B1A"/>
    <w:rsid w:val="005D36AB"/>
    <w:rsid w:val="005D7631"/>
    <w:rsid w:val="005E32CA"/>
    <w:rsid w:val="005E3660"/>
    <w:rsid w:val="005F3409"/>
    <w:rsid w:val="005F6481"/>
    <w:rsid w:val="005F762F"/>
    <w:rsid w:val="00601C5F"/>
    <w:rsid w:val="00603B9D"/>
    <w:rsid w:val="0060507A"/>
    <w:rsid w:val="00605603"/>
    <w:rsid w:val="00610D51"/>
    <w:rsid w:val="006128B7"/>
    <w:rsid w:val="00614329"/>
    <w:rsid w:val="00614A46"/>
    <w:rsid w:val="00614CC0"/>
    <w:rsid w:val="00615B6D"/>
    <w:rsid w:val="00617171"/>
    <w:rsid w:val="00617CC3"/>
    <w:rsid w:val="00621DFD"/>
    <w:rsid w:val="006242E9"/>
    <w:rsid w:val="0062624B"/>
    <w:rsid w:val="006263E6"/>
    <w:rsid w:val="00627F3A"/>
    <w:rsid w:val="006377A6"/>
    <w:rsid w:val="00637A3D"/>
    <w:rsid w:val="00637B97"/>
    <w:rsid w:val="006411EF"/>
    <w:rsid w:val="00642FAB"/>
    <w:rsid w:val="006440EF"/>
    <w:rsid w:val="00656C5B"/>
    <w:rsid w:val="0066010E"/>
    <w:rsid w:val="006748B8"/>
    <w:rsid w:val="006764F1"/>
    <w:rsid w:val="006775C3"/>
    <w:rsid w:val="0068139F"/>
    <w:rsid w:val="00685635"/>
    <w:rsid w:val="00690D6C"/>
    <w:rsid w:val="0069290A"/>
    <w:rsid w:val="00693009"/>
    <w:rsid w:val="0069775A"/>
    <w:rsid w:val="00697813"/>
    <w:rsid w:val="006A045A"/>
    <w:rsid w:val="006A3EE8"/>
    <w:rsid w:val="006A6788"/>
    <w:rsid w:val="006A72BF"/>
    <w:rsid w:val="006B03F2"/>
    <w:rsid w:val="006B12C8"/>
    <w:rsid w:val="006B1E59"/>
    <w:rsid w:val="006B37DC"/>
    <w:rsid w:val="006B456B"/>
    <w:rsid w:val="006B4A26"/>
    <w:rsid w:val="006B4F68"/>
    <w:rsid w:val="006B74B6"/>
    <w:rsid w:val="006C0592"/>
    <w:rsid w:val="006C272E"/>
    <w:rsid w:val="006C5479"/>
    <w:rsid w:val="006D13B5"/>
    <w:rsid w:val="006D2246"/>
    <w:rsid w:val="006D2D5F"/>
    <w:rsid w:val="006D3B8F"/>
    <w:rsid w:val="006D5CD9"/>
    <w:rsid w:val="006E12FF"/>
    <w:rsid w:val="006E31C5"/>
    <w:rsid w:val="006E3B6D"/>
    <w:rsid w:val="006E4337"/>
    <w:rsid w:val="006E607E"/>
    <w:rsid w:val="006F18C5"/>
    <w:rsid w:val="006F1C43"/>
    <w:rsid w:val="006F4E28"/>
    <w:rsid w:val="006F70E3"/>
    <w:rsid w:val="00701574"/>
    <w:rsid w:val="007032DB"/>
    <w:rsid w:val="00704522"/>
    <w:rsid w:val="00705178"/>
    <w:rsid w:val="007067C7"/>
    <w:rsid w:val="00706C5D"/>
    <w:rsid w:val="00707FF7"/>
    <w:rsid w:val="00710914"/>
    <w:rsid w:val="00720BF2"/>
    <w:rsid w:val="00721C03"/>
    <w:rsid w:val="00724880"/>
    <w:rsid w:val="00724BD3"/>
    <w:rsid w:val="00727E72"/>
    <w:rsid w:val="00730450"/>
    <w:rsid w:val="00730A62"/>
    <w:rsid w:val="00732922"/>
    <w:rsid w:val="00734216"/>
    <w:rsid w:val="00737431"/>
    <w:rsid w:val="00737D4B"/>
    <w:rsid w:val="00740000"/>
    <w:rsid w:val="007421E9"/>
    <w:rsid w:val="007452CC"/>
    <w:rsid w:val="00747FCF"/>
    <w:rsid w:val="0075162E"/>
    <w:rsid w:val="00753ADA"/>
    <w:rsid w:val="00754034"/>
    <w:rsid w:val="00755809"/>
    <w:rsid w:val="00756556"/>
    <w:rsid w:val="007618C4"/>
    <w:rsid w:val="00763BEE"/>
    <w:rsid w:val="00764DF2"/>
    <w:rsid w:val="00764F75"/>
    <w:rsid w:val="00766570"/>
    <w:rsid w:val="00767980"/>
    <w:rsid w:val="00770B19"/>
    <w:rsid w:val="00770D8A"/>
    <w:rsid w:val="0077463F"/>
    <w:rsid w:val="00777110"/>
    <w:rsid w:val="00780350"/>
    <w:rsid w:val="00780DD1"/>
    <w:rsid w:val="0078109C"/>
    <w:rsid w:val="0078134F"/>
    <w:rsid w:val="007836EA"/>
    <w:rsid w:val="007837CF"/>
    <w:rsid w:val="00784560"/>
    <w:rsid w:val="00784CDA"/>
    <w:rsid w:val="00787DC5"/>
    <w:rsid w:val="007901A7"/>
    <w:rsid w:val="007906C4"/>
    <w:rsid w:val="00791DB1"/>
    <w:rsid w:val="007940B6"/>
    <w:rsid w:val="007940EA"/>
    <w:rsid w:val="007946DE"/>
    <w:rsid w:val="00795915"/>
    <w:rsid w:val="00796574"/>
    <w:rsid w:val="007967E8"/>
    <w:rsid w:val="00797D0D"/>
    <w:rsid w:val="007A071A"/>
    <w:rsid w:val="007A2170"/>
    <w:rsid w:val="007A22BF"/>
    <w:rsid w:val="007A3323"/>
    <w:rsid w:val="007A5C23"/>
    <w:rsid w:val="007A77E5"/>
    <w:rsid w:val="007A79B1"/>
    <w:rsid w:val="007B4B12"/>
    <w:rsid w:val="007B690C"/>
    <w:rsid w:val="007B72B8"/>
    <w:rsid w:val="007B7A58"/>
    <w:rsid w:val="007C0834"/>
    <w:rsid w:val="007C1D94"/>
    <w:rsid w:val="007C21B5"/>
    <w:rsid w:val="007C3BCC"/>
    <w:rsid w:val="007D32C6"/>
    <w:rsid w:val="007D71FC"/>
    <w:rsid w:val="007D7AB1"/>
    <w:rsid w:val="007E4BD2"/>
    <w:rsid w:val="007E7983"/>
    <w:rsid w:val="007F0FA5"/>
    <w:rsid w:val="007F1BC5"/>
    <w:rsid w:val="007F22A8"/>
    <w:rsid w:val="007F56ED"/>
    <w:rsid w:val="007F65FB"/>
    <w:rsid w:val="00801393"/>
    <w:rsid w:val="00802F88"/>
    <w:rsid w:val="0080358E"/>
    <w:rsid w:val="00806289"/>
    <w:rsid w:val="0081293E"/>
    <w:rsid w:val="00813EC0"/>
    <w:rsid w:val="0081429D"/>
    <w:rsid w:val="00815465"/>
    <w:rsid w:val="00815C39"/>
    <w:rsid w:val="00815F80"/>
    <w:rsid w:val="00817E9A"/>
    <w:rsid w:val="00822217"/>
    <w:rsid w:val="00822B9C"/>
    <w:rsid w:val="00823CD8"/>
    <w:rsid w:val="00826197"/>
    <w:rsid w:val="00830533"/>
    <w:rsid w:val="008306BD"/>
    <w:rsid w:val="00831A80"/>
    <w:rsid w:val="00833743"/>
    <w:rsid w:val="008340A4"/>
    <w:rsid w:val="00835B92"/>
    <w:rsid w:val="00842375"/>
    <w:rsid w:val="00853061"/>
    <w:rsid w:val="00860172"/>
    <w:rsid w:val="00864ABF"/>
    <w:rsid w:val="0087135F"/>
    <w:rsid w:val="008725CB"/>
    <w:rsid w:val="00872994"/>
    <w:rsid w:val="00872D94"/>
    <w:rsid w:val="0087475F"/>
    <w:rsid w:val="0087746E"/>
    <w:rsid w:val="00877AFE"/>
    <w:rsid w:val="00880364"/>
    <w:rsid w:val="00881FBA"/>
    <w:rsid w:val="00882C8D"/>
    <w:rsid w:val="008837DD"/>
    <w:rsid w:val="00886A60"/>
    <w:rsid w:val="00887A70"/>
    <w:rsid w:val="00887CAB"/>
    <w:rsid w:val="00891592"/>
    <w:rsid w:val="008919E2"/>
    <w:rsid w:val="00891E9E"/>
    <w:rsid w:val="008943E3"/>
    <w:rsid w:val="008963C3"/>
    <w:rsid w:val="00897D22"/>
    <w:rsid w:val="008A2D71"/>
    <w:rsid w:val="008A2F68"/>
    <w:rsid w:val="008A4469"/>
    <w:rsid w:val="008A6190"/>
    <w:rsid w:val="008B4FA6"/>
    <w:rsid w:val="008B5282"/>
    <w:rsid w:val="008B55B9"/>
    <w:rsid w:val="008B5EDC"/>
    <w:rsid w:val="008B6DEA"/>
    <w:rsid w:val="008B7C17"/>
    <w:rsid w:val="008C2D01"/>
    <w:rsid w:val="008C2F9D"/>
    <w:rsid w:val="008C40E6"/>
    <w:rsid w:val="008C5929"/>
    <w:rsid w:val="008D0F7A"/>
    <w:rsid w:val="008D162A"/>
    <w:rsid w:val="008D38BD"/>
    <w:rsid w:val="008D4507"/>
    <w:rsid w:val="008D591E"/>
    <w:rsid w:val="008D5A24"/>
    <w:rsid w:val="008D68E4"/>
    <w:rsid w:val="008D7DC6"/>
    <w:rsid w:val="008E0506"/>
    <w:rsid w:val="008E0CFF"/>
    <w:rsid w:val="008E47CD"/>
    <w:rsid w:val="008E4F82"/>
    <w:rsid w:val="008E5D6B"/>
    <w:rsid w:val="008E73D1"/>
    <w:rsid w:val="008E76F0"/>
    <w:rsid w:val="008F131B"/>
    <w:rsid w:val="008F15FE"/>
    <w:rsid w:val="008F1849"/>
    <w:rsid w:val="008F2D29"/>
    <w:rsid w:val="008F34D9"/>
    <w:rsid w:val="008F5187"/>
    <w:rsid w:val="008F5660"/>
    <w:rsid w:val="008F60D8"/>
    <w:rsid w:val="008F7568"/>
    <w:rsid w:val="00901723"/>
    <w:rsid w:val="00902727"/>
    <w:rsid w:val="0090312B"/>
    <w:rsid w:val="009063A6"/>
    <w:rsid w:val="0090685F"/>
    <w:rsid w:val="00913F14"/>
    <w:rsid w:val="009148DB"/>
    <w:rsid w:val="00914DE7"/>
    <w:rsid w:val="0091736D"/>
    <w:rsid w:val="0092145A"/>
    <w:rsid w:val="0092533C"/>
    <w:rsid w:val="0093037A"/>
    <w:rsid w:val="00930F8B"/>
    <w:rsid w:val="00940B29"/>
    <w:rsid w:val="0094154D"/>
    <w:rsid w:val="0094375E"/>
    <w:rsid w:val="0095155F"/>
    <w:rsid w:val="00954429"/>
    <w:rsid w:val="009563CE"/>
    <w:rsid w:val="00963260"/>
    <w:rsid w:val="00966434"/>
    <w:rsid w:val="00967451"/>
    <w:rsid w:val="00967A12"/>
    <w:rsid w:val="00974770"/>
    <w:rsid w:val="00976328"/>
    <w:rsid w:val="0097680D"/>
    <w:rsid w:val="00976C31"/>
    <w:rsid w:val="00976F86"/>
    <w:rsid w:val="0098089F"/>
    <w:rsid w:val="00982438"/>
    <w:rsid w:val="0098404C"/>
    <w:rsid w:val="009845D5"/>
    <w:rsid w:val="00985283"/>
    <w:rsid w:val="009938CC"/>
    <w:rsid w:val="00993B2E"/>
    <w:rsid w:val="00993FB3"/>
    <w:rsid w:val="00994326"/>
    <w:rsid w:val="0099439E"/>
    <w:rsid w:val="00995992"/>
    <w:rsid w:val="009A03E5"/>
    <w:rsid w:val="009A0F3B"/>
    <w:rsid w:val="009A1BB4"/>
    <w:rsid w:val="009A2628"/>
    <w:rsid w:val="009A3200"/>
    <w:rsid w:val="009A323A"/>
    <w:rsid w:val="009B0897"/>
    <w:rsid w:val="009B29B6"/>
    <w:rsid w:val="009B5E06"/>
    <w:rsid w:val="009B7BD9"/>
    <w:rsid w:val="009C1C20"/>
    <w:rsid w:val="009C1C5C"/>
    <w:rsid w:val="009C7785"/>
    <w:rsid w:val="009C7DD5"/>
    <w:rsid w:val="009D4A0A"/>
    <w:rsid w:val="009D7DB4"/>
    <w:rsid w:val="009E227D"/>
    <w:rsid w:val="009E5019"/>
    <w:rsid w:val="009F03D8"/>
    <w:rsid w:val="009F26C2"/>
    <w:rsid w:val="00A0056C"/>
    <w:rsid w:val="00A0279F"/>
    <w:rsid w:val="00A035F4"/>
    <w:rsid w:val="00A04F1B"/>
    <w:rsid w:val="00A0501B"/>
    <w:rsid w:val="00A05AB6"/>
    <w:rsid w:val="00A127A6"/>
    <w:rsid w:val="00A14947"/>
    <w:rsid w:val="00A168BA"/>
    <w:rsid w:val="00A264D4"/>
    <w:rsid w:val="00A2789D"/>
    <w:rsid w:val="00A31A9F"/>
    <w:rsid w:val="00A32A83"/>
    <w:rsid w:val="00A33564"/>
    <w:rsid w:val="00A33A3C"/>
    <w:rsid w:val="00A368DB"/>
    <w:rsid w:val="00A37DE8"/>
    <w:rsid w:val="00A423AA"/>
    <w:rsid w:val="00A45203"/>
    <w:rsid w:val="00A50A4A"/>
    <w:rsid w:val="00A53EC6"/>
    <w:rsid w:val="00A55353"/>
    <w:rsid w:val="00A55C0F"/>
    <w:rsid w:val="00A63165"/>
    <w:rsid w:val="00A64163"/>
    <w:rsid w:val="00A64DD6"/>
    <w:rsid w:val="00A67D85"/>
    <w:rsid w:val="00A76C2D"/>
    <w:rsid w:val="00A81384"/>
    <w:rsid w:val="00A86450"/>
    <w:rsid w:val="00A8713F"/>
    <w:rsid w:val="00A90BA1"/>
    <w:rsid w:val="00A96579"/>
    <w:rsid w:val="00A965A8"/>
    <w:rsid w:val="00A97A9A"/>
    <w:rsid w:val="00AA0671"/>
    <w:rsid w:val="00AA2531"/>
    <w:rsid w:val="00AA4695"/>
    <w:rsid w:val="00AA6DCB"/>
    <w:rsid w:val="00AB1E09"/>
    <w:rsid w:val="00AB5330"/>
    <w:rsid w:val="00AB5B21"/>
    <w:rsid w:val="00AB7747"/>
    <w:rsid w:val="00AB7E45"/>
    <w:rsid w:val="00AC14CE"/>
    <w:rsid w:val="00AC2A56"/>
    <w:rsid w:val="00AC4F48"/>
    <w:rsid w:val="00AD055E"/>
    <w:rsid w:val="00AD4331"/>
    <w:rsid w:val="00AD4432"/>
    <w:rsid w:val="00AD47A7"/>
    <w:rsid w:val="00AE24D1"/>
    <w:rsid w:val="00AE6C86"/>
    <w:rsid w:val="00AE6D2D"/>
    <w:rsid w:val="00AE7589"/>
    <w:rsid w:val="00AE7D2F"/>
    <w:rsid w:val="00AE7EBF"/>
    <w:rsid w:val="00AF0CBF"/>
    <w:rsid w:val="00AF257F"/>
    <w:rsid w:val="00AF33CF"/>
    <w:rsid w:val="00AF4D50"/>
    <w:rsid w:val="00AF6179"/>
    <w:rsid w:val="00AF7520"/>
    <w:rsid w:val="00AF7A0B"/>
    <w:rsid w:val="00B116C4"/>
    <w:rsid w:val="00B1295A"/>
    <w:rsid w:val="00B12B4A"/>
    <w:rsid w:val="00B134CB"/>
    <w:rsid w:val="00B14B39"/>
    <w:rsid w:val="00B200D3"/>
    <w:rsid w:val="00B20A45"/>
    <w:rsid w:val="00B22C5C"/>
    <w:rsid w:val="00B2363D"/>
    <w:rsid w:val="00B24F30"/>
    <w:rsid w:val="00B31ABF"/>
    <w:rsid w:val="00B32B42"/>
    <w:rsid w:val="00B33BE3"/>
    <w:rsid w:val="00B34A6C"/>
    <w:rsid w:val="00B351B3"/>
    <w:rsid w:val="00B435FE"/>
    <w:rsid w:val="00B450AC"/>
    <w:rsid w:val="00B45701"/>
    <w:rsid w:val="00B464DC"/>
    <w:rsid w:val="00B46F91"/>
    <w:rsid w:val="00B47D8C"/>
    <w:rsid w:val="00B52026"/>
    <w:rsid w:val="00B52821"/>
    <w:rsid w:val="00B53B5D"/>
    <w:rsid w:val="00B54536"/>
    <w:rsid w:val="00B6055E"/>
    <w:rsid w:val="00B6317D"/>
    <w:rsid w:val="00B63272"/>
    <w:rsid w:val="00B71129"/>
    <w:rsid w:val="00B72E54"/>
    <w:rsid w:val="00B74856"/>
    <w:rsid w:val="00B7723F"/>
    <w:rsid w:val="00B80534"/>
    <w:rsid w:val="00B841B2"/>
    <w:rsid w:val="00B8433C"/>
    <w:rsid w:val="00B87491"/>
    <w:rsid w:val="00B92422"/>
    <w:rsid w:val="00B92A02"/>
    <w:rsid w:val="00B97A70"/>
    <w:rsid w:val="00BA0558"/>
    <w:rsid w:val="00BA29E9"/>
    <w:rsid w:val="00BA3ED9"/>
    <w:rsid w:val="00BA447A"/>
    <w:rsid w:val="00BA4BDF"/>
    <w:rsid w:val="00BA5D20"/>
    <w:rsid w:val="00BA7142"/>
    <w:rsid w:val="00BA7A15"/>
    <w:rsid w:val="00BB0E57"/>
    <w:rsid w:val="00BB14B6"/>
    <w:rsid w:val="00BB237C"/>
    <w:rsid w:val="00BB41A3"/>
    <w:rsid w:val="00BB6C23"/>
    <w:rsid w:val="00BB7FFC"/>
    <w:rsid w:val="00BC2C3E"/>
    <w:rsid w:val="00BC32DC"/>
    <w:rsid w:val="00BC35B6"/>
    <w:rsid w:val="00BD0E2B"/>
    <w:rsid w:val="00BD1B51"/>
    <w:rsid w:val="00BD304B"/>
    <w:rsid w:val="00BD3E76"/>
    <w:rsid w:val="00BD4318"/>
    <w:rsid w:val="00BD4581"/>
    <w:rsid w:val="00BD4596"/>
    <w:rsid w:val="00BE1405"/>
    <w:rsid w:val="00BE1617"/>
    <w:rsid w:val="00BE312D"/>
    <w:rsid w:val="00BE406C"/>
    <w:rsid w:val="00BE6475"/>
    <w:rsid w:val="00BF11D8"/>
    <w:rsid w:val="00BF12F0"/>
    <w:rsid w:val="00BF180B"/>
    <w:rsid w:val="00BF1C20"/>
    <w:rsid w:val="00BF1CF3"/>
    <w:rsid w:val="00BF7989"/>
    <w:rsid w:val="00C01F39"/>
    <w:rsid w:val="00C0630D"/>
    <w:rsid w:val="00C070F9"/>
    <w:rsid w:val="00C10578"/>
    <w:rsid w:val="00C11AB7"/>
    <w:rsid w:val="00C135BC"/>
    <w:rsid w:val="00C15C95"/>
    <w:rsid w:val="00C1798F"/>
    <w:rsid w:val="00C21D5F"/>
    <w:rsid w:val="00C242D2"/>
    <w:rsid w:val="00C251D1"/>
    <w:rsid w:val="00C25311"/>
    <w:rsid w:val="00C2596A"/>
    <w:rsid w:val="00C27537"/>
    <w:rsid w:val="00C328FE"/>
    <w:rsid w:val="00C33377"/>
    <w:rsid w:val="00C33507"/>
    <w:rsid w:val="00C365DE"/>
    <w:rsid w:val="00C4409D"/>
    <w:rsid w:val="00C44E72"/>
    <w:rsid w:val="00C45A06"/>
    <w:rsid w:val="00C47E5B"/>
    <w:rsid w:val="00C50A7E"/>
    <w:rsid w:val="00C50C28"/>
    <w:rsid w:val="00C52239"/>
    <w:rsid w:val="00C5270C"/>
    <w:rsid w:val="00C57BCD"/>
    <w:rsid w:val="00C61E4B"/>
    <w:rsid w:val="00C64852"/>
    <w:rsid w:val="00C64BFF"/>
    <w:rsid w:val="00C704E9"/>
    <w:rsid w:val="00C75253"/>
    <w:rsid w:val="00C757D8"/>
    <w:rsid w:val="00C763C9"/>
    <w:rsid w:val="00C80057"/>
    <w:rsid w:val="00C82232"/>
    <w:rsid w:val="00C82913"/>
    <w:rsid w:val="00C91D36"/>
    <w:rsid w:val="00C92DB0"/>
    <w:rsid w:val="00C9428A"/>
    <w:rsid w:val="00C94EB3"/>
    <w:rsid w:val="00C9683B"/>
    <w:rsid w:val="00C972B1"/>
    <w:rsid w:val="00C9738C"/>
    <w:rsid w:val="00CA2BC7"/>
    <w:rsid w:val="00CA2CCE"/>
    <w:rsid w:val="00CA3FDC"/>
    <w:rsid w:val="00CA43FD"/>
    <w:rsid w:val="00CA7E73"/>
    <w:rsid w:val="00CA7EF8"/>
    <w:rsid w:val="00CB2FD3"/>
    <w:rsid w:val="00CB3576"/>
    <w:rsid w:val="00CB5B70"/>
    <w:rsid w:val="00CB6AA7"/>
    <w:rsid w:val="00CC04BE"/>
    <w:rsid w:val="00CC1485"/>
    <w:rsid w:val="00CC3348"/>
    <w:rsid w:val="00CC489B"/>
    <w:rsid w:val="00CC5E48"/>
    <w:rsid w:val="00CD2BCD"/>
    <w:rsid w:val="00CD35C0"/>
    <w:rsid w:val="00CD3A4C"/>
    <w:rsid w:val="00CD3EB4"/>
    <w:rsid w:val="00CE10E9"/>
    <w:rsid w:val="00CE2910"/>
    <w:rsid w:val="00CE4600"/>
    <w:rsid w:val="00CE5393"/>
    <w:rsid w:val="00CF01DB"/>
    <w:rsid w:val="00CF36BE"/>
    <w:rsid w:val="00CF6000"/>
    <w:rsid w:val="00D003F3"/>
    <w:rsid w:val="00D0364F"/>
    <w:rsid w:val="00D04C32"/>
    <w:rsid w:val="00D04EB5"/>
    <w:rsid w:val="00D058C4"/>
    <w:rsid w:val="00D064D9"/>
    <w:rsid w:val="00D06834"/>
    <w:rsid w:val="00D11736"/>
    <w:rsid w:val="00D1370F"/>
    <w:rsid w:val="00D20875"/>
    <w:rsid w:val="00D23077"/>
    <w:rsid w:val="00D23E73"/>
    <w:rsid w:val="00D24DC9"/>
    <w:rsid w:val="00D308ED"/>
    <w:rsid w:val="00D30B6B"/>
    <w:rsid w:val="00D3307E"/>
    <w:rsid w:val="00D34AA1"/>
    <w:rsid w:val="00D36D86"/>
    <w:rsid w:val="00D40727"/>
    <w:rsid w:val="00D428AA"/>
    <w:rsid w:val="00D42F62"/>
    <w:rsid w:val="00D50A34"/>
    <w:rsid w:val="00D5119B"/>
    <w:rsid w:val="00D52B68"/>
    <w:rsid w:val="00D53EFA"/>
    <w:rsid w:val="00D54ACC"/>
    <w:rsid w:val="00D576EC"/>
    <w:rsid w:val="00D65555"/>
    <w:rsid w:val="00D71432"/>
    <w:rsid w:val="00D90EC8"/>
    <w:rsid w:val="00D92D53"/>
    <w:rsid w:val="00D9334A"/>
    <w:rsid w:val="00D94110"/>
    <w:rsid w:val="00D94A7C"/>
    <w:rsid w:val="00D95896"/>
    <w:rsid w:val="00DA111E"/>
    <w:rsid w:val="00DA12FB"/>
    <w:rsid w:val="00DA164B"/>
    <w:rsid w:val="00DA3987"/>
    <w:rsid w:val="00DA5477"/>
    <w:rsid w:val="00DA5536"/>
    <w:rsid w:val="00DA6182"/>
    <w:rsid w:val="00DB001D"/>
    <w:rsid w:val="00DB005D"/>
    <w:rsid w:val="00DB09BB"/>
    <w:rsid w:val="00DB2983"/>
    <w:rsid w:val="00DB53BE"/>
    <w:rsid w:val="00DC1257"/>
    <w:rsid w:val="00DC2D42"/>
    <w:rsid w:val="00DC3DC0"/>
    <w:rsid w:val="00DC4164"/>
    <w:rsid w:val="00DC5B2B"/>
    <w:rsid w:val="00DD1642"/>
    <w:rsid w:val="00DD1EC7"/>
    <w:rsid w:val="00DD318D"/>
    <w:rsid w:val="00DD6240"/>
    <w:rsid w:val="00DD731E"/>
    <w:rsid w:val="00DE5546"/>
    <w:rsid w:val="00DE62D8"/>
    <w:rsid w:val="00DE7666"/>
    <w:rsid w:val="00DF07CB"/>
    <w:rsid w:val="00DF2E12"/>
    <w:rsid w:val="00DF40C0"/>
    <w:rsid w:val="00DF514A"/>
    <w:rsid w:val="00DF6690"/>
    <w:rsid w:val="00DF6804"/>
    <w:rsid w:val="00E01D68"/>
    <w:rsid w:val="00E022C7"/>
    <w:rsid w:val="00E032BD"/>
    <w:rsid w:val="00E0358D"/>
    <w:rsid w:val="00E04323"/>
    <w:rsid w:val="00E0434B"/>
    <w:rsid w:val="00E070A2"/>
    <w:rsid w:val="00E13CE2"/>
    <w:rsid w:val="00E177AC"/>
    <w:rsid w:val="00E20485"/>
    <w:rsid w:val="00E2656A"/>
    <w:rsid w:val="00E30FDE"/>
    <w:rsid w:val="00E32446"/>
    <w:rsid w:val="00E3261A"/>
    <w:rsid w:val="00E34030"/>
    <w:rsid w:val="00E34C23"/>
    <w:rsid w:val="00E412D0"/>
    <w:rsid w:val="00E4242F"/>
    <w:rsid w:val="00E432B8"/>
    <w:rsid w:val="00E47F6D"/>
    <w:rsid w:val="00E56322"/>
    <w:rsid w:val="00E56A0F"/>
    <w:rsid w:val="00E56E8F"/>
    <w:rsid w:val="00E57338"/>
    <w:rsid w:val="00E60982"/>
    <w:rsid w:val="00E61792"/>
    <w:rsid w:val="00E62C62"/>
    <w:rsid w:val="00E64CB4"/>
    <w:rsid w:val="00E65418"/>
    <w:rsid w:val="00E654C1"/>
    <w:rsid w:val="00E65D0D"/>
    <w:rsid w:val="00E65D97"/>
    <w:rsid w:val="00E671E6"/>
    <w:rsid w:val="00E72A5A"/>
    <w:rsid w:val="00E73354"/>
    <w:rsid w:val="00E75BFA"/>
    <w:rsid w:val="00E80917"/>
    <w:rsid w:val="00E85C8A"/>
    <w:rsid w:val="00E86E78"/>
    <w:rsid w:val="00E9242D"/>
    <w:rsid w:val="00EA38F8"/>
    <w:rsid w:val="00EA7A76"/>
    <w:rsid w:val="00EB5255"/>
    <w:rsid w:val="00EB5C47"/>
    <w:rsid w:val="00EB6A2E"/>
    <w:rsid w:val="00EC1ADF"/>
    <w:rsid w:val="00EC336D"/>
    <w:rsid w:val="00EC4504"/>
    <w:rsid w:val="00ED0639"/>
    <w:rsid w:val="00ED0900"/>
    <w:rsid w:val="00ED2A18"/>
    <w:rsid w:val="00ED4614"/>
    <w:rsid w:val="00ED5EB2"/>
    <w:rsid w:val="00EE6225"/>
    <w:rsid w:val="00EE7E03"/>
    <w:rsid w:val="00EF20D3"/>
    <w:rsid w:val="00EF4755"/>
    <w:rsid w:val="00EF6755"/>
    <w:rsid w:val="00EF7135"/>
    <w:rsid w:val="00EF7F0D"/>
    <w:rsid w:val="00F00A71"/>
    <w:rsid w:val="00F027DB"/>
    <w:rsid w:val="00F02E5C"/>
    <w:rsid w:val="00F0524A"/>
    <w:rsid w:val="00F1008F"/>
    <w:rsid w:val="00F101B5"/>
    <w:rsid w:val="00F1086B"/>
    <w:rsid w:val="00F14A7A"/>
    <w:rsid w:val="00F15088"/>
    <w:rsid w:val="00F16A09"/>
    <w:rsid w:val="00F16B67"/>
    <w:rsid w:val="00F17D11"/>
    <w:rsid w:val="00F22985"/>
    <w:rsid w:val="00F326E5"/>
    <w:rsid w:val="00F3383E"/>
    <w:rsid w:val="00F36020"/>
    <w:rsid w:val="00F376B2"/>
    <w:rsid w:val="00F40A21"/>
    <w:rsid w:val="00F465A7"/>
    <w:rsid w:val="00F472B3"/>
    <w:rsid w:val="00F50B7C"/>
    <w:rsid w:val="00F50CC3"/>
    <w:rsid w:val="00F550E6"/>
    <w:rsid w:val="00F61A1D"/>
    <w:rsid w:val="00F6259F"/>
    <w:rsid w:val="00F63BA1"/>
    <w:rsid w:val="00F65FDE"/>
    <w:rsid w:val="00F7022F"/>
    <w:rsid w:val="00F74345"/>
    <w:rsid w:val="00F74964"/>
    <w:rsid w:val="00F776A6"/>
    <w:rsid w:val="00F77A08"/>
    <w:rsid w:val="00F80A0A"/>
    <w:rsid w:val="00F82B19"/>
    <w:rsid w:val="00F84006"/>
    <w:rsid w:val="00F91172"/>
    <w:rsid w:val="00F9212D"/>
    <w:rsid w:val="00F92310"/>
    <w:rsid w:val="00F965DA"/>
    <w:rsid w:val="00F96A42"/>
    <w:rsid w:val="00F96A50"/>
    <w:rsid w:val="00F96BB3"/>
    <w:rsid w:val="00FA195C"/>
    <w:rsid w:val="00FA406A"/>
    <w:rsid w:val="00FA435A"/>
    <w:rsid w:val="00FA4EA5"/>
    <w:rsid w:val="00FB4AD6"/>
    <w:rsid w:val="00FB503A"/>
    <w:rsid w:val="00FB516C"/>
    <w:rsid w:val="00FB68BC"/>
    <w:rsid w:val="00FC3F30"/>
    <w:rsid w:val="00FC5EDC"/>
    <w:rsid w:val="00FD0236"/>
    <w:rsid w:val="00FD12A4"/>
    <w:rsid w:val="00FD18F4"/>
    <w:rsid w:val="00FD2FFB"/>
    <w:rsid w:val="00FD54DB"/>
    <w:rsid w:val="00FD619F"/>
    <w:rsid w:val="00FE2C87"/>
    <w:rsid w:val="00FF16D5"/>
    <w:rsid w:val="00FF35FA"/>
    <w:rsid w:val="00FF483B"/>
    <w:rsid w:val="00FF68FC"/>
    <w:rsid w:val="011A730F"/>
    <w:rsid w:val="01290F7E"/>
    <w:rsid w:val="0135375F"/>
    <w:rsid w:val="015D1E09"/>
    <w:rsid w:val="021047C6"/>
    <w:rsid w:val="024B08ED"/>
    <w:rsid w:val="02697903"/>
    <w:rsid w:val="02DD0811"/>
    <w:rsid w:val="02F96569"/>
    <w:rsid w:val="039F3F0C"/>
    <w:rsid w:val="03D6096F"/>
    <w:rsid w:val="03EA7B21"/>
    <w:rsid w:val="03F55A51"/>
    <w:rsid w:val="04227127"/>
    <w:rsid w:val="047920AC"/>
    <w:rsid w:val="0490340D"/>
    <w:rsid w:val="04A10F62"/>
    <w:rsid w:val="04AA7CEB"/>
    <w:rsid w:val="05180156"/>
    <w:rsid w:val="05247023"/>
    <w:rsid w:val="05B21B51"/>
    <w:rsid w:val="05F83EAE"/>
    <w:rsid w:val="06157470"/>
    <w:rsid w:val="06280616"/>
    <w:rsid w:val="063E7D85"/>
    <w:rsid w:val="06407383"/>
    <w:rsid w:val="06817BF0"/>
    <w:rsid w:val="06BD29DA"/>
    <w:rsid w:val="06CE6D97"/>
    <w:rsid w:val="07293586"/>
    <w:rsid w:val="07295285"/>
    <w:rsid w:val="07636392"/>
    <w:rsid w:val="07701C0E"/>
    <w:rsid w:val="07770C56"/>
    <w:rsid w:val="079B47BF"/>
    <w:rsid w:val="07A30C42"/>
    <w:rsid w:val="08504507"/>
    <w:rsid w:val="08C26893"/>
    <w:rsid w:val="08E4691C"/>
    <w:rsid w:val="092217DD"/>
    <w:rsid w:val="093A7294"/>
    <w:rsid w:val="093E3D55"/>
    <w:rsid w:val="09600D4E"/>
    <w:rsid w:val="09644610"/>
    <w:rsid w:val="0A054803"/>
    <w:rsid w:val="0A084FD8"/>
    <w:rsid w:val="0A110F02"/>
    <w:rsid w:val="0A232419"/>
    <w:rsid w:val="0A263993"/>
    <w:rsid w:val="0A2D3AC2"/>
    <w:rsid w:val="0AA755DF"/>
    <w:rsid w:val="0AE03300"/>
    <w:rsid w:val="0AE62B85"/>
    <w:rsid w:val="0B120D44"/>
    <w:rsid w:val="0B233767"/>
    <w:rsid w:val="0B2A6A6B"/>
    <w:rsid w:val="0B5224A3"/>
    <w:rsid w:val="0B8E6373"/>
    <w:rsid w:val="0BA57AD3"/>
    <w:rsid w:val="0BD27BF6"/>
    <w:rsid w:val="0BF92945"/>
    <w:rsid w:val="0C3B3C7D"/>
    <w:rsid w:val="0C517711"/>
    <w:rsid w:val="0C7F4DD7"/>
    <w:rsid w:val="0CA05705"/>
    <w:rsid w:val="0CA63063"/>
    <w:rsid w:val="0CAB2EAE"/>
    <w:rsid w:val="0D2A096E"/>
    <w:rsid w:val="0D621C7D"/>
    <w:rsid w:val="0D8E0627"/>
    <w:rsid w:val="0DF253D6"/>
    <w:rsid w:val="0E73034D"/>
    <w:rsid w:val="0E8006AC"/>
    <w:rsid w:val="0EA77ABC"/>
    <w:rsid w:val="0F0825D8"/>
    <w:rsid w:val="0F13775A"/>
    <w:rsid w:val="0F5F45FE"/>
    <w:rsid w:val="0F9A112B"/>
    <w:rsid w:val="106A0DA2"/>
    <w:rsid w:val="106D2F64"/>
    <w:rsid w:val="10B63710"/>
    <w:rsid w:val="10F10820"/>
    <w:rsid w:val="11025162"/>
    <w:rsid w:val="1118052D"/>
    <w:rsid w:val="111C2F7A"/>
    <w:rsid w:val="11462134"/>
    <w:rsid w:val="115E0D4A"/>
    <w:rsid w:val="11665CA1"/>
    <w:rsid w:val="11DE0EA8"/>
    <w:rsid w:val="11FB18B3"/>
    <w:rsid w:val="120871A6"/>
    <w:rsid w:val="122A185E"/>
    <w:rsid w:val="12976868"/>
    <w:rsid w:val="12A04016"/>
    <w:rsid w:val="12A125B3"/>
    <w:rsid w:val="12E66F03"/>
    <w:rsid w:val="13426006"/>
    <w:rsid w:val="13486D30"/>
    <w:rsid w:val="13951726"/>
    <w:rsid w:val="13B14F39"/>
    <w:rsid w:val="13D7003B"/>
    <w:rsid w:val="140F4C67"/>
    <w:rsid w:val="14396509"/>
    <w:rsid w:val="14576BE5"/>
    <w:rsid w:val="14C34885"/>
    <w:rsid w:val="14DD2C3C"/>
    <w:rsid w:val="14F17CD8"/>
    <w:rsid w:val="15D77AFB"/>
    <w:rsid w:val="15E5574E"/>
    <w:rsid w:val="15F6214D"/>
    <w:rsid w:val="16087E1D"/>
    <w:rsid w:val="162B0796"/>
    <w:rsid w:val="16CB7C6F"/>
    <w:rsid w:val="172B4EF6"/>
    <w:rsid w:val="175A5BF0"/>
    <w:rsid w:val="17701D14"/>
    <w:rsid w:val="17735226"/>
    <w:rsid w:val="181A3351"/>
    <w:rsid w:val="185A1E2E"/>
    <w:rsid w:val="187D7829"/>
    <w:rsid w:val="189F624C"/>
    <w:rsid w:val="18DA2641"/>
    <w:rsid w:val="19577758"/>
    <w:rsid w:val="1A1C66C0"/>
    <w:rsid w:val="1A42393B"/>
    <w:rsid w:val="1AAD45DE"/>
    <w:rsid w:val="1AC63078"/>
    <w:rsid w:val="1ADD1984"/>
    <w:rsid w:val="1AEB17B6"/>
    <w:rsid w:val="1B046F80"/>
    <w:rsid w:val="1B151E35"/>
    <w:rsid w:val="1B3267B5"/>
    <w:rsid w:val="1B40161D"/>
    <w:rsid w:val="1B441859"/>
    <w:rsid w:val="1B46630A"/>
    <w:rsid w:val="1B6606B1"/>
    <w:rsid w:val="1BCB7BB8"/>
    <w:rsid w:val="1BCC6B03"/>
    <w:rsid w:val="1C5E7925"/>
    <w:rsid w:val="1CFD070F"/>
    <w:rsid w:val="1D524D9D"/>
    <w:rsid w:val="1D5F6196"/>
    <w:rsid w:val="1D6132A5"/>
    <w:rsid w:val="1D8E56D5"/>
    <w:rsid w:val="1E281215"/>
    <w:rsid w:val="1E5F5764"/>
    <w:rsid w:val="1E7A43DA"/>
    <w:rsid w:val="1EF30F1B"/>
    <w:rsid w:val="1FB931D7"/>
    <w:rsid w:val="1FE7539E"/>
    <w:rsid w:val="1FE75B5A"/>
    <w:rsid w:val="205000F7"/>
    <w:rsid w:val="20671BE0"/>
    <w:rsid w:val="20963CB8"/>
    <w:rsid w:val="20A81A1B"/>
    <w:rsid w:val="20B07FB6"/>
    <w:rsid w:val="20B646FB"/>
    <w:rsid w:val="20FB11A3"/>
    <w:rsid w:val="21134D71"/>
    <w:rsid w:val="213B74B1"/>
    <w:rsid w:val="215A2310"/>
    <w:rsid w:val="21DE318A"/>
    <w:rsid w:val="21EF5B80"/>
    <w:rsid w:val="221543EB"/>
    <w:rsid w:val="22576990"/>
    <w:rsid w:val="22F47480"/>
    <w:rsid w:val="23922C46"/>
    <w:rsid w:val="23AD6D2C"/>
    <w:rsid w:val="23AF0345"/>
    <w:rsid w:val="23D97D57"/>
    <w:rsid w:val="23DE1C48"/>
    <w:rsid w:val="23FE392F"/>
    <w:rsid w:val="240210CD"/>
    <w:rsid w:val="244E6739"/>
    <w:rsid w:val="246417E9"/>
    <w:rsid w:val="24753161"/>
    <w:rsid w:val="247973AD"/>
    <w:rsid w:val="24BF09F7"/>
    <w:rsid w:val="252D53FE"/>
    <w:rsid w:val="254E4BB4"/>
    <w:rsid w:val="25EC2D81"/>
    <w:rsid w:val="269575D5"/>
    <w:rsid w:val="26C31BC9"/>
    <w:rsid w:val="26EA553A"/>
    <w:rsid w:val="277057A2"/>
    <w:rsid w:val="28233866"/>
    <w:rsid w:val="28402B5E"/>
    <w:rsid w:val="285679E7"/>
    <w:rsid w:val="28842606"/>
    <w:rsid w:val="28B50BD7"/>
    <w:rsid w:val="29206EB8"/>
    <w:rsid w:val="29595666"/>
    <w:rsid w:val="295E1C82"/>
    <w:rsid w:val="29874881"/>
    <w:rsid w:val="29AE6D52"/>
    <w:rsid w:val="29E325E0"/>
    <w:rsid w:val="29FB6D25"/>
    <w:rsid w:val="2A452503"/>
    <w:rsid w:val="2A617C0D"/>
    <w:rsid w:val="2A7E00D6"/>
    <w:rsid w:val="2B1E480B"/>
    <w:rsid w:val="2B2370BC"/>
    <w:rsid w:val="2B6D471D"/>
    <w:rsid w:val="2BA936A8"/>
    <w:rsid w:val="2BEA0719"/>
    <w:rsid w:val="2BF9023E"/>
    <w:rsid w:val="2C315A5A"/>
    <w:rsid w:val="2C4B1C25"/>
    <w:rsid w:val="2C4E748D"/>
    <w:rsid w:val="2C7E492E"/>
    <w:rsid w:val="2CF63734"/>
    <w:rsid w:val="2D4D255F"/>
    <w:rsid w:val="2D9E56F5"/>
    <w:rsid w:val="2E033424"/>
    <w:rsid w:val="2E203657"/>
    <w:rsid w:val="2E334A71"/>
    <w:rsid w:val="2E3E4844"/>
    <w:rsid w:val="2E667F96"/>
    <w:rsid w:val="2E6F1BE3"/>
    <w:rsid w:val="2E7A61FC"/>
    <w:rsid w:val="2E8226AB"/>
    <w:rsid w:val="2E8E6BF7"/>
    <w:rsid w:val="2EA43279"/>
    <w:rsid w:val="2F5E27C7"/>
    <w:rsid w:val="2F7215C9"/>
    <w:rsid w:val="2FA910CE"/>
    <w:rsid w:val="2FB63264"/>
    <w:rsid w:val="2FB713D6"/>
    <w:rsid w:val="2FD065E6"/>
    <w:rsid w:val="2FD66532"/>
    <w:rsid w:val="2FD96870"/>
    <w:rsid w:val="30295904"/>
    <w:rsid w:val="30580BC9"/>
    <w:rsid w:val="3062163D"/>
    <w:rsid w:val="30953114"/>
    <w:rsid w:val="311E2ED7"/>
    <w:rsid w:val="312F5136"/>
    <w:rsid w:val="315619EE"/>
    <w:rsid w:val="315C449C"/>
    <w:rsid w:val="31687D28"/>
    <w:rsid w:val="31B82709"/>
    <w:rsid w:val="31B9703B"/>
    <w:rsid w:val="31D05482"/>
    <w:rsid w:val="31EA110E"/>
    <w:rsid w:val="320E0B12"/>
    <w:rsid w:val="32105EDC"/>
    <w:rsid w:val="32400B34"/>
    <w:rsid w:val="329E6876"/>
    <w:rsid w:val="32AF0F3D"/>
    <w:rsid w:val="32C461B7"/>
    <w:rsid w:val="32E06C0C"/>
    <w:rsid w:val="32F93DAF"/>
    <w:rsid w:val="333015F2"/>
    <w:rsid w:val="334B6320"/>
    <w:rsid w:val="33703320"/>
    <w:rsid w:val="33D934D4"/>
    <w:rsid w:val="33FE2F6A"/>
    <w:rsid w:val="340E07E5"/>
    <w:rsid w:val="34235BF7"/>
    <w:rsid w:val="34614E13"/>
    <w:rsid w:val="352218E1"/>
    <w:rsid w:val="358C5FA8"/>
    <w:rsid w:val="358C62E7"/>
    <w:rsid w:val="35954F17"/>
    <w:rsid w:val="35C15DF1"/>
    <w:rsid w:val="35F14F18"/>
    <w:rsid w:val="35FF3ECA"/>
    <w:rsid w:val="36074A7F"/>
    <w:rsid w:val="3622205E"/>
    <w:rsid w:val="366111B0"/>
    <w:rsid w:val="36714543"/>
    <w:rsid w:val="36923549"/>
    <w:rsid w:val="36930185"/>
    <w:rsid w:val="369E0EF6"/>
    <w:rsid w:val="36B75FBF"/>
    <w:rsid w:val="36BD0C45"/>
    <w:rsid w:val="36D80102"/>
    <w:rsid w:val="36E00E99"/>
    <w:rsid w:val="37766FF3"/>
    <w:rsid w:val="37E00298"/>
    <w:rsid w:val="38270108"/>
    <w:rsid w:val="382E00D4"/>
    <w:rsid w:val="38653F39"/>
    <w:rsid w:val="38834439"/>
    <w:rsid w:val="38A10829"/>
    <w:rsid w:val="38B302F9"/>
    <w:rsid w:val="38E01351"/>
    <w:rsid w:val="38F12CD3"/>
    <w:rsid w:val="38F94775"/>
    <w:rsid w:val="392971ED"/>
    <w:rsid w:val="392E030F"/>
    <w:rsid w:val="39325651"/>
    <w:rsid w:val="39343F98"/>
    <w:rsid w:val="39EB176B"/>
    <w:rsid w:val="39F22B34"/>
    <w:rsid w:val="3A0F5A9D"/>
    <w:rsid w:val="3A5B0BA4"/>
    <w:rsid w:val="3A764101"/>
    <w:rsid w:val="3A8602B4"/>
    <w:rsid w:val="3A872856"/>
    <w:rsid w:val="3B3763D1"/>
    <w:rsid w:val="3BC14A50"/>
    <w:rsid w:val="3C2F6E1E"/>
    <w:rsid w:val="3C3D6D56"/>
    <w:rsid w:val="3C4346F0"/>
    <w:rsid w:val="3C4F64BA"/>
    <w:rsid w:val="3CDA245A"/>
    <w:rsid w:val="3CF06F15"/>
    <w:rsid w:val="3D1E06B7"/>
    <w:rsid w:val="3D6510C4"/>
    <w:rsid w:val="3D965A4D"/>
    <w:rsid w:val="3E4405D4"/>
    <w:rsid w:val="3E9D141F"/>
    <w:rsid w:val="3ED10FC9"/>
    <w:rsid w:val="3EDA0523"/>
    <w:rsid w:val="3EF417DD"/>
    <w:rsid w:val="3F4C0D0C"/>
    <w:rsid w:val="3F7A2F32"/>
    <w:rsid w:val="3FAC4783"/>
    <w:rsid w:val="407A6407"/>
    <w:rsid w:val="40AD4E1B"/>
    <w:rsid w:val="40DE3BFB"/>
    <w:rsid w:val="418274B5"/>
    <w:rsid w:val="41AE6491"/>
    <w:rsid w:val="41DD0B24"/>
    <w:rsid w:val="4200449D"/>
    <w:rsid w:val="423579D1"/>
    <w:rsid w:val="423A3BCC"/>
    <w:rsid w:val="424E57D2"/>
    <w:rsid w:val="427D3166"/>
    <w:rsid w:val="42B225A3"/>
    <w:rsid w:val="42B26C49"/>
    <w:rsid w:val="433A6FE6"/>
    <w:rsid w:val="43480868"/>
    <w:rsid w:val="43496090"/>
    <w:rsid w:val="434D1CD9"/>
    <w:rsid w:val="4350713C"/>
    <w:rsid w:val="436653E0"/>
    <w:rsid w:val="43C4431A"/>
    <w:rsid w:val="440136B6"/>
    <w:rsid w:val="44173DC0"/>
    <w:rsid w:val="44181DC4"/>
    <w:rsid w:val="44B951CC"/>
    <w:rsid w:val="44CD14E0"/>
    <w:rsid w:val="44DE04EC"/>
    <w:rsid w:val="44F20B0B"/>
    <w:rsid w:val="452E5F4C"/>
    <w:rsid w:val="45612018"/>
    <w:rsid w:val="458946E9"/>
    <w:rsid w:val="459B7458"/>
    <w:rsid w:val="45A47C0E"/>
    <w:rsid w:val="46577FD6"/>
    <w:rsid w:val="46876B02"/>
    <w:rsid w:val="468B3B7E"/>
    <w:rsid w:val="468E4AE3"/>
    <w:rsid w:val="46D955A7"/>
    <w:rsid w:val="470E1780"/>
    <w:rsid w:val="47133957"/>
    <w:rsid w:val="473C6602"/>
    <w:rsid w:val="473F6FD2"/>
    <w:rsid w:val="474A58D0"/>
    <w:rsid w:val="47560448"/>
    <w:rsid w:val="47633879"/>
    <w:rsid w:val="47A07E0C"/>
    <w:rsid w:val="47F624A2"/>
    <w:rsid w:val="482573EB"/>
    <w:rsid w:val="4851401A"/>
    <w:rsid w:val="4855256B"/>
    <w:rsid w:val="4870272E"/>
    <w:rsid w:val="48B24ED9"/>
    <w:rsid w:val="48B43AC4"/>
    <w:rsid w:val="496E1D01"/>
    <w:rsid w:val="497A5359"/>
    <w:rsid w:val="49C00D59"/>
    <w:rsid w:val="49DB1DED"/>
    <w:rsid w:val="49DC7715"/>
    <w:rsid w:val="4A023139"/>
    <w:rsid w:val="4A7B576F"/>
    <w:rsid w:val="4AB61C35"/>
    <w:rsid w:val="4AF561A9"/>
    <w:rsid w:val="4B1C1559"/>
    <w:rsid w:val="4B2E63E7"/>
    <w:rsid w:val="4B3135AC"/>
    <w:rsid w:val="4B93759D"/>
    <w:rsid w:val="4BC65FDF"/>
    <w:rsid w:val="4BD55000"/>
    <w:rsid w:val="4C3F2415"/>
    <w:rsid w:val="4C4A0649"/>
    <w:rsid w:val="4C7E5ECA"/>
    <w:rsid w:val="4C876AA5"/>
    <w:rsid w:val="4D065BB0"/>
    <w:rsid w:val="4D0E00FB"/>
    <w:rsid w:val="4D176606"/>
    <w:rsid w:val="4D8B1FD7"/>
    <w:rsid w:val="4DBD1474"/>
    <w:rsid w:val="4DC70BF5"/>
    <w:rsid w:val="4DE97B3B"/>
    <w:rsid w:val="4DEC4FB0"/>
    <w:rsid w:val="4E075D8A"/>
    <w:rsid w:val="4E5D7F9E"/>
    <w:rsid w:val="4E7A7C33"/>
    <w:rsid w:val="4E8E59BD"/>
    <w:rsid w:val="4EBA78D3"/>
    <w:rsid w:val="4EC00FAD"/>
    <w:rsid w:val="4F702FD7"/>
    <w:rsid w:val="4F9843DC"/>
    <w:rsid w:val="4FA13C30"/>
    <w:rsid w:val="4FAA2BC4"/>
    <w:rsid w:val="4FB517B0"/>
    <w:rsid w:val="4FC62A8C"/>
    <w:rsid w:val="4FE20F0D"/>
    <w:rsid w:val="4FE51552"/>
    <w:rsid w:val="50504C4B"/>
    <w:rsid w:val="50680152"/>
    <w:rsid w:val="50783967"/>
    <w:rsid w:val="509C6E7C"/>
    <w:rsid w:val="50B3698C"/>
    <w:rsid w:val="5162104E"/>
    <w:rsid w:val="51673238"/>
    <w:rsid w:val="51950898"/>
    <w:rsid w:val="5267028E"/>
    <w:rsid w:val="528374C6"/>
    <w:rsid w:val="528743D1"/>
    <w:rsid w:val="52A244F1"/>
    <w:rsid w:val="53A039CC"/>
    <w:rsid w:val="53A1505A"/>
    <w:rsid w:val="54063E08"/>
    <w:rsid w:val="543437E8"/>
    <w:rsid w:val="54723521"/>
    <w:rsid w:val="549E31E0"/>
    <w:rsid w:val="54F73313"/>
    <w:rsid w:val="54F80955"/>
    <w:rsid w:val="55306B74"/>
    <w:rsid w:val="555170A7"/>
    <w:rsid w:val="5587536D"/>
    <w:rsid w:val="559B174B"/>
    <w:rsid w:val="55C03F73"/>
    <w:rsid w:val="55CE0CF4"/>
    <w:rsid w:val="55E75969"/>
    <w:rsid w:val="55E95897"/>
    <w:rsid w:val="56251DE7"/>
    <w:rsid w:val="562731A0"/>
    <w:rsid w:val="56305381"/>
    <w:rsid w:val="568B6949"/>
    <w:rsid w:val="56B22A9C"/>
    <w:rsid w:val="574C5E7A"/>
    <w:rsid w:val="577E025B"/>
    <w:rsid w:val="57B72A76"/>
    <w:rsid w:val="57B77D7A"/>
    <w:rsid w:val="57C3426C"/>
    <w:rsid w:val="57CE1F93"/>
    <w:rsid w:val="58155525"/>
    <w:rsid w:val="587D49B7"/>
    <w:rsid w:val="588743D1"/>
    <w:rsid w:val="5887701A"/>
    <w:rsid w:val="591F0D4E"/>
    <w:rsid w:val="596F66B0"/>
    <w:rsid w:val="597421FA"/>
    <w:rsid w:val="59C0439F"/>
    <w:rsid w:val="59E24004"/>
    <w:rsid w:val="5A160FDB"/>
    <w:rsid w:val="5A311FF5"/>
    <w:rsid w:val="5A5E6734"/>
    <w:rsid w:val="5A81068A"/>
    <w:rsid w:val="5ABE2233"/>
    <w:rsid w:val="5AD6545D"/>
    <w:rsid w:val="5AE26034"/>
    <w:rsid w:val="5BDF5D95"/>
    <w:rsid w:val="5BEE1E0A"/>
    <w:rsid w:val="5BFE7528"/>
    <w:rsid w:val="5C313211"/>
    <w:rsid w:val="5C6950D2"/>
    <w:rsid w:val="5C9708E2"/>
    <w:rsid w:val="5CB812C5"/>
    <w:rsid w:val="5D417CB9"/>
    <w:rsid w:val="5D6E241A"/>
    <w:rsid w:val="5D9F6029"/>
    <w:rsid w:val="5DCB4C98"/>
    <w:rsid w:val="5DE4132A"/>
    <w:rsid w:val="5E2467F1"/>
    <w:rsid w:val="5F1A2B43"/>
    <w:rsid w:val="5F3049CE"/>
    <w:rsid w:val="5F5275BE"/>
    <w:rsid w:val="5FB837BB"/>
    <w:rsid w:val="5FC66C44"/>
    <w:rsid w:val="5FC7432E"/>
    <w:rsid w:val="60031215"/>
    <w:rsid w:val="60AA4655"/>
    <w:rsid w:val="60CC405A"/>
    <w:rsid w:val="610920DF"/>
    <w:rsid w:val="610F01EE"/>
    <w:rsid w:val="61781372"/>
    <w:rsid w:val="61B027E8"/>
    <w:rsid w:val="61E215D8"/>
    <w:rsid w:val="621B3775"/>
    <w:rsid w:val="62364782"/>
    <w:rsid w:val="626E66B1"/>
    <w:rsid w:val="63167BAE"/>
    <w:rsid w:val="633E6EDE"/>
    <w:rsid w:val="634D2DDE"/>
    <w:rsid w:val="6352765E"/>
    <w:rsid w:val="63580EFA"/>
    <w:rsid w:val="637750EC"/>
    <w:rsid w:val="6394356A"/>
    <w:rsid w:val="63A123BE"/>
    <w:rsid w:val="63C61B2C"/>
    <w:rsid w:val="63D217B5"/>
    <w:rsid w:val="63D40BE9"/>
    <w:rsid w:val="64102431"/>
    <w:rsid w:val="641B2EA2"/>
    <w:rsid w:val="64882719"/>
    <w:rsid w:val="64A5243A"/>
    <w:rsid w:val="64E42046"/>
    <w:rsid w:val="64F531DE"/>
    <w:rsid w:val="651544B0"/>
    <w:rsid w:val="65373578"/>
    <w:rsid w:val="6552468A"/>
    <w:rsid w:val="65753CC9"/>
    <w:rsid w:val="65984EE1"/>
    <w:rsid w:val="65BA2AA9"/>
    <w:rsid w:val="65FC77E5"/>
    <w:rsid w:val="660F3D98"/>
    <w:rsid w:val="669C2591"/>
    <w:rsid w:val="66F6168A"/>
    <w:rsid w:val="66F65655"/>
    <w:rsid w:val="67012857"/>
    <w:rsid w:val="67094E4C"/>
    <w:rsid w:val="671F124A"/>
    <w:rsid w:val="677A33C6"/>
    <w:rsid w:val="679112EF"/>
    <w:rsid w:val="67FF1C9A"/>
    <w:rsid w:val="681F6961"/>
    <w:rsid w:val="68610A2F"/>
    <w:rsid w:val="686D4100"/>
    <w:rsid w:val="68805514"/>
    <w:rsid w:val="68897610"/>
    <w:rsid w:val="68B67966"/>
    <w:rsid w:val="68BF2482"/>
    <w:rsid w:val="69060A3C"/>
    <w:rsid w:val="69316E2F"/>
    <w:rsid w:val="694E2071"/>
    <w:rsid w:val="69766163"/>
    <w:rsid w:val="697A3B33"/>
    <w:rsid w:val="697C0B86"/>
    <w:rsid w:val="698D63E3"/>
    <w:rsid w:val="69D44760"/>
    <w:rsid w:val="69D60BD0"/>
    <w:rsid w:val="69F251B0"/>
    <w:rsid w:val="6A47646D"/>
    <w:rsid w:val="6A520EC7"/>
    <w:rsid w:val="6A610314"/>
    <w:rsid w:val="6A823E36"/>
    <w:rsid w:val="6AB858E0"/>
    <w:rsid w:val="6AE91AFB"/>
    <w:rsid w:val="6AF33871"/>
    <w:rsid w:val="6AF87E20"/>
    <w:rsid w:val="6AFD7C30"/>
    <w:rsid w:val="6B322639"/>
    <w:rsid w:val="6B762019"/>
    <w:rsid w:val="6C636C38"/>
    <w:rsid w:val="6CC91D04"/>
    <w:rsid w:val="6D0D1A0E"/>
    <w:rsid w:val="6DB34098"/>
    <w:rsid w:val="6DB545B6"/>
    <w:rsid w:val="6DE02FB4"/>
    <w:rsid w:val="6E1C5DF4"/>
    <w:rsid w:val="6E514CED"/>
    <w:rsid w:val="6EB563D5"/>
    <w:rsid w:val="6ECE4611"/>
    <w:rsid w:val="6ED92677"/>
    <w:rsid w:val="6EF852A7"/>
    <w:rsid w:val="6F2177A4"/>
    <w:rsid w:val="6F225983"/>
    <w:rsid w:val="6F2E6A91"/>
    <w:rsid w:val="6FF9170D"/>
    <w:rsid w:val="6FFC5590"/>
    <w:rsid w:val="706D1DD0"/>
    <w:rsid w:val="70856B87"/>
    <w:rsid w:val="70BA1A5F"/>
    <w:rsid w:val="70D527EE"/>
    <w:rsid w:val="70E03113"/>
    <w:rsid w:val="70E52E8B"/>
    <w:rsid w:val="713117F9"/>
    <w:rsid w:val="71327344"/>
    <w:rsid w:val="713616AB"/>
    <w:rsid w:val="715B5300"/>
    <w:rsid w:val="71D27F8A"/>
    <w:rsid w:val="71DB2EE2"/>
    <w:rsid w:val="71EA56F1"/>
    <w:rsid w:val="72553024"/>
    <w:rsid w:val="72BF1187"/>
    <w:rsid w:val="72ED41D3"/>
    <w:rsid w:val="730F3E2D"/>
    <w:rsid w:val="73122968"/>
    <w:rsid w:val="731F5D5E"/>
    <w:rsid w:val="73727B05"/>
    <w:rsid w:val="73C51AD5"/>
    <w:rsid w:val="73D70FC8"/>
    <w:rsid w:val="741E793C"/>
    <w:rsid w:val="74233FC9"/>
    <w:rsid w:val="745E3944"/>
    <w:rsid w:val="74636FA9"/>
    <w:rsid w:val="74AE6CAC"/>
    <w:rsid w:val="74BD1068"/>
    <w:rsid w:val="75156EB8"/>
    <w:rsid w:val="753406AE"/>
    <w:rsid w:val="755F1549"/>
    <w:rsid w:val="76043588"/>
    <w:rsid w:val="760B55B2"/>
    <w:rsid w:val="7635099D"/>
    <w:rsid w:val="770025E3"/>
    <w:rsid w:val="776D7DC4"/>
    <w:rsid w:val="77762421"/>
    <w:rsid w:val="77B56B1F"/>
    <w:rsid w:val="780F09F4"/>
    <w:rsid w:val="78171E6D"/>
    <w:rsid w:val="78A90480"/>
    <w:rsid w:val="79BA47B4"/>
    <w:rsid w:val="79C3303F"/>
    <w:rsid w:val="79DD2738"/>
    <w:rsid w:val="7A053CF0"/>
    <w:rsid w:val="7A364017"/>
    <w:rsid w:val="7A4078C7"/>
    <w:rsid w:val="7A4359EF"/>
    <w:rsid w:val="7A602BD0"/>
    <w:rsid w:val="7A8265E1"/>
    <w:rsid w:val="7A865347"/>
    <w:rsid w:val="7AC23EA7"/>
    <w:rsid w:val="7B166CEC"/>
    <w:rsid w:val="7B257CAC"/>
    <w:rsid w:val="7B622DE0"/>
    <w:rsid w:val="7B686D42"/>
    <w:rsid w:val="7B841746"/>
    <w:rsid w:val="7B930616"/>
    <w:rsid w:val="7BBC79BE"/>
    <w:rsid w:val="7C686C61"/>
    <w:rsid w:val="7C6C5AC7"/>
    <w:rsid w:val="7CC6544B"/>
    <w:rsid w:val="7CF84245"/>
    <w:rsid w:val="7D0239FF"/>
    <w:rsid w:val="7D1813DF"/>
    <w:rsid w:val="7D5C5B33"/>
    <w:rsid w:val="7D5E40CD"/>
    <w:rsid w:val="7D881FCA"/>
    <w:rsid w:val="7DCD56F2"/>
    <w:rsid w:val="7E5E6E19"/>
    <w:rsid w:val="7F001CE7"/>
    <w:rsid w:val="7F06276F"/>
    <w:rsid w:val="7F7D4BE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92"/>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qFormat/>
    <w:locked/>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31"/>
    <w:qFormat/>
    <w:locked/>
    <w:uiPriority w:val="0"/>
    <w:pPr>
      <w:ind w:firstLine="420"/>
    </w:pPr>
    <w:rPr>
      <w:sz w:val="28"/>
      <w:szCs w:val="20"/>
    </w:rPr>
  </w:style>
  <w:style w:type="paragraph" w:styleId="6">
    <w:name w:val="annotation text"/>
    <w:basedOn w:val="1"/>
    <w:link w:val="35"/>
    <w:semiHidden/>
    <w:qFormat/>
    <w:uiPriority w:val="0"/>
    <w:pPr>
      <w:jc w:val="left"/>
    </w:pPr>
    <w:rPr>
      <w:kern w:val="0"/>
      <w:sz w:val="24"/>
      <w:szCs w:val="20"/>
    </w:rPr>
  </w:style>
  <w:style w:type="paragraph" w:styleId="7">
    <w:name w:val="Body Text"/>
    <w:basedOn w:val="1"/>
    <w:link w:val="43"/>
    <w:qFormat/>
    <w:uiPriority w:val="99"/>
    <w:pPr>
      <w:widowControl/>
      <w:snapToGrid w:val="0"/>
      <w:spacing w:before="60" w:after="160" w:line="259" w:lineRule="auto"/>
      <w:ind w:right="113"/>
    </w:pPr>
    <w:rPr>
      <w:kern w:val="0"/>
      <w:sz w:val="18"/>
      <w:szCs w:val="20"/>
    </w:rPr>
  </w:style>
  <w:style w:type="paragraph" w:styleId="8">
    <w:name w:val="Body Text Indent"/>
    <w:basedOn w:val="1"/>
    <w:link w:val="34"/>
    <w:qFormat/>
    <w:uiPriority w:val="0"/>
    <w:pPr>
      <w:spacing w:after="120"/>
      <w:ind w:left="420" w:leftChars="200"/>
    </w:pPr>
    <w:rPr>
      <w:kern w:val="0"/>
      <w:sz w:val="24"/>
      <w:szCs w:val="20"/>
    </w:rPr>
  </w:style>
  <w:style w:type="paragraph" w:styleId="9">
    <w:name w:val="Plain Text"/>
    <w:basedOn w:val="1"/>
    <w:next w:val="1"/>
    <w:link w:val="38"/>
    <w:qFormat/>
    <w:locked/>
    <w:uiPriority w:val="0"/>
    <w:rPr>
      <w:rFonts w:ascii="宋体" w:hAnsi="Courier New"/>
      <w:kern w:val="44"/>
      <w:szCs w:val="20"/>
    </w:rPr>
  </w:style>
  <w:style w:type="paragraph" w:styleId="10">
    <w:name w:val="List Bullet 5"/>
    <w:basedOn w:val="1"/>
    <w:qFormat/>
    <w:locked/>
    <w:uiPriority w:val="0"/>
    <w:pPr>
      <w:numPr>
        <w:ilvl w:val="0"/>
        <w:numId w:val="1"/>
      </w:numPr>
    </w:pPr>
  </w:style>
  <w:style w:type="paragraph" w:styleId="11">
    <w:name w:val="Date"/>
    <w:basedOn w:val="1"/>
    <w:next w:val="1"/>
    <w:link w:val="29"/>
    <w:qFormat/>
    <w:uiPriority w:val="0"/>
    <w:pPr>
      <w:ind w:left="100" w:leftChars="2500"/>
    </w:pPr>
    <w:rPr>
      <w:kern w:val="0"/>
      <w:sz w:val="24"/>
      <w:szCs w:val="20"/>
    </w:rPr>
  </w:style>
  <w:style w:type="paragraph" w:styleId="12">
    <w:name w:val="Balloon Text"/>
    <w:basedOn w:val="1"/>
    <w:link w:val="39"/>
    <w:semiHidden/>
    <w:qFormat/>
    <w:uiPriority w:val="0"/>
    <w:rPr>
      <w:kern w:val="0"/>
      <w:sz w:val="18"/>
      <w:szCs w:val="20"/>
    </w:rPr>
  </w:style>
  <w:style w:type="paragraph" w:styleId="13">
    <w:name w:val="footer"/>
    <w:basedOn w:val="1"/>
    <w:link w:val="36"/>
    <w:qFormat/>
    <w:uiPriority w:val="99"/>
    <w:pPr>
      <w:tabs>
        <w:tab w:val="center" w:pos="4153"/>
        <w:tab w:val="right" w:pos="8306"/>
      </w:tabs>
      <w:snapToGrid w:val="0"/>
      <w:jc w:val="left"/>
    </w:pPr>
    <w:rPr>
      <w:kern w:val="0"/>
      <w:sz w:val="18"/>
      <w:szCs w:val="20"/>
    </w:rPr>
  </w:style>
  <w:style w:type="paragraph" w:styleId="14">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Normal (Web)"/>
    <w:basedOn w:val="1"/>
    <w:link w:val="33"/>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6"/>
    <w:next w:val="6"/>
    <w:link w:val="48"/>
    <w:qFormat/>
    <w:uiPriority w:val="0"/>
    <w:rPr>
      <w:b/>
      <w:kern w:val="2"/>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locked/>
    <w:uiPriority w:val="0"/>
    <w:rPr>
      <w:b/>
    </w:rPr>
  </w:style>
  <w:style w:type="character" w:styleId="21">
    <w:name w:val="page number"/>
    <w:basedOn w:val="19"/>
    <w:qFormat/>
    <w:locked/>
    <w:uiPriority w:val="0"/>
  </w:style>
  <w:style w:type="character" w:styleId="22">
    <w:name w:val="annotation reference"/>
    <w:semiHidden/>
    <w:qFormat/>
    <w:uiPriority w:val="0"/>
    <w:rPr>
      <w:sz w:val="21"/>
    </w:rPr>
  </w:style>
  <w:style w:type="paragraph" w:customStyle="1" w:styleId="23">
    <w:name w:val="Default"/>
    <w:basedOn w:val="24"/>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24">
    <w:name w:val="文中表格文本"/>
    <w:basedOn w:val="1"/>
    <w:qFormat/>
    <w:uiPriority w:val="0"/>
    <w:pPr>
      <w:widowControl w:val="0"/>
      <w:topLinePunct/>
      <w:adjustRightInd w:val="0"/>
      <w:snapToGrid w:val="0"/>
      <w:jc w:val="center"/>
    </w:pPr>
    <w:rPr>
      <w:sz w:val="21"/>
      <w:szCs w:val="21"/>
    </w:rPr>
  </w:style>
  <w:style w:type="character" w:customStyle="1" w:styleId="25">
    <w:name w:val="标题 3 字符"/>
    <w:link w:val="4"/>
    <w:semiHidden/>
    <w:qFormat/>
    <w:uiPriority w:val="0"/>
    <w:rPr>
      <w:b/>
      <w:bCs/>
      <w:kern w:val="2"/>
      <w:sz w:val="32"/>
      <w:szCs w:val="32"/>
    </w:rPr>
  </w:style>
  <w:style w:type="character" w:customStyle="1" w:styleId="26">
    <w:name w:val="纯文本 Char1"/>
    <w:qFormat/>
    <w:uiPriority w:val="0"/>
    <w:rPr>
      <w:rFonts w:hint="eastAsia" w:ascii="宋体" w:hAnsi="Courier New" w:eastAsia="宋体" w:cs="宋体"/>
      <w:kern w:val="44"/>
      <w:sz w:val="21"/>
      <w:lang w:val="en-US" w:eastAsia="zh-CN" w:bidi="ar"/>
    </w:rPr>
  </w:style>
  <w:style w:type="character" w:customStyle="1" w:styleId="27">
    <w:name w:val="CCGL表 字符"/>
    <w:link w:val="28"/>
    <w:qFormat/>
    <w:locked/>
    <w:uiPriority w:val="0"/>
    <w:rPr>
      <w:rFonts w:ascii="Calibri" w:hAnsi="Calibri"/>
      <w:sz w:val="22"/>
    </w:rPr>
  </w:style>
  <w:style w:type="paragraph" w:customStyle="1" w:styleId="28">
    <w:name w:val="CCGL表"/>
    <w:basedOn w:val="1"/>
    <w:link w:val="27"/>
    <w:qFormat/>
    <w:uiPriority w:val="0"/>
    <w:pPr>
      <w:autoSpaceDE w:val="0"/>
      <w:autoSpaceDN w:val="0"/>
      <w:adjustRightInd w:val="0"/>
      <w:jc w:val="center"/>
      <w:textAlignment w:val="baseline"/>
    </w:pPr>
    <w:rPr>
      <w:kern w:val="0"/>
      <w:sz w:val="22"/>
      <w:szCs w:val="20"/>
    </w:rPr>
  </w:style>
  <w:style w:type="character" w:customStyle="1" w:styleId="29">
    <w:name w:val="日期 字符1"/>
    <w:link w:val="11"/>
    <w:qFormat/>
    <w:locked/>
    <w:uiPriority w:val="0"/>
    <w:rPr>
      <w:rFonts w:ascii="Times New Roman" w:hAnsi="Times New Roman" w:eastAsia="宋体"/>
      <w:sz w:val="24"/>
    </w:rPr>
  </w:style>
  <w:style w:type="character" w:customStyle="1" w:styleId="30">
    <w:name w:val="日期 字符"/>
    <w:semiHidden/>
    <w:qFormat/>
    <w:uiPriority w:val="0"/>
    <w:rPr>
      <w:rFonts w:ascii="Times New Roman" w:hAnsi="Times New Roman" w:eastAsia="宋体"/>
      <w:sz w:val="24"/>
    </w:rPr>
  </w:style>
  <w:style w:type="character" w:customStyle="1" w:styleId="31">
    <w:name w:val="正文缩进 字符"/>
    <w:link w:val="5"/>
    <w:qFormat/>
    <w:uiPriority w:val="0"/>
    <w:rPr>
      <w:kern w:val="2"/>
      <w:sz w:val="28"/>
    </w:rPr>
  </w:style>
  <w:style w:type="character" w:customStyle="1" w:styleId="32">
    <w:name w:val="标题 3 Char Char Char Char Char Char Char Char"/>
    <w:qFormat/>
    <w:uiPriority w:val="0"/>
    <w:rPr>
      <w:rFonts w:eastAsia="宋体"/>
      <w:b/>
      <w:bCs/>
      <w:kern w:val="2"/>
      <w:sz w:val="32"/>
      <w:szCs w:val="32"/>
      <w:lang w:val="en-US" w:eastAsia="zh-CN" w:bidi="ar-SA"/>
    </w:rPr>
  </w:style>
  <w:style w:type="character" w:customStyle="1" w:styleId="33">
    <w:name w:val="普通(网站) 字符"/>
    <w:link w:val="15"/>
    <w:qFormat/>
    <w:locked/>
    <w:uiPriority w:val="0"/>
    <w:rPr>
      <w:rFonts w:ascii="宋体" w:hAnsi="宋体" w:eastAsia="宋体"/>
      <w:sz w:val="24"/>
    </w:rPr>
  </w:style>
  <w:style w:type="character" w:customStyle="1" w:styleId="34">
    <w:name w:val="正文文本缩进 字符"/>
    <w:link w:val="8"/>
    <w:semiHidden/>
    <w:qFormat/>
    <w:locked/>
    <w:uiPriority w:val="0"/>
    <w:rPr>
      <w:rFonts w:ascii="Times New Roman" w:hAnsi="Times New Roman" w:eastAsia="宋体"/>
      <w:sz w:val="24"/>
    </w:rPr>
  </w:style>
  <w:style w:type="character" w:customStyle="1" w:styleId="35">
    <w:name w:val="批注文字 字符"/>
    <w:link w:val="6"/>
    <w:qFormat/>
    <w:locked/>
    <w:uiPriority w:val="0"/>
    <w:rPr>
      <w:rFonts w:ascii="Times New Roman" w:hAnsi="Times New Roman" w:eastAsia="宋体"/>
      <w:sz w:val="24"/>
    </w:rPr>
  </w:style>
  <w:style w:type="character" w:customStyle="1" w:styleId="36">
    <w:name w:val="页脚 字符1"/>
    <w:link w:val="13"/>
    <w:qFormat/>
    <w:locked/>
    <w:uiPriority w:val="99"/>
    <w:rPr>
      <w:sz w:val="18"/>
    </w:rPr>
  </w:style>
  <w:style w:type="character" w:customStyle="1" w:styleId="37">
    <w:name w:val="批注文字 字符1"/>
    <w:semiHidden/>
    <w:qFormat/>
    <w:uiPriority w:val="0"/>
    <w:rPr>
      <w:rFonts w:ascii="Times New Roman" w:hAnsi="Times New Roman" w:eastAsia="宋体"/>
      <w:sz w:val="24"/>
    </w:rPr>
  </w:style>
  <w:style w:type="character" w:customStyle="1" w:styleId="38">
    <w:name w:val="纯文本 字符"/>
    <w:link w:val="9"/>
    <w:qFormat/>
    <w:uiPriority w:val="0"/>
    <w:rPr>
      <w:rFonts w:ascii="宋体" w:hAnsi="Courier New"/>
      <w:kern w:val="44"/>
      <w:sz w:val="21"/>
    </w:rPr>
  </w:style>
  <w:style w:type="character" w:customStyle="1" w:styleId="39">
    <w:name w:val="批注框文本 字符"/>
    <w:link w:val="12"/>
    <w:semiHidden/>
    <w:qFormat/>
    <w:locked/>
    <w:uiPriority w:val="0"/>
    <w:rPr>
      <w:rFonts w:ascii="Times New Roman" w:hAnsi="Times New Roman" w:eastAsia="宋体"/>
      <w:sz w:val="18"/>
    </w:rPr>
  </w:style>
  <w:style w:type="character" w:customStyle="1" w:styleId="40">
    <w:name w:val="页脚 字符"/>
    <w:basedOn w:val="19"/>
    <w:qFormat/>
    <w:uiPriority w:val="99"/>
  </w:style>
  <w:style w:type="character" w:customStyle="1" w:styleId="41">
    <w:name w:val="纯文本 Char"/>
    <w:qFormat/>
    <w:uiPriority w:val="0"/>
    <w:rPr>
      <w:rFonts w:ascii="宋体" w:hAnsi="Courier New" w:cs="Courier New"/>
      <w:kern w:val="2"/>
      <w:sz w:val="21"/>
      <w:szCs w:val="21"/>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正文文本 字符"/>
    <w:link w:val="7"/>
    <w:qFormat/>
    <w:locked/>
    <w:uiPriority w:val="99"/>
    <w:rPr>
      <w:sz w:val="18"/>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环评正文 字符"/>
    <w:link w:val="47"/>
    <w:qFormat/>
    <w:uiPriority w:val="3"/>
    <w:rPr>
      <w:rFonts w:eastAsia="仿宋_GB2312"/>
      <w:kern w:val="2"/>
      <w:sz w:val="24"/>
      <w:szCs w:val="21"/>
    </w:rPr>
  </w:style>
  <w:style w:type="paragraph" w:customStyle="1" w:styleId="47">
    <w:name w:val="环评正文"/>
    <w:basedOn w:val="1"/>
    <w:link w:val="46"/>
    <w:qFormat/>
    <w:uiPriority w:val="0"/>
    <w:pPr>
      <w:spacing w:line="360" w:lineRule="auto"/>
      <w:ind w:firstLine="480" w:firstLineChars="200"/>
    </w:pPr>
    <w:rPr>
      <w:rFonts w:eastAsia="仿宋_GB2312"/>
      <w:sz w:val="24"/>
      <w:szCs w:val="21"/>
    </w:rPr>
  </w:style>
  <w:style w:type="character" w:customStyle="1" w:styleId="48">
    <w:name w:val="批注主题 字符"/>
    <w:link w:val="16"/>
    <w:qFormat/>
    <w:locked/>
    <w:uiPriority w:val="0"/>
    <w:rPr>
      <w:rFonts w:ascii="Times New Roman" w:hAnsi="Times New Roman" w:eastAsia="宋体"/>
      <w:b/>
      <w:kern w:val="2"/>
      <w:sz w:val="24"/>
    </w:rPr>
  </w:style>
  <w:style w:type="character" w:customStyle="1" w:styleId="49">
    <w:name w:val="页眉 字符"/>
    <w:link w:val="14"/>
    <w:qFormat/>
    <w:locked/>
    <w:uiPriority w:val="0"/>
    <w:rPr>
      <w:sz w:val="18"/>
    </w:rPr>
  </w:style>
  <w:style w:type="character" w:customStyle="1" w:styleId="50">
    <w:name w:val="Char Char5"/>
    <w:qFormat/>
    <w:uiPriority w:val="0"/>
    <w:rPr>
      <w:rFonts w:eastAsia="宋体"/>
      <w:kern w:val="2"/>
      <w:sz w:val="21"/>
      <w:lang w:val="en-US" w:eastAsia="zh-CN" w:bidi="ar-SA"/>
    </w:rPr>
  </w:style>
  <w:style w:type="paragraph" w:customStyle="1" w:styleId="51">
    <w:name w:val="正文样式 小四"/>
    <w:basedOn w:val="1"/>
    <w:qFormat/>
    <w:uiPriority w:val="0"/>
    <w:pPr>
      <w:spacing w:line="500" w:lineRule="exact"/>
      <w:ind w:firstLine="480" w:firstLineChars="200"/>
    </w:pPr>
    <w:rPr>
      <w:sz w:val="24"/>
      <w:szCs w:val="22"/>
    </w:rPr>
  </w:style>
  <w:style w:type="paragraph" w:customStyle="1" w:styleId="52">
    <w:name w:val="表2"/>
    <w:basedOn w:val="1"/>
    <w:qFormat/>
    <w:uiPriority w:val="0"/>
    <w:pPr>
      <w:widowControl/>
      <w:jc w:val="center"/>
    </w:pPr>
    <w:rPr>
      <w:rFonts w:ascii="Calibri" w:hAnsi="Calibri"/>
      <w:kern w:val="0"/>
      <w:sz w:val="22"/>
      <w:szCs w:val="26"/>
    </w:rPr>
  </w:style>
  <w:style w:type="paragraph" w:customStyle="1" w:styleId="53">
    <w:name w:val="小表1"/>
    <w:basedOn w:val="1"/>
    <w:qFormat/>
    <w:uiPriority w:val="0"/>
    <w:pPr>
      <w:adjustRightInd w:val="0"/>
      <w:snapToGrid w:val="0"/>
      <w:jc w:val="center"/>
    </w:pPr>
    <w:rPr>
      <w:rFonts w:ascii="Calibri" w:hAnsi="Calibri"/>
      <w:sz w:val="22"/>
      <w:szCs w:val="22"/>
    </w:rPr>
  </w:style>
  <w:style w:type="paragraph" w:customStyle="1" w:styleId="54">
    <w:name w:val="Table Paragraph"/>
    <w:basedOn w:val="23"/>
    <w:next w:val="23"/>
    <w:unhideWhenUsed/>
    <w:qFormat/>
    <w:uiPriority w:val="1"/>
    <w:rPr>
      <w:rFonts w:ascii="Calibri" w:hAnsi="Calibri"/>
      <w:sz w:val="24"/>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德胜表格内容"/>
    <w:basedOn w:val="1"/>
    <w:qFormat/>
    <w:uiPriority w:val="0"/>
    <w:pPr>
      <w:adjustRightInd w:val="0"/>
      <w:snapToGrid w:val="0"/>
      <w:jc w:val="center"/>
    </w:pPr>
    <w:rPr>
      <w:rFonts w:ascii="Calibri" w:hAnsi="Calibri" w:cs="宋体"/>
      <w:color w:val="0000FF"/>
      <w:kern w:val="0"/>
      <w:szCs w:val="21"/>
    </w:rPr>
  </w:style>
  <w:style w:type="paragraph" w:customStyle="1" w:styleId="5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p0"/>
    <w:basedOn w:val="1"/>
    <w:qFormat/>
    <w:uiPriority w:val="0"/>
    <w:rPr>
      <w:szCs w:val="21"/>
    </w:rPr>
  </w:style>
  <w:style w:type="character" w:customStyle="1" w:styleId="59">
    <w:name w:val="表头1 Char"/>
    <w:link w:val="60"/>
    <w:qFormat/>
    <w:uiPriority w:val="0"/>
    <w:rPr>
      <w:b/>
      <w:color w:val="000000"/>
      <w:kern w:val="2"/>
      <w:sz w:val="26"/>
      <w:szCs w:val="24"/>
    </w:rPr>
  </w:style>
  <w:style w:type="paragraph" w:customStyle="1" w:styleId="60">
    <w:name w:val="表头1"/>
    <w:basedOn w:val="1"/>
    <w:link w:val="59"/>
    <w:qFormat/>
    <w:uiPriority w:val="0"/>
    <w:pPr>
      <w:adjustRightInd w:val="0"/>
      <w:snapToGrid w:val="0"/>
      <w:jc w:val="left"/>
    </w:pPr>
    <w:rPr>
      <w:b/>
      <w:color w:val="000000"/>
      <w:sz w:val="26"/>
    </w:rPr>
  </w:style>
  <w:style w:type="character" w:customStyle="1" w:styleId="61">
    <w:name w:val="表格体 Char"/>
    <w:link w:val="62"/>
    <w:qFormat/>
    <w:locked/>
    <w:uiPriority w:val="0"/>
    <w:rPr>
      <w:kern w:val="2"/>
      <w:sz w:val="21"/>
      <w:szCs w:val="22"/>
    </w:rPr>
  </w:style>
  <w:style w:type="paragraph" w:customStyle="1" w:styleId="62">
    <w:name w:val="表格体"/>
    <w:basedOn w:val="63"/>
    <w:link w:val="61"/>
    <w:qFormat/>
    <w:uiPriority w:val="0"/>
    <w:pPr>
      <w:jc w:val="center"/>
    </w:pPr>
    <w:rPr>
      <w:szCs w:val="22"/>
    </w:rPr>
  </w:style>
  <w:style w:type="paragraph" w:styleId="63">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   1"/>
    <w:basedOn w:val="1"/>
    <w:link w:val="65"/>
    <w:qFormat/>
    <w:uiPriority w:val="0"/>
    <w:pPr>
      <w:snapToGrid w:val="0"/>
      <w:spacing w:line="460" w:lineRule="atLeast"/>
      <w:ind w:firstLine="520" w:firstLineChars="200"/>
    </w:pPr>
    <w:rPr>
      <w:bCs/>
      <w:sz w:val="26"/>
      <w:szCs w:val="20"/>
    </w:rPr>
  </w:style>
  <w:style w:type="character" w:customStyle="1" w:styleId="65">
    <w:name w:val="正文   1 Char"/>
    <w:link w:val="64"/>
    <w:qFormat/>
    <w:uiPriority w:val="0"/>
    <w:rPr>
      <w:bCs/>
      <w:kern w:val="2"/>
      <w:sz w:val="26"/>
    </w:rPr>
  </w:style>
  <w:style w:type="paragraph" w:customStyle="1" w:styleId="66">
    <w:name w:val="4表内文字"/>
    <w:basedOn w:val="1"/>
    <w:next w:val="1"/>
    <w:link w:val="67"/>
    <w:qFormat/>
    <w:uiPriority w:val="0"/>
    <w:pPr>
      <w:spacing w:line="300" w:lineRule="atLeast"/>
      <w:jc w:val="center"/>
    </w:pPr>
    <w:rPr>
      <w:color w:val="000000"/>
      <w:kern w:val="0"/>
      <w:sz w:val="22"/>
      <w:szCs w:val="28"/>
    </w:rPr>
  </w:style>
  <w:style w:type="character" w:customStyle="1" w:styleId="67">
    <w:name w:val="4表内文字 字符"/>
    <w:link w:val="66"/>
    <w:qFormat/>
    <w:uiPriority w:val="0"/>
    <w:rPr>
      <w:color w:val="000000"/>
      <w:sz w:val="22"/>
      <w:szCs w:val="28"/>
    </w:rPr>
  </w:style>
  <w:style w:type="paragraph" w:customStyle="1" w:styleId="68">
    <w:name w:val="1环评正文"/>
    <w:basedOn w:val="1"/>
    <w:qFormat/>
    <w:uiPriority w:val="0"/>
    <w:pPr>
      <w:spacing w:line="460" w:lineRule="exact"/>
      <w:ind w:firstLine="200" w:firstLineChars="200"/>
    </w:pPr>
    <w:rPr>
      <w:color w:val="000000"/>
      <w:sz w:val="26"/>
      <w:szCs w:val="21"/>
    </w:rPr>
  </w:style>
  <w:style w:type="paragraph" w:customStyle="1" w:styleId="69">
    <w:name w:val="3表头"/>
    <w:qFormat/>
    <w:uiPriority w:val="0"/>
    <w:pPr>
      <w:widowControl w:val="0"/>
      <w:autoSpaceDE w:val="0"/>
      <w:autoSpaceDN w:val="0"/>
      <w:adjustRightInd w:val="0"/>
      <w:spacing w:before="100" w:beforeLines="100"/>
      <w:ind w:firstLine="200" w:firstLineChars="200"/>
    </w:pPr>
    <w:rPr>
      <w:rFonts w:ascii="Times New Roman" w:hAnsi="Times New Roman" w:eastAsia="宋体" w:cs="宋体"/>
      <w:b/>
      <w:color w:val="000000"/>
      <w:sz w:val="26"/>
      <w:szCs w:val="24"/>
      <w:lang w:val="en-US" w:eastAsia="zh-CN" w:bidi="ar-SA"/>
    </w:rPr>
  </w:style>
  <w:style w:type="character" w:customStyle="1" w:styleId="70">
    <w:name w:val="表内字1 Char"/>
    <w:link w:val="71"/>
    <w:qFormat/>
    <w:uiPriority w:val="0"/>
    <w:rPr>
      <w:color w:val="000000"/>
      <w:kern w:val="2"/>
      <w:sz w:val="22"/>
      <w:szCs w:val="21"/>
    </w:rPr>
  </w:style>
  <w:style w:type="paragraph" w:customStyle="1" w:styleId="71">
    <w:name w:val="表内字1"/>
    <w:basedOn w:val="1"/>
    <w:link w:val="70"/>
    <w:qFormat/>
    <w:uiPriority w:val="0"/>
    <w:pPr>
      <w:adjustRightInd w:val="0"/>
      <w:snapToGrid w:val="0"/>
      <w:spacing w:line="300" w:lineRule="exact"/>
      <w:jc w:val="center"/>
    </w:pPr>
    <w:rPr>
      <w:color w:val="000000"/>
      <w:sz w:val="22"/>
      <w:szCs w:val="21"/>
    </w:rPr>
  </w:style>
  <w:style w:type="character" w:customStyle="1" w:styleId="72">
    <w:name w:val="正 文 Char"/>
    <w:link w:val="73"/>
    <w:qFormat/>
    <w:locked/>
    <w:uiPriority w:val="0"/>
    <w:rPr>
      <w:rFonts w:ascii="宋体" w:hAnsi="宋体"/>
      <w:kern w:val="2"/>
      <w:sz w:val="24"/>
      <w:szCs w:val="24"/>
    </w:rPr>
  </w:style>
  <w:style w:type="paragraph" w:customStyle="1" w:styleId="73">
    <w:name w:val="正 文"/>
    <w:basedOn w:val="1"/>
    <w:link w:val="72"/>
    <w:qFormat/>
    <w:uiPriority w:val="0"/>
    <w:pPr>
      <w:spacing w:line="440" w:lineRule="exact"/>
      <w:ind w:firstLine="200" w:firstLineChars="200"/>
    </w:pPr>
    <w:rPr>
      <w:rFonts w:ascii="宋体" w:hAnsi="宋体"/>
      <w:sz w:val="24"/>
    </w:rPr>
  </w:style>
  <w:style w:type="character" w:customStyle="1" w:styleId="74">
    <w:name w:val="标题   22 字符"/>
    <w:link w:val="75"/>
    <w:qFormat/>
    <w:uiPriority w:val="0"/>
    <w:rPr>
      <w:b/>
      <w:bCs/>
      <w:color w:val="000000"/>
      <w:kern w:val="2"/>
      <w:sz w:val="26"/>
    </w:rPr>
  </w:style>
  <w:style w:type="paragraph" w:customStyle="1" w:styleId="75">
    <w:name w:val="标题   22"/>
    <w:basedOn w:val="1"/>
    <w:next w:val="64"/>
    <w:link w:val="74"/>
    <w:qFormat/>
    <w:uiPriority w:val="0"/>
    <w:pPr>
      <w:spacing w:line="500" w:lineRule="exact"/>
      <w:outlineLvl w:val="1"/>
    </w:pPr>
    <w:rPr>
      <w:b/>
      <w:bCs/>
      <w:color w:val="000000"/>
      <w:sz w:val="26"/>
      <w:szCs w:val="20"/>
    </w:rPr>
  </w:style>
  <w:style w:type="character" w:customStyle="1" w:styleId="76">
    <w:name w:val="font01"/>
    <w:qFormat/>
    <w:uiPriority w:val="0"/>
    <w:rPr>
      <w:rFonts w:hint="eastAsia" w:ascii="宋体" w:hAnsi="宋体" w:eastAsia="宋体"/>
      <w:color w:val="000000"/>
      <w:sz w:val="20"/>
      <w:szCs w:val="20"/>
      <w:u w:val="none"/>
    </w:rPr>
  </w:style>
  <w:style w:type="character" w:customStyle="1" w:styleId="77">
    <w:name w:val="标题  33 字符"/>
    <w:link w:val="78"/>
    <w:qFormat/>
    <w:uiPriority w:val="0"/>
    <w:rPr>
      <w:b/>
      <w:bCs/>
      <w:kern w:val="2"/>
      <w:sz w:val="26"/>
    </w:rPr>
  </w:style>
  <w:style w:type="paragraph" w:customStyle="1" w:styleId="78">
    <w:name w:val="标题  33"/>
    <w:basedOn w:val="64"/>
    <w:next w:val="1"/>
    <w:link w:val="77"/>
    <w:qFormat/>
    <w:uiPriority w:val="0"/>
    <w:pPr>
      <w:ind w:firstLine="0" w:firstLineChars="0"/>
    </w:pPr>
    <w:rPr>
      <w:b/>
    </w:rPr>
  </w:style>
  <w:style w:type="paragraph" w:styleId="79">
    <w:name w:val="List Paragraph"/>
    <w:basedOn w:val="1"/>
    <w:link w:val="80"/>
    <w:qFormat/>
    <w:uiPriority w:val="34"/>
    <w:pPr>
      <w:ind w:firstLine="420" w:firstLineChars="200"/>
    </w:pPr>
    <w:rPr>
      <w:szCs w:val="20"/>
    </w:rPr>
  </w:style>
  <w:style w:type="character" w:customStyle="1" w:styleId="80">
    <w:name w:val="列表段落 字符"/>
    <w:link w:val="79"/>
    <w:qFormat/>
    <w:uiPriority w:val="34"/>
    <w:rPr>
      <w:kern w:val="2"/>
      <w:sz w:val="21"/>
    </w:rPr>
  </w:style>
  <w:style w:type="character" w:customStyle="1" w:styleId="81">
    <w:name w:val="【正文】 Char"/>
    <w:link w:val="82"/>
    <w:qFormat/>
    <w:uiPriority w:val="0"/>
    <w:rPr>
      <w:kern w:val="2"/>
      <w:sz w:val="24"/>
    </w:rPr>
  </w:style>
  <w:style w:type="paragraph" w:customStyle="1" w:styleId="82">
    <w:name w:val="【正文】"/>
    <w:basedOn w:val="1"/>
    <w:link w:val="81"/>
    <w:qFormat/>
    <w:uiPriority w:val="0"/>
    <w:pPr>
      <w:spacing w:line="440" w:lineRule="exact"/>
      <w:ind w:firstLine="544" w:firstLineChars="200"/>
    </w:pPr>
    <w:rPr>
      <w:sz w:val="24"/>
      <w:szCs w:val="20"/>
    </w:rPr>
  </w:style>
  <w:style w:type="paragraph" w:customStyle="1" w:styleId="83">
    <w:name w:val="表内字"/>
    <w:basedOn w:val="1"/>
    <w:link w:val="84"/>
    <w:qFormat/>
    <w:uiPriority w:val="0"/>
    <w:pPr>
      <w:autoSpaceDE w:val="0"/>
      <w:autoSpaceDN w:val="0"/>
      <w:adjustRightInd w:val="0"/>
      <w:snapToGrid w:val="0"/>
      <w:jc w:val="center"/>
    </w:pPr>
    <w:rPr>
      <w:kern w:val="0"/>
      <w:szCs w:val="21"/>
    </w:rPr>
  </w:style>
  <w:style w:type="character" w:customStyle="1" w:styleId="84">
    <w:name w:val="表内字 Char"/>
    <w:link w:val="83"/>
    <w:qFormat/>
    <w:uiPriority w:val="0"/>
    <w:rPr>
      <w:sz w:val="21"/>
      <w:szCs w:val="21"/>
    </w:rPr>
  </w:style>
  <w:style w:type="character" w:customStyle="1" w:styleId="85">
    <w:name w:val="标题  44 字符"/>
    <w:link w:val="86"/>
    <w:qFormat/>
    <w:uiPriority w:val="0"/>
    <w:rPr>
      <w:b/>
      <w:color w:val="000000"/>
      <w:kern w:val="2"/>
      <w:sz w:val="26"/>
      <w:szCs w:val="24"/>
    </w:rPr>
  </w:style>
  <w:style w:type="paragraph" w:customStyle="1" w:styleId="86">
    <w:name w:val="标题  44"/>
    <w:basedOn w:val="1"/>
    <w:link w:val="85"/>
    <w:qFormat/>
    <w:uiPriority w:val="0"/>
    <w:pPr>
      <w:widowControl/>
      <w:spacing w:line="440" w:lineRule="exact"/>
      <w:outlineLvl w:val="3"/>
    </w:pPr>
    <w:rPr>
      <w:b/>
      <w:color w:val="000000"/>
      <w:sz w:val="26"/>
    </w:rPr>
  </w:style>
  <w:style w:type="paragraph" w:customStyle="1" w:styleId="87">
    <w:name w:val="样式 行距: 固定值 23 磅 首行缩进:  2 字符"/>
    <w:basedOn w:val="1"/>
    <w:qFormat/>
    <w:uiPriority w:val="0"/>
    <w:pPr>
      <w:spacing w:line="460" w:lineRule="exact"/>
      <w:ind w:firstLine="420" w:firstLineChars="200"/>
    </w:pPr>
    <w:rPr>
      <w:rFonts w:cs="宋体"/>
      <w:szCs w:val="20"/>
    </w:rPr>
  </w:style>
  <w:style w:type="paragraph" w:customStyle="1" w:styleId="88">
    <w:name w:val="表头"/>
    <w:basedOn w:val="1"/>
    <w:next w:val="1"/>
    <w:autoRedefine/>
    <w:qFormat/>
    <w:uiPriority w:val="0"/>
    <w:pPr>
      <w:spacing w:before="50" w:beforeLines="50"/>
      <w:jc w:val="center"/>
    </w:pPr>
    <w:rPr>
      <w:rFonts w:asciiTheme="minorHAnsi" w:hAnsiTheme="minorHAnsi" w:cstheme="minorBidi"/>
      <w:sz w:val="24"/>
      <w:lang w:val="zh-CN"/>
    </w:rPr>
  </w:style>
  <w:style w:type="character" w:customStyle="1" w:styleId="89">
    <w:name w:val="环评正文 Char Char"/>
    <w:qFormat/>
    <w:uiPriority w:val="0"/>
    <w:rPr>
      <w:sz w:val="26"/>
      <w:szCs w:val="21"/>
    </w:rPr>
  </w:style>
  <w:style w:type="character" w:customStyle="1" w:styleId="90">
    <w:name w:val="font21"/>
    <w:basedOn w:val="19"/>
    <w:qFormat/>
    <w:uiPriority w:val="0"/>
    <w:rPr>
      <w:rFonts w:hint="default" w:ascii="Times New Roman" w:hAnsi="Times New Roman" w:cs="Times New Roman"/>
      <w:color w:val="000000"/>
      <w:sz w:val="20"/>
      <w:szCs w:val="20"/>
      <w:u w:val="none"/>
    </w:rPr>
  </w:style>
  <w:style w:type="character" w:customStyle="1" w:styleId="91">
    <w:name w:val="font11"/>
    <w:basedOn w:val="19"/>
    <w:qFormat/>
    <w:uiPriority w:val="0"/>
    <w:rPr>
      <w:rFonts w:hint="eastAsia" w:ascii="宋体" w:hAnsi="宋体" w:eastAsia="宋体" w:cs="宋体"/>
      <w:color w:val="000000"/>
      <w:sz w:val="20"/>
      <w:szCs w:val="20"/>
      <w:u w:val="none"/>
    </w:rPr>
  </w:style>
  <w:style w:type="character" w:customStyle="1" w:styleId="92">
    <w:name w:val="标题 2 字符"/>
    <w:basedOn w:val="19"/>
    <w:link w:val="3"/>
    <w:semiHidden/>
    <w:qFormat/>
    <w:uiPriority w:val="0"/>
    <w:rPr>
      <w:rFonts w:asciiTheme="majorHAnsi" w:hAnsiTheme="majorHAnsi" w:eastAsiaTheme="majorEastAsia" w:cstheme="majorBidi"/>
      <w:b/>
      <w:bCs/>
      <w:kern w:val="2"/>
      <w:sz w:val="32"/>
      <w:szCs w:val="32"/>
    </w:rPr>
  </w:style>
  <w:style w:type="paragraph" w:customStyle="1" w:styleId="93">
    <w:name w:val="123正文"/>
    <w:basedOn w:val="1"/>
    <w:qFormat/>
    <w:uiPriority w:val="0"/>
    <w:pPr>
      <w:adjustRightInd w:val="0"/>
      <w:snapToGrid w:val="0"/>
      <w:spacing w:line="440" w:lineRule="exact"/>
      <w:ind w:firstLine="720" w:firstLineChars="200"/>
    </w:pPr>
    <w:rPr>
      <w:rFonts w:ascii="Times New Roman" w:hAnsi="Times New Roman" w:eastAsia="宋体"/>
      <w:sz w:val="24"/>
    </w:rPr>
  </w:style>
  <w:style w:type="paragraph" w:customStyle="1" w:styleId="94">
    <w:name w:val="V表格文本"/>
    <w:basedOn w:val="1"/>
    <w:next w:val="1"/>
    <w:qFormat/>
    <w:uiPriority w:val="1"/>
    <w:pPr>
      <w:adjustRightInd w:val="0"/>
      <w:snapToGrid w:val="0"/>
      <w:spacing w:line="240" w:lineRule="auto"/>
      <w:ind w:firstLine="0" w:firstLineChars="0"/>
      <w:jc w:val="center"/>
    </w:pPr>
    <w:rPr>
      <w:rFonts w:ascii="Times New Roman" w:hAnsi="Times New Roman" w:eastAsia="宋体"/>
      <w:kern w:val="0"/>
      <w:szCs w:val="20"/>
    </w:rPr>
  </w:style>
  <w:style w:type="paragraph" w:customStyle="1" w:styleId="95">
    <w:name w:val="4小表"/>
    <w:basedOn w:val="96"/>
    <w:qFormat/>
    <w:uiPriority w:val="0"/>
    <w:pPr>
      <w:adjustRightInd w:val="0"/>
      <w:snapToGrid w:val="0"/>
      <w:spacing w:line="460" w:lineRule="exact"/>
      <w:jc w:val="center"/>
    </w:pPr>
    <w:rPr>
      <w:kern w:val="0"/>
      <w:sz w:val="20"/>
      <w:szCs w:val="21"/>
    </w:rPr>
  </w:style>
  <w:style w:type="paragraph" w:customStyle="1" w:styleId="96">
    <w:name w:val="L表格"/>
    <w:basedOn w:val="97"/>
    <w:qFormat/>
    <w:uiPriority w:val="0"/>
    <w:pPr>
      <w:adjustRightInd w:val="0"/>
      <w:snapToGrid w:val="0"/>
      <w:spacing w:line="320" w:lineRule="exact"/>
      <w:jc w:val="center"/>
    </w:pPr>
    <w:rPr>
      <w:rFonts w:eastAsia="Times New Roman"/>
    </w:rPr>
  </w:style>
  <w:style w:type="paragraph" w:customStyle="1" w:styleId="97">
    <w:name w:val="L正文"/>
    <w:basedOn w:val="1"/>
    <w:qFormat/>
    <w:uiPriority w:val="0"/>
    <w:pPr>
      <w:adjustRightInd w:val="0"/>
      <w:snapToGrid w:val="0"/>
      <w:spacing w:line="460" w:lineRule="exact"/>
      <w:ind w:firstLine="200" w:firstLineChars="200"/>
      <w:jc w:val="left"/>
    </w:pPr>
  </w:style>
  <w:style w:type="paragraph" w:customStyle="1" w:styleId="98">
    <w:name w:val="ABCA正文"/>
    <w:basedOn w:val="1"/>
    <w:next w:val="1"/>
    <w:qFormat/>
    <w:uiPriority w:val="0"/>
    <w:pPr>
      <w:adjustRightInd w:val="0"/>
      <w:snapToGrid w:val="0"/>
      <w:spacing w:line="360" w:lineRule="auto"/>
      <w:ind w:firstLine="520" w:firstLineChars="200"/>
    </w:pPr>
    <w:rPr>
      <w:rFonts w:ascii="Times New Roman" w:hAnsi="Times New Roman" w:eastAsia="宋体"/>
      <w:bCs/>
      <w:sz w:val="24"/>
    </w:rPr>
  </w:style>
  <w:style w:type="paragraph" w:customStyle="1" w:styleId="99">
    <w:name w:val="表格1"/>
    <w:basedOn w:val="9"/>
    <w:qFormat/>
    <w:uiPriority w:val="0"/>
    <w:pPr>
      <w:snapToGrid w:val="0"/>
      <w:jc w:val="center"/>
    </w:pPr>
    <w:rPr>
      <w:snapToGrid w:val="0"/>
      <w:kern w:val="0"/>
      <w:sz w:val="21"/>
      <w:szCs w:val="24"/>
    </w:rPr>
  </w:style>
  <w:style w:type="paragraph" w:customStyle="1" w:styleId="100">
    <w:name w:val="ABB正文"/>
    <w:basedOn w:val="1"/>
    <w:next w:val="1"/>
    <w:qFormat/>
    <w:uiPriority w:val="0"/>
    <w:pPr>
      <w:adjustRightInd/>
      <w:snapToGrid/>
      <w:spacing w:line="360" w:lineRule="auto"/>
      <w:ind w:firstLine="520" w:firstLineChars="200"/>
    </w:pPr>
    <w:rPr>
      <w:bCs/>
      <w:sz w:val="24"/>
    </w:rPr>
  </w:style>
  <w:style w:type="paragraph" w:customStyle="1" w:styleId="101">
    <w:name w:val="表格文字居中"/>
    <w:basedOn w:val="1"/>
    <w:next w:val="1"/>
    <w:qFormat/>
    <w:uiPriority w:val="0"/>
    <w:pPr>
      <w:adjustRightInd w:val="0"/>
      <w:snapToGrid w:val="0"/>
      <w:spacing w:line="460" w:lineRule="exact"/>
      <w:ind w:firstLine="200" w:firstLineChars="200"/>
      <w:jc w:val="center"/>
    </w:pPr>
    <w:rPr>
      <w:rFonts w:ascii="Times New Roman"/>
      <w:snapToGrid w:val="0"/>
      <w:color w:val="000000"/>
      <w:kern w:val="2"/>
      <w:sz w:val="22"/>
      <w:szCs w:val="22"/>
    </w:rPr>
  </w:style>
  <w:style w:type="paragraph" w:customStyle="1" w:styleId="102">
    <w:name w:val="排版正文"/>
    <w:basedOn w:val="1"/>
    <w:qFormat/>
    <w:uiPriority w:val="0"/>
    <w:pPr>
      <w:adjustRightInd w:val="0"/>
      <w:snapToGrid w:val="0"/>
      <w:spacing w:line="460" w:lineRule="exact"/>
      <w:ind w:firstLine="520" w:firstLineChars="200"/>
    </w:pPr>
    <w:rPr>
      <w:color w:val="000000"/>
      <w:sz w:val="26"/>
    </w:rPr>
  </w:style>
  <w:style w:type="paragraph" w:customStyle="1" w:styleId="103">
    <w:name w:val="Table Text"/>
    <w:basedOn w:val="1"/>
    <w:semiHidden/>
    <w:qFormat/>
    <w:uiPriority w:val="0"/>
    <w:rPr>
      <w:rFonts w:ascii="宋体" w:hAnsi="宋体" w:eastAsia="宋体" w:cs="宋体"/>
    </w:rPr>
  </w:style>
  <w:style w:type="table" w:customStyle="1" w:styleId="104">
    <w:name w:val="Table Normal"/>
    <w:semiHidden/>
    <w:unhideWhenUsed/>
    <w:qFormat/>
    <w:uiPriority w:val="0"/>
    <w:tblPr>
      <w:tblCellMar>
        <w:top w:w="0" w:type="dxa"/>
        <w:left w:w="0" w:type="dxa"/>
        <w:bottom w:w="0" w:type="dxa"/>
        <w:right w:w="0" w:type="dxa"/>
      </w:tblCellMar>
    </w:tblPr>
  </w:style>
  <w:style w:type="character" w:customStyle="1" w:styleId="105">
    <w:name w:val="Subtle Emphasis"/>
    <w:basedOn w:val="19"/>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wmf"/><Relationship Id="rId44" Type="http://schemas.openxmlformats.org/officeDocument/2006/relationships/image" Target="media/image33.png"/><Relationship Id="rId43" Type="http://schemas.openxmlformats.org/officeDocument/2006/relationships/image" Target="media/image32.emf"/><Relationship Id="rId42" Type="http://schemas.openxmlformats.org/officeDocument/2006/relationships/oleObject" Target="embeddings/oleObject5.bin"/><Relationship Id="rId41" Type="http://schemas.openxmlformats.org/officeDocument/2006/relationships/image" Target="media/image31.wmf"/><Relationship Id="rId40" Type="http://schemas.openxmlformats.org/officeDocument/2006/relationships/oleObject" Target="embeddings/oleObject4.bin"/><Relationship Id="rId4" Type="http://schemas.openxmlformats.org/officeDocument/2006/relationships/footer" Target="footer2.xml"/><Relationship Id="rId39" Type="http://schemas.openxmlformats.org/officeDocument/2006/relationships/image" Target="media/image30.wmf"/><Relationship Id="rId38" Type="http://schemas.openxmlformats.org/officeDocument/2006/relationships/oleObject" Target="embeddings/oleObject3.bin"/><Relationship Id="rId37" Type="http://schemas.openxmlformats.org/officeDocument/2006/relationships/image" Target="media/image29.wmf"/><Relationship Id="rId36" Type="http://schemas.openxmlformats.org/officeDocument/2006/relationships/oleObject" Target="embeddings/oleObject2.bin"/><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109</Pages>
  <Words>123</Words>
  <Characters>150</Characters>
  <Lines>459</Lines>
  <Paragraphs>129</Paragraphs>
  <TotalTime>34</TotalTime>
  <ScaleCrop>false</ScaleCrop>
  <LinksUpToDate>false</LinksUpToDate>
  <CharactersWithSpaces>172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2021-05-14T02:03:00Z</dcterms:created>
  <dc:creator>lhj</dc:creator>
  <cp:lastModifiedBy>xx</cp:lastModifiedBy>
  <cp:lastPrinted>2020-12-29T02:43:00Z</cp:lastPrinted>
  <dcterms:modified xsi:type="dcterms:W3CDTF">2025-12-04T01:58:03Z</dcterms:modified>
  <dc:title>附件2</dc:title>
  <cp:revision>271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B233D164E18040DF85F3DD7E8708691B_13</vt:lpwstr>
  </property>
  <property fmtid="{D5CDD505-2E9C-101B-9397-08002B2CF9AE}" pid="4" name="KSOTemplateDocerSaveRecord">
    <vt:lpwstr>eyJoZGlkIjoiN2E0M2ZiMzA5Mzg3M2ZmYmJkZDdlNDkxNDc0ODdiZDciLCJ1c2VySWQiOiI2NzExMDc3OTMifQ==</vt:lpwstr>
  </property>
</Properties>
</file>